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# Command 1: Query: list the supplier number and supplier name for those suppliers who ship every green part.</w:t>
      </w:r>
    </w:p>
    <w:p>
      <w:pPr>
        <w:rPr>
          <w:rFonts w:hint="default"/>
        </w:rPr>
      </w:pPr>
      <w:r>
        <w:rPr>
          <w:rFonts w:hint="default"/>
        </w:rPr>
        <w:t># This should return supplier S6 (Nicola Giannberti).</w:t>
      </w:r>
    </w:p>
    <w:p>
      <w:r>
        <w:drawing>
          <wp:inline distT="0" distB="0" distL="114300" distR="114300">
            <wp:extent cx="5269230" cy="2576830"/>
            <wp:effectExtent l="0" t="0" r="76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# Command 2: This command will not execute for the client-level user.</w:t>
      </w:r>
    </w:p>
    <w:p>
      <w:r>
        <w:rPr>
          <w:rFonts w:hint="default"/>
        </w:rPr>
        <w:t># Output should show the message indicating that the command was denied to the client-level user.</w:t>
      </w:r>
    </w:p>
    <w:p>
      <w:r>
        <w:drawing>
          <wp:inline distT="0" distB="0" distL="114300" distR="114300">
            <wp:extent cx="5265420" cy="2170430"/>
            <wp:effectExtent l="0" t="0" r="1143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# Command 3: This is a basic select command using an aggregation operator</w:t>
      </w:r>
    </w:p>
    <w:p>
      <w:pPr>
        <w:rPr>
          <w:rFonts w:hint="default"/>
        </w:rPr>
      </w:pPr>
      <w:r>
        <w:rPr>
          <w:rFonts w:hint="default"/>
        </w:rPr>
        <w:t xml:space="preserve"> # Business logic not triggered and no table is updated.</w:t>
      </w:r>
    </w:p>
    <w:p>
      <w:r>
        <w:rPr>
          <w:rFonts w:hint="default"/>
        </w:rPr>
        <w:t xml:space="preserve"> </w:t>
      </w:r>
    </w:p>
    <w:p>
      <w:r>
        <w:drawing>
          <wp:inline distT="0" distB="0" distL="114300" distR="114300">
            <wp:extent cx="5262245" cy="2597785"/>
            <wp:effectExtent l="0" t="0" r="146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# Command 4: This command will not execute for the client-level user.</w:t>
      </w:r>
    </w:p>
    <w:p>
      <w:r>
        <w:rPr>
          <w:rFonts w:hint="default"/>
        </w:rPr>
        <w:t xml:space="preserve"> # Output should show the message indicating that the command was denied to the client-level user.</w:t>
      </w:r>
      <w:bookmarkStart w:id="0" w:name="_GoBack"/>
      <w:bookmarkEnd w:id="0"/>
      <w:r>
        <w:drawing>
          <wp:inline distT="0" distB="0" distL="114300" distR="114300">
            <wp:extent cx="5272405" cy="2141855"/>
            <wp:effectExtent l="0" t="0" r="44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B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2022-04-20T14:42:36Z</dcterms:created>
  <dc:creator>HP 16</dc:creator>
  <cp:lastModifiedBy>HP 16</cp:lastModifiedBy>
  <dcterms:modified xsi:type="dcterms:W3CDTF">2022-04-20T14:46:29Z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719E648638494B4C959156327E931751</vt:lpwstr>
  </property>
</Properties>
</file>