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ind w:firstLine="0"/>
        <w:jc w:val="right"/>
      </w:pPr>
      <w:r>
        <w:rPr>
          <w:rFonts w:ascii="Times New Roman" w:hAnsi="Times New Roman" w:eastAsia="SimSun"/>
          <w:b w:val="0"/>
          <w:i w:val="0"/>
          <w:color w:val="000000"/>
          <w:sz w:val="21"/>
        </w:rPr>
        <w:t>参赛组别：________    参赛队号：CM________</w:t>
      </w:r>
    </w:p>
    <w:p>
      <w:pPr>
        <w:keepNext/>
        <w:spacing w:before="80" w:after="160"/>
        <w:ind w:firstLine="0"/>
        <w:jc w:val="center"/>
      </w:pPr>
      <w:r>
        <w:rPr>
          <w:rFonts w:ascii="Times New Roman" w:hAnsi="Times New Roman" w:eastAsia="SimHei"/>
          <w:b/>
          <w:i w:val="0"/>
          <w:color w:val="000000"/>
          <w:sz w:val="36"/>
        </w:rPr>
        <w:t>周期边界下导电介质填充的连通概率界与整数成本优化</w:t>
      </w:r>
    </w:p>
    <w:p>
      <w:pPr>
        <w:spacing w:after="100"/>
        <w:ind w:firstLine="0"/>
        <w:jc w:val="center"/>
      </w:pPr>
      <w:r>
        <w:rPr>
          <w:rFonts w:ascii="Times New Roman" w:hAnsi="Times New Roman" w:eastAsia="SimHei"/>
          <w:b/>
          <w:i w:val="0"/>
          <w:color w:val="000000"/>
          <w:sz w:val="30"/>
        </w:rPr>
        <w:t>摘要</w:t>
      </w:r>
    </w:p>
    <w:p>
      <w:pPr>
        <w:keepNext w:val="0"/>
        <w:spacing w:after="60" w:line="293" w:lineRule="auto"/>
        <w:ind w:firstLine="420"/>
        <w:jc w:val="both"/>
      </w:pPr>
      <w:r>
        <w:rPr>
          <w:rFonts w:ascii="Times New Roman" w:hAnsi="Times New Roman" w:eastAsia="SimSun"/>
          <w:b w:val="0"/>
          <w:i w:val="0"/>
          <w:color w:val="000000"/>
          <w:sz w:val="23"/>
        </w:rPr>
        <w:t>本文研究周期立方微构体中导电介质的左右导通判定、随机填充概率界与成本优化问题。针对附件给出的确定性构型，将每个平端圆柱视为图节点，以介质间最短距离和介质—电极距离为连边准则；胶囊体仅用于生成保守候选边，正例路径再由轴段内部最短点完成几何核验。随机填充部分首先声明独立均匀中心、独立各向同性取向以及周期平移片段保持母体导体身份三项概率模型条件；随后由单粒子直接贯通事件构造总导通概率下界，并对“无直接贯通但仍存在通路”的剩余事件建立终端薄壳联合上界。最后在整数域内枚举全部低成本方案，分别讨论允许某类介质为零和两类介质均为正两种口径。</w:t>
      </w:r>
    </w:p>
    <w:p>
      <w:pPr>
        <w:keepNext w:val="0"/>
        <w:spacing w:after="60" w:line="293" w:lineRule="auto"/>
        <w:ind w:firstLine="420"/>
        <w:jc w:val="both"/>
      </w:pPr>
      <w:r>
        <w:rPr>
          <w:rFonts w:ascii="Times New Roman" w:hAnsi="Times New Roman" w:eastAsia="SimSun"/>
          <w:b w:val="0"/>
          <w:i w:val="0"/>
          <w:color w:val="000000"/>
          <w:sz w:val="23"/>
        </w:rPr>
        <w:t>在上述概率模型条件下，附件组1不导通，组2和组3导通，显式通路分别为左面-2-12-24-39-右面和左面-63-264-216-351-右面。A 的体积分数为0.50%、0.60%、0.70%和1.00%时，仅直接贯通事件已使总不导通概率上界分别降至10^-45.20、10^-54.13、10^-63.20和10^-90.27量级；这些下界严格小于1，不能因浮点舍入写成精确等于1。仅填充A时，7根A的总导通概率上界为0.872279，8根A的直接贯通概率下界为0.904810，故最低数量为8根，对应体积分数0.01131%，按百分号后两位报告为0.01%。</w:t>
      </w:r>
    </w:p>
    <w:p>
      <w:pPr>
        <w:keepNext w:val="0"/>
        <w:spacing w:after="60" w:line="293" w:lineRule="auto"/>
        <w:ind w:firstLine="420"/>
        <w:jc w:val="both"/>
      </w:pPr>
      <w:r>
        <w:rPr>
          <w:rFonts w:ascii="Times New Roman" w:hAnsi="Times New Roman" w:eastAsia="SimSun"/>
          <w:b w:val="0"/>
          <w:i w:val="0"/>
          <w:color w:val="000000"/>
          <w:sz w:val="23"/>
        </w:rPr>
        <w:t>混合填充中，按题目“同时填充”的严格语义，1A+50B为两类数量均为正时的最低成本方案，成本0.09862元；放宽为非负整数域后，边界解0A+57B成本0.09550元。全文区分解析事件概率、总导通下界和总导通上界，阈值与最优性均由不可行侧的上界证据闭合。</w:t>
      </w:r>
    </w:p>
    <w:p>
      <w:pPr>
        <w:spacing w:before="60"/>
        <w:ind w:firstLine="0"/>
      </w:pPr>
      <w:r>
        <w:rPr>
          <w:rFonts w:ascii="Times New Roman" w:hAnsi="Times New Roman" w:eastAsia="SimHei"/>
          <w:b/>
          <w:i w:val="0"/>
          <w:color w:val="000000"/>
          <w:sz w:val="23"/>
        </w:rPr>
        <w:t>关键词：</w:t>
      </w:r>
      <w:r>
        <w:rPr>
          <w:rFonts w:ascii="Times New Roman" w:hAnsi="Times New Roman" w:eastAsia="SimSun"/>
          <w:b w:val="0"/>
          <w:i w:val="0"/>
          <w:color w:val="000000"/>
          <w:sz w:val="23"/>
        </w:rPr>
        <w:t>周期边界；随机几何图；导通概率界；联合界；整数优化</w:t>
      </w:r>
    </w:p>
    <w:p>
      <w:r>
        <w:br w:type="page"/>
      </w:r>
    </w:p>
    <w:p>
      <w:pPr>
        <w:pStyle w:val="Heading1"/>
      </w:pPr>
      <w:r>
        <w:rPr>
          <w:rFonts w:ascii="Times New Roman" w:hAnsi="Times New Roman" w:eastAsia="SimHei"/>
          <w:b/>
          <w:i w:val="0"/>
          <w:color w:val="000000"/>
          <w:sz w:val="30"/>
        </w:rPr>
        <w:t>1  问题重述与问题分析</w:t>
      </w:r>
    </w:p>
    <w:p>
      <w:pPr>
        <w:pStyle w:val="Heading2"/>
      </w:pPr>
      <w:r>
        <w:rPr>
          <w:rFonts w:ascii="Times New Roman" w:hAnsi="Times New Roman" w:eastAsia="SimHei"/>
          <w:b/>
          <w:i w:val="0"/>
          <w:color w:val="000000"/>
          <w:sz w:val="26"/>
        </w:rPr>
        <w:t>1.1  问题背景与研究对象</w:t>
      </w:r>
    </w:p>
    <w:p>
      <w:pPr>
        <w:keepNext w:val="0"/>
        <w:spacing w:after="60" w:line="293" w:lineRule="auto"/>
        <w:ind w:firstLine="420"/>
        <w:jc w:val="both"/>
      </w:pPr>
      <w:r>
        <w:rPr>
          <w:rFonts w:ascii="Times New Roman" w:hAnsi="Times New Roman" w:eastAsia="SimSun"/>
          <w:b w:val="0"/>
          <w:i w:val="0"/>
          <w:color w:val="000000"/>
          <w:sz w:val="23"/>
        </w:rPr>
        <w:t>题目给定边长L=10000 nm的立方微构体，左右带电面位于x=-5000 nm与x=5000 nm。当导电介质之间或介质与带电面的表面最短距离不超过g=1.8 nm时，视为接触导通。介质A为高度H=5000 nm、半径r_A=30 nm的平端直圆柱；介质B为半径r_B=200 nm的球。题面规定越界部分平移一个边长后从对侧进入。随机问题还需要补充解释：本文把这些平移片段视为母体导体的周期表示，电学身份保持不变。该解释是Q2-Q4解析结论成立的条件，图1概括几何对象和接触口径。</w:t>
      </w:r>
    </w:p>
    <w:p>
      <w:pPr>
        <w:keepNext/>
        <w:spacing w:before="80" w:after="20"/>
        <w:ind w:firstLine="0"/>
        <w:jc w:val="center"/>
      </w:pPr>
      <w:r>
        <w:drawing>
          <wp:inline xmlns:a="http://schemas.openxmlformats.org/drawingml/2006/main" xmlns:pic="http://schemas.openxmlformats.org/drawingml/2006/picture">
            <wp:extent cx="5508000" cy="3098250"/>
            <wp:docPr id="1" name="Picture 1" title="图1 问题几何、介质类型与周期边界示意" descr="问题几何、介质类型与周期边界示意"/>
            <wp:cNvGraphicFramePr>
              <a:graphicFrameLocks noChangeAspect="1"/>
            </wp:cNvGraphicFramePr>
            <a:graphic>
              <a:graphicData uri="http://schemas.openxmlformats.org/drawingml/2006/picture">
                <pic:pic>
                  <pic:nvPicPr>
                    <pic:cNvPr id="0" name="01_problem_geometry.png"/>
                    <pic:cNvPicPr/>
                  </pic:nvPicPr>
                  <pic:blipFill>
                    <a:blip r:embed="rId10"/>
                    <a:stretch>
                      <a:fillRect/>
                    </a:stretch>
                  </pic:blipFill>
                  <pic:spPr>
                    <a:xfrm>
                      <a:off x="0" y="0"/>
                      <a:ext cx="5508000" cy="3098250"/>
                    </a:xfrm>
                    <a:prstGeom prst="rect"/>
                  </pic:spPr>
                </pic:pic>
              </a:graphicData>
            </a:graphic>
          </wp:inline>
        </w:drawing>
      </w:r>
    </w:p>
    <w:p>
      <w:pPr>
        <w:pStyle w:val="FigureCaption"/>
        <w:keepLines/>
      </w:pPr>
      <w:r>
        <w:rPr>
          <w:rFonts w:ascii="Times New Roman" w:hAnsi="Times New Roman" w:eastAsia="SimSun"/>
          <w:b w:val="0"/>
          <w:i w:val="0"/>
          <w:color w:val="000000"/>
          <w:sz w:val="20"/>
        </w:rPr>
        <w:t>图1  问题几何、介质类型与周期边界示意</w:t>
      </w:r>
    </w:p>
    <w:p>
      <w:pPr>
        <w:pStyle w:val="Heading2"/>
      </w:pPr>
      <w:r>
        <w:rPr>
          <w:rFonts w:ascii="Times New Roman" w:hAnsi="Times New Roman" w:eastAsia="SimHei"/>
          <w:b/>
          <w:i w:val="0"/>
          <w:color w:val="000000"/>
          <w:sz w:val="26"/>
        </w:rPr>
        <w:t>1.2  四个问题的输入、输出与难点</w:t>
      </w:r>
    </w:p>
    <w:p>
      <w:pPr>
        <w:keepNext w:val="0"/>
        <w:spacing w:after="60" w:line="293" w:lineRule="auto"/>
        <w:ind w:firstLine="420"/>
        <w:jc w:val="both"/>
      </w:pPr>
      <w:r>
        <w:rPr>
          <w:rFonts w:ascii="Times New Roman" w:hAnsi="Times New Roman" w:eastAsia="SimSun"/>
          <w:b w:val="0"/>
          <w:i w:val="0"/>
          <w:color w:val="000000"/>
          <w:sz w:val="23"/>
        </w:rPr>
        <w:t>问题一的输入是附件中的三组圆柱轴段坐标，输出是每组是否导通及可复核的通路；难点在于平端圆柱不能直接等同于端部为半球的胶囊体。问题二将确定性坐标改为随机位置和随机方向，要求计算四个体积分数下的导通概率。问题三寻找仅填充A且导通概率不低于90%的最低填充率，需要同时证明候选值充分和前一整数不足。问题四加入B及材料成本，形成带概率约束的二元整数优化，并存在“是否允许某类介质数量为零”的题意歧义。</w:t>
      </w:r>
    </w:p>
    <w:p>
      <w:pPr>
        <w:pStyle w:val="Heading2"/>
      </w:pPr>
      <w:r>
        <w:rPr>
          <w:rFonts w:ascii="Times New Roman" w:hAnsi="Times New Roman" w:eastAsia="SimHei"/>
          <w:b/>
          <w:i w:val="0"/>
          <w:color w:val="000000"/>
          <w:sz w:val="26"/>
        </w:rPr>
        <w:t>1.3  总体技术路线</w:t>
      </w:r>
    </w:p>
    <w:p>
      <w:pPr>
        <w:keepNext w:val="0"/>
        <w:spacing w:after="60" w:line="293" w:lineRule="auto"/>
        <w:ind w:firstLine="420"/>
        <w:jc w:val="both"/>
      </w:pPr>
      <w:r>
        <w:rPr>
          <w:rFonts w:ascii="Times New Roman" w:hAnsi="Times New Roman" w:eastAsia="SimSun"/>
          <w:b w:val="0"/>
          <w:i w:val="0"/>
          <w:color w:val="000000"/>
          <w:sz w:val="23"/>
        </w:rPr>
        <w:t>本文把四问组织为三个层次：第一层为确定性几何图和路径证书；第二层为所有随机问题共享的直接贯通下界与非直接通路上界；第三层为基于概率界的整数阈值和成本优化。该结构使Q2-Q4共享同一母模型，避免每问重复定义概率口径。技术路线如图2所示。</w:t>
      </w:r>
    </w:p>
    <w:p>
      <w:pPr>
        <w:keepNext/>
        <w:spacing w:before="80" w:after="20"/>
        <w:ind w:firstLine="0"/>
        <w:jc w:val="center"/>
      </w:pPr>
      <w:r>
        <w:drawing>
          <wp:inline xmlns:a="http://schemas.openxmlformats.org/drawingml/2006/main" xmlns:pic="http://schemas.openxmlformats.org/drawingml/2006/picture">
            <wp:extent cx="5508000" cy="3098250"/>
            <wp:docPr id="2" name="Picture 2" title="图2 四问依赖关系与总体技术路线" descr="四问依赖关系与总体技术路线"/>
            <wp:cNvGraphicFramePr>
              <a:graphicFrameLocks noChangeAspect="1"/>
            </wp:cNvGraphicFramePr>
            <a:graphic>
              <a:graphicData uri="http://schemas.openxmlformats.org/drawingml/2006/picture">
                <pic:pic>
                  <pic:nvPicPr>
                    <pic:cNvPr id="0" name="02_workflow.png"/>
                    <pic:cNvPicPr/>
                  </pic:nvPicPr>
                  <pic:blipFill>
                    <a:blip r:embed="rId11"/>
                    <a:stretch>
                      <a:fillRect/>
                    </a:stretch>
                  </pic:blipFill>
                  <pic:spPr>
                    <a:xfrm>
                      <a:off x="0" y="0"/>
                      <a:ext cx="5508000" cy="3098250"/>
                    </a:xfrm>
                    <a:prstGeom prst="rect"/>
                  </pic:spPr>
                </pic:pic>
              </a:graphicData>
            </a:graphic>
          </wp:inline>
        </w:drawing>
      </w:r>
    </w:p>
    <w:p>
      <w:pPr>
        <w:pStyle w:val="FigureCaption"/>
        <w:keepLines/>
      </w:pPr>
      <w:r>
        <w:rPr>
          <w:rFonts w:ascii="Times New Roman" w:hAnsi="Times New Roman" w:eastAsia="SimSun"/>
          <w:b w:val="0"/>
          <w:i w:val="0"/>
          <w:color w:val="000000"/>
          <w:sz w:val="20"/>
        </w:rPr>
        <w:t>图2  四问依赖关系与总体技术路线</w:t>
      </w:r>
    </w:p>
    <w:p>
      <w:pPr>
        <w:pStyle w:val="Heading1"/>
      </w:pPr>
      <w:r>
        <w:rPr>
          <w:rFonts w:ascii="Times New Roman" w:hAnsi="Times New Roman" w:eastAsia="SimHei"/>
          <w:b/>
          <w:i w:val="0"/>
          <w:color w:val="000000"/>
          <w:sz w:val="30"/>
        </w:rPr>
        <w:t>2  模型假设、符号与量纲</w:t>
      </w:r>
    </w:p>
    <w:p>
      <w:pPr>
        <w:pStyle w:val="Heading2"/>
      </w:pPr>
      <w:r>
        <w:rPr>
          <w:rFonts w:ascii="Times New Roman" w:hAnsi="Times New Roman" w:eastAsia="SimHei"/>
          <w:b/>
          <w:i w:val="0"/>
          <w:color w:val="000000"/>
          <w:sz w:val="26"/>
        </w:rPr>
        <w:t>2.1  题面条件与补充假设</w:t>
      </w:r>
    </w:p>
    <w:p>
      <w:pPr>
        <w:pStyle w:val="FigureCaption"/>
        <w:keepNext/>
        <w:spacing w:before="80" w:after="40"/>
      </w:pPr>
      <w:r>
        <w:rPr>
          <w:rFonts w:ascii="Times New Roman" w:hAnsi="Times New Roman" w:eastAsia="SimSun"/>
          <w:b w:val="0"/>
          <w:i w:val="0"/>
          <w:color w:val="000000"/>
          <w:sz w:val="20"/>
        </w:rPr>
        <w:t>表1  题面条件、补充假设及失效影响</w:t>
      </w:r>
    </w:p>
    <w:tbl>
      <w:tblPr>
        <w:tblStyle w:val="TableGrid"/>
        <w:tblW w:type="dxa" w:w="9014"/>
        <w:jc w:val="center"/>
        <w:tblLayout w:type="fixed"/>
        <w:tblLook w:firstColumn="1" w:firstRow="1" w:lastColumn="0" w:lastRow="0" w:noHBand="0" w:noVBand="1" w:val="04A0"/>
      </w:tblPr>
      <w:tblGrid>
        <w:gridCol w:w="1247"/>
        <w:gridCol w:w="3514"/>
        <w:gridCol w:w="1360"/>
        <w:gridCol w:w="2891"/>
      </w:tblGrid>
      <w:tr>
        <w:trPr>
          <w:tblHeader w:val="true"/>
        </w:trPr>
        <w:tc>
          <w:tcPr>
            <w:tcW w:type="dxa" w:w="1247"/>
            <w:tcMar>
              <w:top w:w="80" w:type="dxa"/>
              <w:start w:w="110" w:type="dxa"/>
              <w:bottom w:w="80" w:type="dxa"/>
              <w:end w:w="110" w:type="dxa"/>
            </w:tcMar>
            <w:shd w:fill="E7EEF3"/>
            <w:vAlign w:val="center"/>
          </w:tcPr>
          <w:p>
            <w:pPr>
              <w:spacing w:after="0"/>
              <w:ind w:firstLine="0"/>
              <w:jc w:val="center"/>
            </w:pPr>
            <w:r/>
            <w:r>
              <w:rPr>
                <w:rFonts w:ascii="Times New Roman" w:hAnsi="Times New Roman" w:eastAsia="SimHei"/>
                <w:b/>
                <w:i w:val="0"/>
                <w:color w:val="000000"/>
                <w:sz w:val="18"/>
              </w:rPr>
              <w:t>类别</w:t>
            </w:r>
          </w:p>
        </w:tc>
        <w:tc>
          <w:tcPr>
            <w:tcW w:type="dxa" w:w="3515"/>
            <w:tcMar>
              <w:top w:w="80" w:type="dxa"/>
              <w:start w:w="110" w:type="dxa"/>
              <w:bottom w:w="80" w:type="dxa"/>
              <w:end w:w="110" w:type="dxa"/>
            </w:tcMar>
            <w:shd w:fill="E7EEF3"/>
            <w:vAlign w:val="center"/>
          </w:tcPr>
          <w:p>
            <w:pPr>
              <w:spacing w:after="0"/>
              <w:ind w:firstLine="0"/>
              <w:jc w:val="center"/>
            </w:pPr>
            <w:r/>
            <w:r>
              <w:rPr>
                <w:rFonts w:ascii="Times New Roman" w:hAnsi="Times New Roman" w:eastAsia="SimHei"/>
                <w:b/>
                <w:i w:val="0"/>
                <w:color w:val="000000"/>
                <w:sz w:val="18"/>
              </w:rPr>
              <w:t>内容</w:t>
            </w:r>
          </w:p>
        </w:tc>
        <w:tc>
          <w:tcPr>
            <w:tcW w:type="dxa" w:w="1361"/>
            <w:tcMar>
              <w:top w:w="80" w:type="dxa"/>
              <w:start w:w="110" w:type="dxa"/>
              <w:bottom w:w="80" w:type="dxa"/>
              <w:end w:w="110" w:type="dxa"/>
            </w:tcMar>
            <w:shd w:fill="E7EEF3"/>
            <w:vAlign w:val="center"/>
          </w:tcPr>
          <w:p>
            <w:pPr>
              <w:spacing w:after="0"/>
              <w:ind w:firstLine="0"/>
              <w:jc w:val="center"/>
            </w:pPr>
            <w:r/>
            <w:r>
              <w:rPr>
                <w:rFonts w:ascii="Times New Roman" w:hAnsi="Times New Roman" w:eastAsia="SimHei"/>
                <w:b/>
                <w:i w:val="0"/>
                <w:color w:val="000000"/>
                <w:sz w:val="18"/>
              </w:rPr>
              <w:t>使用位置</w:t>
            </w:r>
          </w:p>
        </w:tc>
        <w:tc>
          <w:tcPr>
            <w:tcW w:type="dxa" w:w="2891"/>
            <w:tcMar>
              <w:top w:w="80" w:type="dxa"/>
              <w:start w:w="110" w:type="dxa"/>
              <w:bottom w:w="80" w:type="dxa"/>
              <w:end w:w="110" w:type="dxa"/>
            </w:tcMar>
            <w:shd w:fill="E7EEF3"/>
            <w:vAlign w:val="center"/>
          </w:tcPr>
          <w:p>
            <w:pPr>
              <w:spacing w:after="0"/>
              <w:ind w:firstLine="0"/>
              <w:jc w:val="center"/>
            </w:pPr>
            <w:r/>
            <w:r>
              <w:rPr>
                <w:rFonts w:ascii="Times New Roman" w:hAnsi="Times New Roman" w:eastAsia="SimHei"/>
                <w:b/>
                <w:i w:val="0"/>
                <w:color w:val="000000"/>
                <w:sz w:val="18"/>
              </w:rPr>
              <w:t>改变后的影响</w:t>
            </w:r>
          </w:p>
        </w:tc>
      </w:tr>
      <w:tr>
        <w:tc>
          <w:tcPr>
            <w:tcW w:type="dxa" w:w="124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题面条件</w:t>
            </w:r>
          </w:p>
        </w:tc>
        <w:tc>
          <w:tcPr>
            <w:tcW w:type="dxa" w:w="3515"/>
            <w:vAlign w:val="center"/>
            <w:tcMar>
              <w:top w:w="80" w:type="dxa"/>
              <w:start w:w="110" w:type="dxa"/>
              <w:bottom w:w="80" w:type="dxa"/>
              <w:end w:w="110" w:type="dxa"/>
            </w:tcMar>
          </w:tcPr>
          <w:p>
            <w:pPr>
              <w:spacing w:after="0" w:line="252" w:lineRule="auto"/>
              <w:ind w:firstLine="0"/>
              <w:jc w:val="left"/>
            </w:pPr>
            <w:r/>
            <w:r>
              <w:rPr>
                <w:rFonts w:ascii="Times New Roman" w:hAnsi="Times New Roman" w:eastAsia="SimSun"/>
                <w:b w:val="0"/>
                <w:i w:val="0"/>
                <w:color w:val="000000"/>
                <w:sz w:val="18"/>
              </w:rPr>
              <w:t>每行附件数据表示一个A；边界越界部分周期平移</w:t>
            </w:r>
          </w:p>
        </w:tc>
        <w:tc>
          <w:tcPr>
            <w:tcW w:type="dxa" w:w="136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Q1-Q4</w:t>
            </w:r>
          </w:p>
        </w:tc>
        <w:tc>
          <w:tcPr>
            <w:tcW w:type="dxa" w:w="2891"/>
            <w:vAlign w:val="center"/>
            <w:tcMar>
              <w:top w:w="80" w:type="dxa"/>
              <w:start w:w="110" w:type="dxa"/>
              <w:bottom w:w="80" w:type="dxa"/>
              <w:end w:w="110" w:type="dxa"/>
            </w:tcMar>
          </w:tcPr>
          <w:p>
            <w:pPr>
              <w:spacing w:after="0" w:line="252" w:lineRule="auto"/>
              <w:ind w:firstLine="0"/>
              <w:jc w:val="left"/>
            </w:pPr>
            <w:r/>
            <w:r>
              <w:rPr>
                <w:rFonts w:ascii="Times New Roman" w:hAnsi="Times New Roman" w:eastAsia="SimSun"/>
                <w:b w:val="0"/>
                <w:i w:val="0"/>
                <w:color w:val="000000"/>
                <w:sz w:val="18"/>
              </w:rPr>
              <w:t>改变介质身份或周期解释会改变全部结果</w:t>
            </w:r>
          </w:p>
        </w:tc>
      </w:tr>
      <w:tr>
        <w:tc>
          <w:tcPr>
            <w:tcW w:type="dxa" w:w="124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几何口径</w:t>
            </w:r>
          </w:p>
        </w:tc>
        <w:tc>
          <w:tcPr>
            <w:tcW w:type="dxa" w:w="3515"/>
            <w:vAlign w:val="center"/>
            <w:tcMar>
              <w:top w:w="80" w:type="dxa"/>
              <w:start w:w="110" w:type="dxa"/>
              <w:bottom w:w="80" w:type="dxa"/>
              <w:end w:w="110" w:type="dxa"/>
            </w:tcMar>
          </w:tcPr>
          <w:p>
            <w:pPr>
              <w:spacing w:after="0" w:line="252" w:lineRule="auto"/>
              <w:ind w:firstLine="0"/>
              <w:jc w:val="left"/>
            </w:pPr>
            <w:r/>
            <w:r>
              <w:rPr>
                <w:rFonts w:ascii="Times New Roman" w:hAnsi="Times New Roman" w:eastAsia="SimSun"/>
                <w:b w:val="0"/>
                <w:i w:val="0"/>
                <w:color w:val="000000"/>
                <w:sz w:val="18"/>
              </w:rPr>
              <w:t>Q1按附件每行一个A建图；不跨行合并介质身份</w:t>
            </w:r>
          </w:p>
        </w:tc>
        <w:tc>
          <w:tcPr>
            <w:tcW w:type="dxa" w:w="136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Q1</w:t>
            </w:r>
          </w:p>
        </w:tc>
        <w:tc>
          <w:tcPr>
            <w:tcW w:type="dxa" w:w="2891"/>
            <w:vAlign w:val="center"/>
            <w:tcMar>
              <w:top w:w="80" w:type="dxa"/>
              <w:start w:w="110" w:type="dxa"/>
              <w:bottom w:w="80" w:type="dxa"/>
              <w:end w:w="110" w:type="dxa"/>
            </w:tcMar>
          </w:tcPr>
          <w:p>
            <w:pPr>
              <w:spacing w:after="0" w:line="252" w:lineRule="auto"/>
              <w:ind w:firstLine="0"/>
              <w:jc w:val="left"/>
            </w:pPr>
            <w:r/>
            <w:r>
              <w:rPr>
                <w:rFonts w:ascii="Times New Roman" w:hAnsi="Times New Roman" w:eastAsia="SimSun"/>
                <w:b w:val="0"/>
                <w:i w:val="0"/>
                <w:color w:val="000000"/>
                <w:sz w:val="18"/>
              </w:rPr>
              <w:t>跨行合并会制造同体边</w:t>
            </w:r>
          </w:p>
        </w:tc>
      </w:tr>
      <w:tr>
        <w:tc>
          <w:tcPr>
            <w:tcW w:type="dxa" w:w="124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补充假设</w:t>
            </w:r>
          </w:p>
        </w:tc>
        <w:tc>
          <w:tcPr>
            <w:tcW w:type="dxa" w:w="3515"/>
            <w:vAlign w:val="center"/>
            <w:tcMar>
              <w:top w:w="80" w:type="dxa"/>
              <w:start w:w="110" w:type="dxa"/>
              <w:bottom w:w="80" w:type="dxa"/>
              <w:end w:w="110" w:type="dxa"/>
            </w:tcMar>
          </w:tcPr>
          <w:p>
            <w:pPr>
              <w:spacing w:after="0" w:line="252" w:lineRule="auto"/>
              <w:ind w:firstLine="0"/>
              <w:jc w:val="left"/>
            </w:pPr>
            <w:r/>
            <w:r>
              <w:rPr>
                <w:rFonts w:ascii="Times New Roman" w:hAnsi="Times New Roman" w:eastAsia="SimSun"/>
                <w:b w:val="0"/>
                <w:i w:val="0"/>
                <w:color w:val="000000"/>
                <w:sz w:val="18"/>
              </w:rPr>
              <w:t>介质中心独立且在立方体内均匀分布</w:t>
            </w:r>
          </w:p>
        </w:tc>
        <w:tc>
          <w:tcPr>
            <w:tcW w:type="dxa" w:w="136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Q2-Q4</w:t>
            </w:r>
          </w:p>
        </w:tc>
        <w:tc>
          <w:tcPr>
            <w:tcW w:type="dxa" w:w="2891"/>
            <w:vAlign w:val="center"/>
            <w:tcMar>
              <w:top w:w="80" w:type="dxa"/>
              <w:start w:w="110" w:type="dxa"/>
              <w:bottom w:w="80" w:type="dxa"/>
              <w:end w:w="110" w:type="dxa"/>
            </w:tcMar>
          </w:tcPr>
          <w:p>
            <w:pPr>
              <w:spacing w:after="0" w:line="252" w:lineRule="auto"/>
              <w:ind w:firstLine="0"/>
              <w:jc w:val="left"/>
            </w:pPr>
            <w:r/>
            <w:r>
              <w:rPr>
                <w:rFonts w:ascii="Times New Roman" w:hAnsi="Times New Roman" w:eastAsia="SimSun"/>
                <w:b w:val="0"/>
                <w:i w:val="0"/>
                <w:color w:val="000000"/>
                <w:sz w:val="18"/>
              </w:rPr>
              <w:t>排斥或团聚会破坏独立乘积式</w:t>
            </w:r>
          </w:p>
        </w:tc>
      </w:tr>
      <w:tr>
        <w:tc>
          <w:tcPr>
            <w:tcW w:type="dxa" w:w="124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补充假设</w:t>
            </w:r>
          </w:p>
        </w:tc>
        <w:tc>
          <w:tcPr>
            <w:tcW w:type="dxa" w:w="3515"/>
            <w:vAlign w:val="center"/>
            <w:tcMar>
              <w:top w:w="80" w:type="dxa"/>
              <w:start w:w="110" w:type="dxa"/>
              <w:bottom w:w="80" w:type="dxa"/>
              <w:end w:w="110" w:type="dxa"/>
            </w:tcMar>
          </w:tcPr>
          <w:p>
            <w:pPr>
              <w:spacing w:after="0" w:line="252" w:lineRule="auto"/>
              <w:ind w:firstLine="0"/>
              <w:jc w:val="left"/>
            </w:pPr>
            <w:r/>
            <w:r>
              <w:rPr>
                <w:rFonts w:ascii="Times New Roman" w:hAnsi="Times New Roman" w:eastAsia="SimSun"/>
                <w:b w:val="0"/>
                <w:i w:val="0"/>
                <w:color w:val="000000"/>
                <w:sz w:val="18"/>
              </w:rPr>
              <w:t>A的轴向独立且各向同性</w:t>
            </w:r>
          </w:p>
        </w:tc>
        <w:tc>
          <w:tcPr>
            <w:tcW w:type="dxa" w:w="136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Q2-Q4</w:t>
            </w:r>
          </w:p>
        </w:tc>
        <w:tc>
          <w:tcPr>
            <w:tcW w:type="dxa" w:w="2891"/>
            <w:vAlign w:val="center"/>
            <w:tcMar>
              <w:top w:w="80" w:type="dxa"/>
              <w:start w:w="110" w:type="dxa"/>
              <w:bottom w:w="80" w:type="dxa"/>
              <w:end w:w="110" w:type="dxa"/>
            </w:tcMar>
          </w:tcPr>
          <w:p>
            <w:pPr>
              <w:spacing w:after="0" w:line="252" w:lineRule="auto"/>
              <w:ind w:firstLine="0"/>
              <w:jc w:val="left"/>
            </w:pPr>
            <w:r/>
            <w:r>
              <w:rPr>
                <w:rFonts w:ascii="Times New Roman" w:hAnsi="Times New Roman" w:eastAsia="SimSun"/>
                <w:b w:val="0"/>
                <w:i w:val="0"/>
                <w:color w:val="000000"/>
                <w:sz w:val="18"/>
              </w:rPr>
              <w:t>取向偏置会改变q_A及整数阈值</w:t>
            </w:r>
          </w:p>
        </w:tc>
      </w:tr>
      <w:tr>
        <w:tc>
          <w:tcPr>
            <w:tcW w:type="dxa" w:w="124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题面条件</w:t>
            </w:r>
          </w:p>
        </w:tc>
        <w:tc>
          <w:tcPr>
            <w:tcW w:type="dxa" w:w="3515"/>
            <w:vAlign w:val="center"/>
            <w:tcMar>
              <w:top w:w="80" w:type="dxa"/>
              <w:start w:w="110" w:type="dxa"/>
              <w:bottom w:w="80" w:type="dxa"/>
              <w:end w:w="110" w:type="dxa"/>
            </w:tcMar>
          </w:tcPr>
          <w:p>
            <w:pPr>
              <w:spacing w:after="0" w:line="252" w:lineRule="auto"/>
              <w:ind w:firstLine="0"/>
              <w:jc w:val="left"/>
            </w:pPr>
            <w:r/>
            <w:r>
              <w:rPr>
                <w:rFonts w:ascii="Times New Roman" w:hAnsi="Times New Roman" w:eastAsia="SimSun"/>
                <w:b w:val="0"/>
                <w:i w:val="0"/>
                <w:color w:val="000000"/>
                <w:sz w:val="18"/>
              </w:rPr>
              <w:t>随机介质允许相互贯穿、重叠</w:t>
            </w:r>
          </w:p>
        </w:tc>
        <w:tc>
          <w:tcPr>
            <w:tcW w:type="dxa" w:w="136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Q2-Q4</w:t>
            </w:r>
          </w:p>
        </w:tc>
        <w:tc>
          <w:tcPr>
            <w:tcW w:type="dxa" w:w="2891"/>
            <w:vAlign w:val="center"/>
            <w:tcMar>
              <w:top w:w="80" w:type="dxa"/>
              <w:start w:w="110" w:type="dxa"/>
              <w:bottom w:w="80" w:type="dxa"/>
              <w:end w:w="110" w:type="dxa"/>
            </w:tcMar>
          </w:tcPr>
          <w:p>
            <w:pPr>
              <w:spacing w:after="0" w:line="252" w:lineRule="auto"/>
              <w:ind w:firstLine="0"/>
              <w:jc w:val="left"/>
            </w:pPr>
            <w:r/>
            <w:r>
              <w:rPr>
                <w:rFonts w:ascii="Times New Roman" w:hAnsi="Times New Roman" w:eastAsia="SimSun"/>
                <w:b w:val="0"/>
                <w:i w:val="0"/>
                <w:color w:val="000000"/>
                <w:sz w:val="18"/>
              </w:rPr>
              <w:t>若增加排斥约束则概率模型改变</w:t>
            </w:r>
          </w:p>
        </w:tc>
      </w:tr>
      <w:tr>
        <w:tc>
          <w:tcPr>
            <w:tcW w:type="dxa" w:w="124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补充解释</w:t>
            </w:r>
          </w:p>
        </w:tc>
        <w:tc>
          <w:tcPr>
            <w:tcW w:type="dxa" w:w="3515"/>
            <w:vAlign w:val="center"/>
            <w:tcMar>
              <w:top w:w="80" w:type="dxa"/>
              <w:start w:w="110" w:type="dxa"/>
              <w:bottom w:w="80" w:type="dxa"/>
              <w:end w:w="110" w:type="dxa"/>
            </w:tcMar>
          </w:tcPr>
          <w:p>
            <w:pPr>
              <w:spacing w:after="0" w:line="252" w:lineRule="auto"/>
              <w:ind w:firstLine="0"/>
              <w:jc w:val="left"/>
            </w:pPr>
            <w:r/>
            <w:r>
              <w:rPr>
                <w:rFonts w:ascii="Times New Roman" w:hAnsi="Times New Roman" w:eastAsia="SimSun"/>
                <w:b w:val="0"/>
                <w:i w:val="0"/>
                <w:color w:val="000000"/>
                <w:sz w:val="18"/>
              </w:rPr>
              <w:t>周期平移片段保持母体导体的电学身份</w:t>
            </w:r>
          </w:p>
        </w:tc>
        <w:tc>
          <w:tcPr>
            <w:tcW w:type="dxa" w:w="136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Q2-Q4</w:t>
            </w:r>
          </w:p>
        </w:tc>
        <w:tc>
          <w:tcPr>
            <w:tcW w:type="dxa" w:w="2891"/>
            <w:vAlign w:val="center"/>
            <w:tcMar>
              <w:top w:w="80" w:type="dxa"/>
              <w:start w:w="110" w:type="dxa"/>
              <w:bottom w:w="80" w:type="dxa"/>
              <w:end w:w="110" w:type="dxa"/>
            </w:tcMar>
          </w:tcPr>
          <w:p>
            <w:pPr>
              <w:spacing w:after="0" w:line="252" w:lineRule="auto"/>
              <w:ind w:firstLine="0"/>
              <w:jc w:val="left"/>
            </w:pPr>
            <w:r/>
            <w:r>
              <w:rPr>
                <w:rFonts w:ascii="Times New Roman" w:hAnsi="Times New Roman" w:eastAsia="SimSun"/>
                <w:b w:val="0"/>
                <w:i w:val="0"/>
                <w:color w:val="000000"/>
                <w:sz w:val="18"/>
              </w:rPr>
              <w:t>若片段电学断开，则直接贯通机制失效</w:t>
            </w:r>
          </w:p>
        </w:tc>
      </w:tr>
    </w:tbl>
    <w:p>
      <w:pPr>
        <w:spacing w:after="20"/>
        <w:ind w:firstLine="0"/>
      </w:pPr>
    </w:p>
    <w:p>
      <w:pPr>
        <w:pStyle w:val="Heading2"/>
      </w:pPr>
      <w:r>
        <w:rPr>
          <w:rFonts w:ascii="Times New Roman" w:hAnsi="Times New Roman" w:eastAsia="SimHei"/>
          <w:b/>
          <w:i w:val="0"/>
          <w:color w:val="000000"/>
          <w:sz w:val="26"/>
        </w:rPr>
        <w:t>2.2  主要符号</w:t>
      </w:r>
    </w:p>
    <w:p>
      <w:pPr>
        <w:pStyle w:val="FigureCaption"/>
        <w:keepNext/>
        <w:spacing w:before="80" w:after="40"/>
      </w:pPr>
      <w:r>
        <w:rPr>
          <w:rFonts w:ascii="Times New Roman" w:hAnsi="Times New Roman" w:eastAsia="SimSun"/>
          <w:b w:val="0"/>
          <w:i w:val="0"/>
          <w:color w:val="000000"/>
          <w:sz w:val="20"/>
        </w:rPr>
        <w:t>表2  主要符号及含义</w:t>
      </w:r>
    </w:p>
    <w:tbl>
      <w:tblPr>
        <w:tblStyle w:val="TableGrid"/>
        <w:tblW w:type="dxa" w:w="9014"/>
        <w:jc w:val="center"/>
        <w:tblLayout w:type="fixed"/>
        <w:tblLook w:firstColumn="1" w:firstRow="1" w:lastColumn="0" w:lastRow="0" w:noHBand="0" w:noVBand="1" w:val="04A0"/>
      </w:tblPr>
      <w:tblGrid>
        <w:gridCol w:w="1530"/>
        <w:gridCol w:w="4932"/>
        <w:gridCol w:w="2551"/>
      </w:tblGrid>
      <w:tr>
        <w:trPr>
          <w:tblHeader w:val="true"/>
        </w:trPr>
        <w:tc>
          <w:tcPr>
            <w:tcW w:type="dxa" w:w="1531"/>
            <w:tcMar>
              <w:top w:w="80" w:type="dxa"/>
              <w:start w:w="110" w:type="dxa"/>
              <w:bottom w:w="80" w:type="dxa"/>
              <w:end w:w="110" w:type="dxa"/>
            </w:tcMar>
            <w:shd w:fill="E7EEF3"/>
            <w:vAlign w:val="center"/>
          </w:tcPr>
          <w:p>
            <w:pPr>
              <w:spacing w:after="0"/>
              <w:ind w:firstLine="0"/>
              <w:jc w:val="center"/>
            </w:pPr>
            <w:r/>
            <w:r>
              <w:rPr>
                <w:rFonts w:ascii="Times New Roman" w:hAnsi="Times New Roman" w:eastAsia="SimHei"/>
                <w:b/>
                <w:i w:val="0"/>
                <w:color w:val="000000"/>
                <w:sz w:val="18"/>
              </w:rPr>
              <w:t>符号</w:t>
            </w:r>
          </w:p>
        </w:tc>
        <w:tc>
          <w:tcPr>
            <w:tcW w:type="dxa" w:w="4932"/>
            <w:tcMar>
              <w:top w:w="80" w:type="dxa"/>
              <w:start w:w="110" w:type="dxa"/>
              <w:bottom w:w="80" w:type="dxa"/>
              <w:end w:w="110" w:type="dxa"/>
            </w:tcMar>
            <w:shd w:fill="E7EEF3"/>
            <w:vAlign w:val="center"/>
          </w:tcPr>
          <w:p>
            <w:pPr>
              <w:spacing w:after="0"/>
              <w:ind w:firstLine="0"/>
              <w:jc w:val="center"/>
            </w:pPr>
            <w:r/>
            <w:r>
              <w:rPr>
                <w:rFonts w:ascii="Times New Roman" w:hAnsi="Times New Roman" w:eastAsia="SimHei"/>
                <w:b/>
                <w:i w:val="0"/>
                <w:color w:val="000000"/>
                <w:sz w:val="18"/>
              </w:rPr>
              <w:t>含义</w:t>
            </w:r>
          </w:p>
        </w:tc>
        <w:tc>
          <w:tcPr>
            <w:tcW w:type="dxa" w:w="2551"/>
            <w:tcMar>
              <w:top w:w="80" w:type="dxa"/>
              <w:start w:w="110" w:type="dxa"/>
              <w:bottom w:w="80" w:type="dxa"/>
              <w:end w:w="110" w:type="dxa"/>
            </w:tcMar>
            <w:shd w:fill="E7EEF3"/>
            <w:vAlign w:val="center"/>
          </w:tcPr>
          <w:p>
            <w:pPr>
              <w:spacing w:after="0"/>
              <w:ind w:firstLine="0"/>
              <w:jc w:val="center"/>
            </w:pPr>
            <w:r/>
            <w:r>
              <w:rPr>
                <w:rFonts w:ascii="Times New Roman" w:hAnsi="Times New Roman" w:eastAsia="SimHei"/>
                <w:b/>
                <w:i w:val="0"/>
                <w:color w:val="000000"/>
                <w:sz w:val="18"/>
              </w:rPr>
              <w:t>取值或单位</w:t>
            </w:r>
          </w:p>
        </w:tc>
      </w:tr>
      <w:tr>
        <w:tc>
          <w:tcPr>
            <w:tcW w:type="dxa" w:w="153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L</w:t>
            </w:r>
          </w:p>
        </w:tc>
        <w:tc>
          <w:tcPr>
            <w:tcW w:type="dxa" w:w="4932"/>
            <w:vAlign w:val="center"/>
            <w:tcMar>
              <w:top w:w="80" w:type="dxa"/>
              <w:start w:w="110" w:type="dxa"/>
              <w:bottom w:w="80" w:type="dxa"/>
              <w:end w:w="110" w:type="dxa"/>
            </w:tcMar>
          </w:tcPr>
          <w:p>
            <w:pPr>
              <w:spacing w:after="0" w:line="252" w:lineRule="auto"/>
              <w:ind w:firstLine="0"/>
              <w:jc w:val="left"/>
            </w:pPr>
            <w:r/>
            <w:r>
              <w:rPr>
                <w:rFonts w:ascii="Times New Roman" w:hAnsi="Times New Roman" w:eastAsia="SimSun"/>
                <w:b w:val="0"/>
                <w:i w:val="0"/>
                <w:color w:val="000000"/>
                <w:sz w:val="18"/>
              </w:rPr>
              <w:t>立方体边长</w:t>
            </w:r>
          </w:p>
        </w:tc>
        <w:tc>
          <w:tcPr>
            <w:tcW w:type="dxa" w:w="255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10000 nm</w:t>
            </w:r>
          </w:p>
        </w:tc>
      </w:tr>
      <w:tr>
        <w:tc>
          <w:tcPr>
            <w:tcW w:type="dxa" w:w="153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g</w:t>
            </w:r>
          </w:p>
        </w:tc>
        <w:tc>
          <w:tcPr>
            <w:tcW w:type="dxa" w:w="4932"/>
            <w:vAlign w:val="center"/>
            <w:tcMar>
              <w:top w:w="80" w:type="dxa"/>
              <w:start w:w="110" w:type="dxa"/>
              <w:bottom w:w="80" w:type="dxa"/>
              <w:end w:w="110" w:type="dxa"/>
            </w:tcMar>
          </w:tcPr>
          <w:p>
            <w:pPr>
              <w:spacing w:after="0" w:line="252" w:lineRule="auto"/>
              <w:ind w:firstLine="0"/>
              <w:jc w:val="left"/>
            </w:pPr>
            <w:r/>
            <w:r>
              <w:rPr>
                <w:rFonts w:ascii="Times New Roman" w:hAnsi="Times New Roman" w:eastAsia="SimSun"/>
                <w:b w:val="0"/>
                <w:i w:val="0"/>
                <w:color w:val="000000"/>
                <w:sz w:val="18"/>
              </w:rPr>
              <w:t>表面导通阈值</w:t>
            </w:r>
          </w:p>
        </w:tc>
        <w:tc>
          <w:tcPr>
            <w:tcW w:type="dxa" w:w="255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1.8 nm</w:t>
            </w:r>
          </w:p>
        </w:tc>
      </w:tr>
      <w:tr>
        <w:tc>
          <w:tcPr>
            <w:tcW w:type="dxa" w:w="153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H, r_A</w:t>
            </w:r>
          </w:p>
        </w:tc>
        <w:tc>
          <w:tcPr>
            <w:tcW w:type="dxa" w:w="4932"/>
            <w:vAlign w:val="center"/>
            <w:tcMar>
              <w:top w:w="80" w:type="dxa"/>
              <w:start w:w="110" w:type="dxa"/>
              <w:bottom w:w="80" w:type="dxa"/>
              <w:end w:w="110" w:type="dxa"/>
            </w:tcMar>
          </w:tcPr>
          <w:p>
            <w:pPr>
              <w:spacing w:after="0" w:line="252" w:lineRule="auto"/>
              <w:ind w:firstLine="0"/>
              <w:jc w:val="left"/>
            </w:pPr>
            <w:r/>
            <w:r>
              <w:rPr>
                <w:rFonts w:ascii="Times New Roman" w:hAnsi="Times New Roman" w:eastAsia="SimSun"/>
                <w:b w:val="0"/>
                <w:i w:val="0"/>
                <w:color w:val="000000"/>
                <w:sz w:val="18"/>
              </w:rPr>
              <w:t>介质A的高度与半径</w:t>
            </w:r>
          </w:p>
        </w:tc>
        <w:tc>
          <w:tcPr>
            <w:tcW w:type="dxa" w:w="255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5000 nm, 30 nm</w:t>
            </w:r>
          </w:p>
        </w:tc>
      </w:tr>
      <w:tr>
        <w:tc>
          <w:tcPr>
            <w:tcW w:type="dxa" w:w="153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r_B</w:t>
            </w:r>
          </w:p>
        </w:tc>
        <w:tc>
          <w:tcPr>
            <w:tcW w:type="dxa" w:w="4932"/>
            <w:vAlign w:val="center"/>
            <w:tcMar>
              <w:top w:w="80" w:type="dxa"/>
              <w:start w:w="110" w:type="dxa"/>
              <w:bottom w:w="80" w:type="dxa"/>
              <w:end w:w="110" w:type="dxa"/>
            </w:tcMar>
          </w:tcPr>
          <w:p>
            <w:pPr>
              <w:spacing w:after="0" w:line="252" w:lineRule="auto"/>
              <w:ind w:firstLine="0"/>
              <w:jc w:val="left"/>
            </w:pPr>
            <w:r/>
            <w:r>
              <w:rPr>
                <w:rFonts w:ascii="Times New Roman" w:hAnsi="Times New Roman" w:eastAsia="SimSun"/>
                <w:b w:val="0"/>
                <w:i w:val="0"/>
                <w:color w:val="000000"/>
                <w:sz w:val="18"/>
              </w:rPr>
              <w:t>介质B半径</w:t>
            </w:r>
          </w:p>
        </w:tc>
        <w:tc>
          <w:tcPr>
            <w:tcW w:type="dxa" w:w="255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200 nm</w:t>
            </w:r>
          </w:p>
        </w:tc>
      </w:tr>
      <w:tr>
        <w:tc>
          <w:tcPr>
            <w:tcW w:type="dxa" w:w="153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n_A, n_B</w:t>
            </w:r>
          </w:p>
        </w:tc>
        <w:tc>
          <w:tcPr>
            <w:tcW w:type="dxa" w:w="4932"/>
            <w:vAlign w:val="center"/>
            <w:tcMar>
              <w:top w:w="80" w:type="dxa"/>
              <w:start w:w="110" w:type="dxa"/>
              <w:bottom w:w="80" w:type="dxa"/>
              <w:end w:w="110" w:type="dxa"/>
            </w:tcMar>
          </w:tcPr>
          <w:p>
            <w:pPr>
              <w:spacing w:after="0" w:line="252" w:lineRule="auto"/>
              <w:ind w:firstLine="0"/>
              <w:jc w:val="left"/>
            </w:pPr>
            <w:r/>
            <w:r>
              <w:rPr>
                <w:rFonts w:ascii="Times New Roman" w:hAnsi="Times New Roman" w:eastAsia="SimSun"/>
                <w:b w:val="0"/>
                <w:i w:val="0"/>
                <w:color w:val="000000"/>
                <w:sz w:val="18"/>
              </w:rPr>
              <w:t>A、B填充数量</w:t>
            </w:r>
          </w:p>
        </w:tc>
        <w:tc>
          <w:tcPr>
            <w:tcW w:type="dxa" w:w="255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非负整数</w:t>
            </w:r>
          </w:p>
        </w:tc>
      </w:tr>
      <w:tr>
        <w:tc>
          <w:tcPr>
            <w:tcW w:type="dxa" w:w="153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a_x</w:t>
            </w:r>
          </w:p>
        </w:tc>
        <w:tc>
          <w:tcPr>
            <w:tcW w:type="dxa" w:w="4932"/>
            <w:vAlign w:val="center"/>
            <w:tcMar>
              <w:top w:w="80" w:type="dxa"/>
              <w:start w:w="110" w:type="dxa"/>
              <w:bottom w:w="80" w:type="dxa"/>
              <w:end w:w="110" w:type="dxa"/>
            </w:tcMar>
          </w:tcPr>
          <w:p>
            <w:pPr>
              <w:spacing w:after="0" w:line="252" w:lineRule="auto"/>
              <w:ind w:firstLine="0"/>
              <w:jc w:val="left"/>
            </w:pPr>
            <w:r/>
            <w:r>
              <w:rPr>
                <w:rFonts w:ascii="Times New Roman" w:hAnsi="Times New Roman" w:eastAsia="SimSun"/>
                <w:b w:val="0"/>
                <w:i w:val="0"/>
                <w:color w:val="000000"/>
                <w:sz w:val="18"/>
              </w:rPr>
              <w:t>粒子在x方向的支撑半宽</w:t>
            </w:r>
          </w:p>
        </w:tc>
        <w:tc>
          <w:tcPr>
            <w:tcW w:type="dxa" w:w="255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nm</w:t>
            </w:r>
          </w:p>
        </w:tc>
      </w:tr>
      <w:tr>
        <w:tc>
          <w:tcPr>
            <w:tcW w:type="dxa" w:w="153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D</w:t>
            </w:r>
          </w:p>
        </w:tc>
        <w:tc>
          <w:tcPr>
            <w:tcW w:type="dxa" w:w="4932"/>
            <w:vAlign w:val="center"/>
            <w:tcMar>
              <w:top w:w="80" w:type="dxa"/>
              <w:start w:w="110" w:type="dxa"/>
              <w:bottom w:w="80" w:type="dxa"/>
              <w:end w:w="110" w:type="dxa"/>
            </w:tcMar>
          </w:tcPr>
          <w:p>
            <w:pPr>
              <w:spacing w:after="0" w:line="252" w:lineRule="auto"/>
              <w:ind w:firstLine="0"/>
              <w:jc w:val="left"/>
            </w:pPr>
            <w:r/>
            <w:r>
              <w:rPr>
                <w:rFonts w:ascii="Times New Roman" w:hAnsi="Times New Roman" w:eastAsia="SimSun"/>
                <w:b w:val="0"/>
                <w:i w:val="0"/>
                <w:color w:val="000000"/>
                <w:sz w:val="18"/>
              </w:rPr>
              <w:t>至少一个粒子直接贯通事件</w:t>
            </w:r>
          </w:p>
        </w:tc>
        <w:tc>
          <w:tcPr>
            <w:tcW w:type="dxa" w:w="255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事件</w:t>
            </w:r>
          </w:p>
        </w:tc>
      </w:tr>
      <w:tr>
        <w:tc>
          <w:tcPr>
            <w:tcW w:type="dxa" w:w="153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T</w:t>
            </w:r>
          </w:p>
        </w:tc>
        <w:tc>
          <w:tcPr>
            <w:tcW w:type="dxa" w:w="4932"/>
            <w:vAlign w:val="center"/>
            <w:tcMar>
              <w:top w:w="80" w:type="dxa"/>
              <w:start w:w="110" w:type="dxa"/>
              <w:bottom w:w="80" w:type="dxa"/>
              <w:end w:w="110" w:type="dxa"/>
            </w:tcMar>
          </w:tcPr>
          <w:p>
            <w:pPr>
              <w:spacing w:after="0" w:line="252" w:lineRule="auto"/>
              <w:ind w:firstLine="0"/>
              <w:jc w:val="left"/>
            </w:pPr>
            <w:r/>
            <w:r>
              <w:rPr>
                <w:rFonts w:ascii="Times New Roman" w:hAnsi="Times New Roman" w:eastAsia="SimSun"/>
                <w:b w:val="0"/>
                <w:i w:val="0"/>
                <w:color w:val="000000"/>
                <w:sz w:val="18"/>
              </w:rPr>
              <w:t>整体左右导通事件</w:t>
            </w:r>
          </w:p>
        </w:tc>
        <w:tc>
          <w:tcPr>
            <w:tcW w:type="dxa" w:w="255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事件</w:t>
            </w:r>
          </w:p>
        </w:tc>
      </w:tr>
      <w:tr>
        <w:tc>
          <w:tcPr>
            <w:tcW w:type="dxa" w:w="153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S_i^L, S_i^R</w:t>
            </w:r>
          </w:p>
        </w:tc>
        <w:tc>
          <w:tcPr>
            <w:tcW w:type="dxa" w:w="4932"/>
            <w:vAlign w:val="center"/>
            <w:tcMar>
              <w:top w:w="80" w:type="dxa"/>
              <w:start w:w="110" w:type="dxa"/>
              <w:bottom w:w="80" w:type="dxa"/>
              <w:end w:w="110" w:type="dxa"/>
            </w:tcMar>
          </w:tcPr>
          <w:p>
            <w:pPr>
              <w:spacing w:after="0" w:line="252" w:lineRule="auto"/>
              <w:ind w:firstLine="0"/>
              <w:jc w:val="left"/>
            </w:pPr>
            <w:r/>
            <w:r>
              <w:rPr>
                <w:rFonts w:ascii="Times New Roman" w:hAnsi="Times New Roman" w:eastAsia="SimSun"/>
                <w:b w:val="0"/>
                <w:i w:val="0"/>
                <w:color w:val="000000"/>
                <w:sz w:val="18"/>
              </w:rPr>
              <w:t>粒子i未越界但接触左/右电极的剩余薄壳事件</w:t>
            </w:r>
          </w:p>
        </w:tc>
        <w:tc>
          <w:tcPr>
            <w:tcW w:type="dxa" w:w="255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事件</w:t>
            </w:r>
          </w:p>
        </w:tc>
      </w:tr>
      <w:tr>
        <w:tc>
          <w:tcPr>
            <w:tcW w:type="dxa" w:w="153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P_dir</w:t>
            </w:r>
          </w:p>
        </w:tc>
        <w:tc>
          <w:tcPr>
            <w:tcW w:type="dxa" w:w="4932"/>
            <w:vAlign w:val="center"/>
            <w:tcMar>
              <w:top w:w="80" w:type="dxa"/>
              <w:start w:w="110" w:type="dxa"/>
              <w:bottom w:w="80" w:type="dxa"/>
              <w:end w:w="110" w:type="dxa"/>
            </w:tcMar>
          </w:tcPr>
          <w:p>
            <w:pPr>
              <w:spacing w:after="0" w:line="252" w:lineRule="auto"/>
              <w:ind w:firstLine="0"/>
              <w:jc w:val="left"/>
            </w:pPr>
            <w:r/>
            <w:r>
              <w:rPr>
                <w:rFonts w:ascii="Times New Roman" w:hAnsi="Times New Roman" w:eastAsia="SimSun"/>
                <w:b w:val="0"/>
                <w:i w:val="0"/>
                <w:color w:val="000000"/>
                <w:sz w:val="18"/>
              </w:rPr>
              <w:t>直接贯通事件D的概率</w:t>
            </w:r>
          </w:p>
        </w:tc>
        <w:tc>
          <w:tcPr>
            <w:tcW w:type="dxa" w:w="255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[0,1]</w:t>
            </w:r>
          </w:p>
        </w:tc>
      </w:tr>
      <w:tr>
        <w:tc>
          <w:tcPr>
            <w:tcW w:type="dxa" w:w="153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C</w:t>
            </w:r>
          </w:p>
        </w:tc>
        <w:tc>
          <w:tcPr>
            <w:tcW w:type="dxa" w:w="4932"/>
            <w:vAlign w:val="center"/>
            <w:tcMar>
              <w:top w:w="80" w:type="dxa"/>
              <w:start w:w="110" w:type="dxa"/>
              <w:bottom w:w="80" w:type="dxa"/>
              <w:end w:w="110" w:type="dxa"/>
            </w:tcMar>
          </w:tcPr>
          <w:p>
            <w:pPr>
              <w:spacing w:after="0" w:line="252" w:lineRule="auto"/>
              <w:ind w:firstLine="0"/>
              <w:jc w:val="left"/>
            </w:pPr>
            <w:r/>
            <w:r>
              <w:rPr>
                <w:rFonts w:ascii="Times New Roman" w:hAnsi="Times New Roman" w:eastAsia="SimSun"/>
                <w:b w:val="0"/>
                <w:i w:val="0"/>
                <w:color w:val="000000"/>
                <w:sz w:val="18"/>
              </w:rPr>
              <w:t>材料成本</w:t>
            </w:r>
          </w:p>
        </w:tc>
        <w:tc>
          <w:tcPr>
            <w:tcW w:type="dxa" w:w="255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元</w:t>
            </w:r>
          </w:p>
        </w:tc>
      </w:tr>
    </w:tbl>
    <w:p>
      <w:pPr>
        <w:spacing w:after="20"/>
        <w:ind w:firstLine="0"/>
      </w:pPr>
    </w:p>
    <w:p>
      <w:pPr>
        <w:pStyle w:val="Heading2"/>
      </w:pPr>
      <w:r>
        <w:rPr>
          <w:rFonts w:ascii="Times New Roman" w:hAnsi="Times New Roman" w:eastAsia="SimHei"/>
          <w:b/>
          <w:i w:val="0"/>
          <w:color w:val="000000"/>
          <w:sz w:val="26"/>
        </w:rPr>
        <w:t>2.3  体积与成本换算</w:t>
      </w:r>
    </w:p>
    <w:p>
      <w:pPr>
        <w:keepLines/>
        <w:spacing w:before="60" w:after="60"/>
        <w:ind w:firstLine="0"/>
        <w:jc w:val="center"/>
        <w:tabs>
          <w:tab w:val="right" w:pos="9000"/>
        </w:tabs>
      </w:pPr>
      <m:oMathPara>
        <m:oMath>
          <m:r>
            <m:t>V_A=πr_A²H=1.4137167×10⁷ nm³,   V_B=4πr_B³/3=3.3510322×10⁷ nm³</m:t>
          </m:r>
        </m:oMath>
      </m:oMathPara>
      <w:r>
        <w:rPr>
          <w:rFonts w:ascii="Cambria Math" w:hAnsi="Cambria Math" w:eastAsia="SimSun"/>
          <w:b w:val="0"/>
          <w:i w:val="0"/>
          <w:color w:val="000000"/>
          <w:sz w:val="23"/>
        </w:rPr>
        <w:tab/>
        <w:t>(1)</w:t>
      </w:r>
    </w:p>
    <w:p>
      <w:pPr>
        <w:keepLines/>
        <w:spacing w:before="60" w:after="60"/>
        <w:ind w:firstLine="0"/>
        <w:jc w:val="center"/>
        <w:tabs>
          <w:tab w:val="right" w:pos="9000"/>
        </w:tabs>
      </w:pPr>
      <m:oMathPara>
        <m:oMath>
          <m:r>
            <m:t>C=1.05V_An_A/10⁹+0.05V_Bn_B/10⁹=0.0148440253n_A+0.0016755161n_B</m:t>
          </m:r>
        </m:oMath>
      </m:oMathPara>
      <w:r>
        <w:rPr>
          <w:rFonts w:ascii="Cambria Math" w:hAnsi="Cambria Math" w:eastAsia="SimSun"/>
          <w:b w:val="0"/>
          <w:i w:val="0"/>
          <w:color w:val="000000"/>
          <w:sz w:val="23"/>
        </w:rPr>
        <w:tab/>
        <w:t>(2)</w:t>
      </w:r>
    </w:p>
    <w:p>
      <w:pPr>
        <w:keepNext w:val="0"/>
        <w:spacing w:after="60" w:line="293" w:lineRule="auto"/>
        <w:ind w:firstLine="420"/>
        <w:jc w:val="both"/>
      </w:pPr>
      <w:r>
        <w:rPr>
          <w:rFonts w:ascii="Times New Roman" w:hAnsi="Times New Roman" w:eastAsia="SimSun"/>
          <w:b w:val="0"/>
          <w:i w:val="0"/>
          <w:color w:val="000000"/>
          <w:sz w:val="23"/>
        </w:rPr>
        <w:t>式(1)按真实圆柱与球体积计算，式(2)把nm^3换算为um^3。所有数量先在整数域内求解，体积分数仅作为结果的物理表达，不用四舍五入后的体积分数反推粒子数。</w:t>
      </w:r>
    </w:p>
    <w:p>
      <w:pPr>
        <w:pStyle w:val="Heading1"/>
      </w:pPr>
      <w:r>
        <w:rPr>
          <w:rFonts w:ascii="Times New Roman" w:hAnsi="Times New Roman" w:eastAsia="SimHei"/>
          <w:b/>
          <w:i w:val="0"/>
          <w:color w:val="000000"/>
          <w:sz w:val="30"/>
        </w:rPr>
        <w:t>3  问题一：确定性构型的几何连通模型</w:t>
      </w:r>
    </w:p>
    <w:p>
      <w:pPr>
        <w:pStyle w:val="Heading2"/>
      </w:pPr>
      <w:r>
        <w:rPr>
          <w:rFonts w:ascii="Times New Roman" w:hAnsi="Times New Roman" w:eastAsia="SimHei"/>
          <w:b/>
          <w:i w:val="0"/>
          <w:color w:val="000000"/>
          <w:sz w:val="26"/>
        </w:rPr>
        <w:t>3.1  附件数据审计</w:t>
      </w:r>
    </w:p>
    <w:p>
      <w:pPr>
        <w:keepNext w:val="0"/>
        <w:spacing w:after="60" w:line="293" w:lineRule="auto"/>
        <w:ind w:firstLine="420"/>
        <w:jc w:val="both"/>
      </w:pPr>
      <w:r>
        <w:rPr>
          <w:rFonts w:ascii="Times New Roman" w:hAnsi="Times New Roman" w:eastAsia="SimSun"/>
          <w:b w:val="0"/>
          <w:i w:val="0"/>
          <w:color w:val="000000"/>
          <w:sz w:val="23"/>
        </w:rPr>
        <w:t>三组附件分别包含12、49和535行介质A数据。轴段长度范围为1019.117-5000.000 nm、577.474-5000.000 nm和525.697-5000.000 nm，说明坐标中保留了边界截断后的轴段表达。组1、组2和组3触及任一边界面的行比例分别为58.3%、44.9%和71.0%。附件又明确每行表示一个A，因此本文不因相对边界端点重合而跨行合并身份，也不把短轴段擅自延长。数据特征见图3。</w:t>
      </w:r>
    </w:p>
    <w:p>
      <w:pPr>
        <w:keepNext/>
        <w:spacing w:before="80" w:after="20"/>
        <w:ind w:firstLine="0"/>
        <w:jc w:val="center"/>
      </w:pPr>
      <w:r>
        <w:drawing>
          <wp:inline xmlns:a="http://schemas.openxmlformats.org/drawingml/2006/main" xmlns:pic="http://schemas.openxmlformats.org/drawingml/2006/picture">
            <wp:extent cx="5508000" cy="3098250"/>
            <wp:docPr id="3" name="Picture 3" title="图3 附件三组数据规模与边界截断特征" descr="附件三组数据规模与边界截断特征"/>
            <wp:cNvGraphicFramePr>
              <a:graphicFrameLocks noChangeAspect="1"/>
            </wp:cNvGraphicFramePr>
            <a:graphic>
              <a:graphicData uri="http://schemas.openxmlformats.org/drawingml/2006/picture">
                <pic:pic>
                  <pic:nvPicPr>
                    <pic:cNvPr id="0" name="03_data_audit.png"/>
                    <pic:cNvPicPr/>
                  </pic:nvPicPr>
                  <pic:blipFill>
                    <a:blip r:embed="rId12"/>
                    <a:stretch>
                      <a:fillRect/>
                    </a:stretch>
                  </pic:blipFill>
                  <pic:spPr>
                    <a:xfrm>
                      <a:off x="0" y="0"/>
                      <a:ext cx="5508000" cy="3098250"/>
                    </a:xfrm>
                    <a:prstGeom prst="rect"/>
                  </pic:spPr>
                </pic:pic>
              </a:graphicData>
            </a:graphic>
          </wp:inline>
        </w:drawing>
      </w:r>
    </w:p>
    <w:p>
      <w:pPr>
        <w:pStyle w:val="FigureCaption"/>
        <w:keepLines/>
      </w:pPr>
      <w:r>
        <w:rPr>
          <w:rFonts w:ascii="Times New Roman" w:hAnsi="Times New Roman" w:eastAsia="SimSun"/>
          <w:b w:val="0"/>
          <w:i w:val="0"/>
          <w:color w:val="000000"/>
          <w:sz w:val="20"/>
        </w:rPr>
        <w:t>图3  附件三组数据规模与边界截断特征</w:t>
      </w:r>
    </w:p>
    <w:p>
      <w:pPr>
        <w:pStyle w:val="Heading2"/>
      </w:pPr>
      <w:r>
        <w:rPr>
          <w:rFonts w:ascii="Times New Roman" w:hAnsi="Times New Roman" w:eastAsia="SimHei"/>
          <w:b/>
          <w:i w:val="0"/>
          <w:color w:val="000000"/>
          <w:sz w:val="26"/>
        </w:rPr>
        <w:t>3.2  行级连通图</w:t>
      </w:r>
    </w:p>
    <w:p>
      <w:pPr>
        <w:keepNext w:val="0"/>
        <w:spacing w:after="60" w:line="293" w:lineRule="auto"/>
        <w:ind w:firstLine="420"/>
        <w:jc w:val="both"/>
      </w:pPr>
      <w:r>
        <w:rPr>
          <w:rFonts w:ascii="Times New Roman" w:hAnsi="Times New Roman" w:eastAsia="SimSun"/>
          <w:b w:val="0"/>
          <w:i w:val="0"/>
          <w:color w:val="000000"/>
          <w:sz w:val="23"/>
        </w:rPr>
        <w:t>建立无向图G=(V,E)。V由两个虚拟电极节点LEFT、RIGHT和每一行对应的圆柱节点组成。若圆柱与电极的最短距离不超过g，则连接圆柱节点与相应电极；若两个圆柱的表面最短距离不超过g，则连接对应节点。LEFT与RIGHT位于同一连通分量当且仅当该构型导通。</w:t>
      </w:r>
    </w:p>
    <w:p>
      <w:pPr>
        <w:keepLines/>
        <w:spacing w:before="60" w:after="60"/>
        <w:ind w:firstLine="0"/>
        <w:jc w:val="center"/>
        <w:tabs>
          <w:tab w:val="right" w:pos="9000"/>
        </w:tabs>
      </w:pPr>
      <m:oMathPara>
        <m:oMath>
          <m:r>
            <m:t>(i,j)∈E ⇔ dist(A_i,A_j)≤g;   (LEFT,i)∈E ⇔ dist(A_i,F_L)≤g</m:t>
          </m:r>
        </m:oMath>
      </m:oMathPara>
      <w:r>
        <w:rPr>
          <w:rFonts w:ascii="Cambria Math" w:hAnsi="Cambria Math" w:eastAsia="SimSun"/>
          <w:b w:val="0"/>
          <w:i w:val="0"/>
          <w:color w:val="000000"/>
          <w:sz w:val="23"/>
        </w:rPr>
        <w:tab/>
        <w:t>(3)</w:t>
      </w:r>
    </w:p>
    <w:p>
      <w:pPr>
        <w:pStyle w:val="Heading2"/>
      </w:pPr>
      <w:r>
        <w:rPr>
          <w:rFonts w:ascii="Times New Roman" w:hAnsi="Times New Roman" w:eastAsia="SimHei"/>
          <w:b/>
          <w:i w:val="0"/>
          <w:color w:val="000000"/>
          <w:sz w:val="26"/>
        </w:rPr>
        <w:t>3.3  平端圆柱的候选边与充分证书</w:t>
      </w:r>
    </w:p>
    <w:p>
      <w:pPr>
        <w:keepNext w:val="0"/>
        <w:spacing w:after="60" w:line="293" w:lineRule="auto"/>
        <w:ind w:firstLine="420"/>
        <w:jc w:val="both"/>
      </w:pPr>
      <w:r>
        <w:rPr>
          <w:rFonts w:ascii="Times New Roman" w:hAnsi="Times New Roman" w:eastAsia="SimSun"/>
          <w:b w:val="0"/>
          <w:i w:val="0"/>
          <w:color w:val="000000"/>
          <w:sz w:val="23"/>
        </w:rPr>
        <w:t>两条轴段的最短距离不超过2r_A+g=61.8 nm时，相应胶囊体必接触，因此该条件可用于生成候选边。但胶囊体把圆柱端部替换为半球，可能把端点附近接近误判为平端圆柱接触。为避免这一问题，对正例路径中的每条圆柱—圆柱边保存轴段最短点参数s,t。当0&lt;s&lt;1且0&lt;t&lt;1时，两个最短点均位于轴段内部，表面间隙等于max(0,d_axis-2r_A)，可作为真实侧面接触的充分证书。对负例，胶囊体是平端圆柱的超集；若胶囊超图仍不连通，则真实图一定不连通。图4解释了证书条件。</w:t>
      </w:r>
    </w:p>
    <w:p>
      <w:pPr>
        <w:keepNext/>
        <w:spacing w:before="80" w:after="20"/>
        <w:ind w:firstLine="0"/>
        <w:jc w:val="center"/>
      </w:pPr>
      <w:r>
        <w:drawing>
          <wp:inline xmlns:a="http://schemas.openxmlformats.org/drawingml/2006/main" xmlns:pic="http://schemas.openxmlformats.org/drawingml/2006/picture">
            <wp:extent cx="5292000" cy="2976750"/>
            <wp:docPr id="4" name="Picture 4" title="图4 平端圆柱侧面接触的轴段最短点证书" descr="平端圆柱侧面接触的轴段最短点证书"/>
            <wp:cNvGraphicFramePr>
              <a:graphicFrameLocks noChangeAspect="1"/>
            </wp:cNvGraphicFramePr>
            <a:graphic>
              <a:graphicData uri="http://schemas.openxmlformats.org/drawingml/2006/picture">
                <pic:pic>
                  <pic:nvPicPr>
                    <pic:cNvPr id="0" name="06_flat_cylinder_certificate.png"/>
                    <pic:cNvPicPr/>
                  </pic:nvPicPr>
                  <pic:blipFill>
                    <a:blip r:embed="rId13"/>
                    <a:stretch>
                      <a:fillRect/>
                    </a:stretch>
                  </pic:blipFill>
                  <pic:spPr>
                    <a:xfrm>
                      <a:off x="0" y="0"/>
                      <a:ext cx="5292000" cy="2976750"/>
                    </a:xfrm>
                    <a:prstGeom prst="rect"/>
                  </pic:spPr>
                </pic:pic>
              </a:graphicData>
            </a:graphic>
          </wp:inline>
        </w:drawing>
      </w:r>
    </w:p>
    <w:p>
      <w:pPr>
        <w:pStyle w:val="FigureCaption"/>
        <w:keepLines/>
      </w:pPr>
      <w:r>
        <w:rPr>
          <w:rFonts w:ascii="Times New Roman" w:hAnsi="Times New Roman" w:eastAsia="SimSun"/>
          <w:b w:val="0"/>
          <w:i w:val="0"/>
          <w:color w:val="000000"/>
          <w:sz w:val="20"/>
        </w:rPr>
        <w:t>图4  平端圆柱侧面接触的轴段最短点证书</w:t>
      </w:r>
    </w:p>
    <w:p>
      <w:pPr>
        <w:pStyle w:val="Heading2"/>
      </w:pPr>
      <w:r>
        <w:rPr>
          <w:rFonts w:ascii="Times New Roman" w:hAnsi="Times New Roman" w:eastAsia="SimHei"/>
          <w:b/>
          <w:i w:val="0"/>
          <w:color w:val="000000"/>
          <w:sz w:val="26"/>
        </w:rPr>
        <w:t>3.4  三组构型的求解结果</w:t>
      </w:r>
    </w:p>
    <w:p>
      <w:pPr>
        <w:keepNext w:val="0"/>
        <w:spacing w:after="60" w:line="293" w:lineRule="auto"/>
        <w:ind w:firstLine="420"/>
        <w:jc w:val="both"/>
      </w:pPr>
      <w:r>
        <w:rPr>
          <w:rFonts w:ascii="Times New Roman" w:hAnsi="Times New Roman" w:eastAsia="SimSun"/>
          <w:b w:val="0"/>
          <w:i w:val="0"/>
          <w:color w:val="000000"/>
          <w:sz w:val="23"/>
        </w:rPr>
        <w:t>对每组数据先计算电极接触，再全对全生成候选边，以广相位空间索引复核边数，最后用广度优先搜索恢复LEFT-RIGHT路径。图5把三组真实xyz构型并列展示，红线只标注算法恢复的路径；三维图用于解释空间关系，结论仍以数值图搜索和路径证书为准。</w:t>
      </w:r>
    </w:p>
    <w:p>
      <w:pPr>
        <w:keepNext/>
        <w:spacing w:before="80" w:after="20"/>
        <w:ind w:firstLine="0"/>
        <w:jc w:val="center"/>
      </w:pPr>
      <w:r>
        <w:drawing>
          <wp:inline xmlns:a="http://schemas.openxmlformats.org/drawingml/2006/main" xmlns:pic="http://schemas.openxmlformats.org/drawingml/2006/picture">
            <wp:extent cx="5688000" cy="1968127"/>
            <wp:docPr id="5" name="Picture 5" title="图5 三组真实三维构型与显式导通路径" descr="三组真实三维构型与显式导通路径"/>
            <wp:cNvGraphicFramePr>
              <a:graphicFrameLocks noChangeAspect="1"/>
            </wp:cNvGraphicFramePr>
            <a:graphic>
              <a:graphicData uri="http://schemas.openxmlformats.org/drawingml/2006/picture">
                <pic:pic>
                  <pic:nvPicPr>
                    <pic:cNvPr id="0" name="C01_q1_3d_triptych.png"/>
                    <pic:cNvPicPr/>
                  </pic:nvPicPr>
                  <pic:blipFill>
                    <a:blip r:embed="rId14"/>
                    <a:stretch>
                      <a:fillRect/>
                    </a:stretch>
                  </pic:blipFill>
                  <pic:spPr>
                    <a:xfrm>
                      <a:off x="0" y="0"/>
                      <a:ext cx="5688000" cy="1968127"/>
                    </a:xfrm>
                    <a:prstGeom prst="rect"/>
                  </pic:spPr>
                </pic:pic>
              </a:graphicData>
            </a:graphic>
          </wp:inline>
        </w:drawing>
      </w:r>
    </w:p>
    <w:p>
      <w:pPr>
        <w:pStyle w:val="FigureCaption"/>
        <w:keepLines/>
      </w:pPr>
      <w:r>
        <w:rPr>
          <w:rFonts w:ascii="Times New Roman" w:hAnsi="Times New Roman" w:eastAsia="SimSun"/>
          <w:b w:val="0"/>
          <w:i w:val="0"/>
          <w:color w:val="000000"/>
          <w:sz w:val="20"/>
        </w:rPr>
        <w:t>图5  三组真实三维构型与显式导通路径</w:t>
      </w:r>
    </w:p>
    <w:p>
      <w:pPr>
        <w:pStyle w:val="FigureCaption"/>
        <w:keepNext/>
        <w:spacing w:before="80" w:after="40"/>
      </w:pPr>
      <w:r>
        <w:rPr>
          <w:rFonts w:ascii="Times New Roman" w:hAnsi="Times New Roman" w:eastAsia="SimSun"/>
          <w:b w:val="0"/>
          <w:i w:val="0"/>
          <w:color w:val="000000"/>
          <w:sz w:val="20"/>
        </w:rPr>
        <w:t>表3  Q1三组附件构型的连通结果</w:t>
      </w:r>
    </w:p>
    <w:tbl>
      <w:tblPr>
        <w:tblStyle w:val="TableGrid"/>
        <w:tblW w:type="dxa" w:w="9070"/>
        <w:jc w:val="center"/>
        <w:tblLayout w:type="fixed"/>
        <w:tblLook w:firstColumn="1" w:firstRow="1" w:lastColumn="0" w:lastRow="0" w:noHBand="0" w:noVBand="1" w:val="04A0"/>
      </w:tblPr>
      <w:tblGrid>
        <w:gridCol w:w="623"/>
        <w:gridCol w:w="793"/>
        <w:gridCol w:w="737"/>
        <w:gridCol w:w="737"/>
        <w:gridCol w:w="737"/>
        <w:gridCol w:w="850"/>
        <w:gridCol w:w="4592"/>
      </w:tblGrid>
      <w:tr>
        <w:trPr>
          <w:tblHeader w:val="true"/>
        </w:trPr>
        <w:tc>
          <w:tcPr>
            <w:tcW w:type="dxa" w:w="624"/>
            <w:tcMar>
              <w:top w:w="80" w:type="dxa"/>
              <w:start w:w="110" w:type="dxa"/>
              <w:bottom w:w="80" w:type="dxa"/>
              <w:end w:w="110" w:type="dxa"/>
            </w:tcMar>
            <w:shd w:fill="E7EEF3"/>
            <w:vAlign w:val="center"/>
          </w:tcPr>
          <w:p>
            <w:pPr>
              <w:spacing w:after="0"/>
              <w:ind w:firstLine="0"/>
              <w:jc w:val="center"/>
            </w:pPr>
            <w:r/>
            <w:r>
              <w:rPr>
                <w:rFonts w:ascii="Times New Roman" w:hAnsi="Times New Roman" w:eastAsia="SimHei"/>
                <w:b/>
                <w:i w:val="0"/>
                <w:color w:val="000000"/>
                <w:sz w:val="17"/>
              </w:rPr>
              <w:t>组别</w:t>
            </w:r>
          </w:p>
        </w:tc>
        <w:tc>
          <w:tcPr>
            <w:tcW w:type="dxa" w:w="794"/>
            <w:tcMar>
              <w:top w:w="80" w:type="dxa"/>
              <w:start w:w="110" w:type="dxa"/>
              <w:bottom w:w="80" w:type="dxa"/>
              <w:end w:w="110" w:type="dxa"/>
            </w:tcMar>
            <w:shd w:fill="E7EEF3"/>
            <w:vAlign w:val="center"/>
          </w:tcPr>
          <w:p>
            <w:pPr>
              <w:spacing w:after="0"/>
              <w:ind w:firstLine="0"/>
              <w:jc w:val="center"/>
            </w:pPr>
            <w:r/>
            <w:r>
              <w:rPr>
                <w:rFonts w:ascii="Times New Roman" w:hAnsi="Times New Roman" w:eastAsia="SimHei"/>
                <w:b/>
                <w:i w:val="0"/>
                <w:color w:val="000000"/>
                <w:sz w:val="17"/>
              </w:rPr>
              <w:t>节点数</w:t>
            </w:r>
          </w:p>
        </w:tc>
        <w:tc>
          <w:tcPr>
            <w:tcW w:type="dxa" w:w="737"/>
            <w:tcMar>
              <w:top w:w="80" w:type="dxa"/>
              <w:start w:w="110" w:type="dxa"/>
              <w:bottom w:w="80" w:type="dxa"/>
              <w:end w:w="110" w:type="dxa"/>
            </w:tcMar>
            <w:shd w:fill="E7EEF3"/>
            <w:vAlign w:val="center"/>
          </w:tcPr>
          <w:p>
            <w:pPr>
              <w:spacing w:after="0"/>
              <w:ind w:firstLine="0"/>
              <w:jc w:val="center"/>
            </w:pPr>
            <w:r/>
            <w:r>
              <w:rPr>
                <w:rFonts w:ascii="Times New Roman" w:hAnsi="Times New Roman" w:eastAsia="SimHei"/>
                <w:b/>
                <w:i w:val="0"/>
                <w:color w:val="000000"/>
                <w:sz w:val="17"/>
              </w:rPr>
              <w:t>边数</w:t>
            </w:r>
          </w:p>
        </w:tc>
        <w:tc>
          <w:tcPr>
            <w:tcW w:type="dxa" w:w="737"/>
            <w:tcMar>
              <w:top w:w="80" w:type="dxa"/>
              <w:start w:w="110" w:type="dxa"/>
              <w:bottom w:w="80" w:type="dxa"/>
              <w:end w:w="110" w:type="dxa"/>
            </w:tcMar>
            <w:shd w:fill="E7EEF3"/>
            <w:vAlign w:val="center"/>
          </w:tcPr>
          <w:p>
            <w:pPr>
              <w:spacing w:after="0"/>
              <w:ind w:firstLine="0"/>
              <w:jc w:val="center"/>
            </w:pPr>
            <w:r/>
            <w:r>
              <w:rPr>
                <w:rFonts w:ascii="Times New Roman" w:hAnsi="Times New Roman" w:eastAsia="SimHei"/>
                <w:b/>
                <w:i w:val="0"/>
                <w:color w:val="000000"/>
                <w:sz w:val="17"/>
              </w:rPr>
              <w:t>左接触</w:t>
            </w:r>
          </w:p>
        </w:tc>
        <w:tc>
          <w:tcPr>
            <w:tcW w:type="dxa" w:w="737"/>
            <w:tcMar>
              <w:top w:w="80" w:type="dxa"/>
              <w:start w:w="110" w:type="dxa"/>
              <w:bottom w:w="80" w:type="dxa"/>
              <w:end w:w="110" w:type="dxa"/>
            </w:tcMar>
            <w:shd w:fill="E7EEF3"/>
            <w:vAlign w:val="center"/>
          </w:tcPr>
          <w:p>
            <w:pPr>
              <w:spacing w:after="0"/>
              <w:ind w:firstLine="0"/>
              <w:jc w:val="center"/>
            </w:pPr>
            <w:r/>
            <w:r>
              <w:rPr>
                <w:rFonts w:ascii="Times New Roman" w:hAnsi="Times New Roman" w:eastAsia="SimHei"/>
                <w:b/>
                <w:i w:val="0"/>
                <w:color w:val="000000"/>
                <w:sz w:val="17"/>
              </w:rPr>
              <w:t>右接触</w:t>
            </w:r>
          </w:p>
        </w:tc>
        <w:tc>
          <w:tcPr>
            <w:tcW w:type="dxa" w:w="850"/>
            <w:tcMar>
              <w:top w:w="80" w:type="dxa"/>
              <w:start w:w="110" w:type="dxa"/>
              <w:bottom w:w="80" w:type="dxa"/>
              <w:end w:w="110" w:type="dxa"/>
            </w:tcMar>
            <w:shd w:fill="E7EEF3"/>
            <w:vAlign w:val="center"/>
          </w:tcPr>
          <w:p>
            <w:pPr>
              <w:spacing w:after="0"/>
              <w:ind w:firstLine="0"/>
              <w:jc w:val="center"/>
            </w:pPr>
            <w:r/>
            <w:r>
              <w:rPr>
                <w:rFonts w:ascii="Times New Roman" w:hAnsi="Times New Roman" w:eastAsia="SimHei"/>
                <w:b/>
                <w:i w:val="0"/>
                <w:color w:val="000000"/>
                <w:sz w:val="17"/>
              </w:rPr>
              <w:t>结论</w:t>
            </w:r>
          </w:p>
        </w:tc>
        <w:tc>
          <w:tcPr>
            <w:tcW w:type="dxa" w:w="4592"/>
            <w:tcMar>
              <w:top w:w="80" w:type="dxa"/>
              <w:start w:w="110" w:type="dxa"/>
              <w:bottom w:w="80" w:type="dxa"/>
              <w:end w:w="110" w:type="dxa"/>
            </w:tcMar>
            <w:shd w:fill="E7EEF3"/>
            <w:vAlign w:val="center"/>
          </w:tcPr>
          <w:p>
            <w:pPr>
              <w:spacing w:after="0"/>
              <w:ind w:firstLine="0"/>
              <w:jc w:val="center"/>
            </w:pPr>
            <w:r/>
            <w:r>
              <w:rPr>
                <w:rFonts w:ascii="Times New Roman" w:hAnsi="Times New Roman" w:eastAsia="SimHei"/>
                <w:b/>
                <w:i w:val="0"/>
                <w:color w:val="000000"/>
                <w:sz w:val="17"/>
              </w:rPr>
              <w:t>显式路径</w:t>
            </w:r>
          </w:p>
        </w:tc>
      </w:tr>
      <w:tr>
        <w:tc>
          <w:tcPr>
            <w:tcW w:type="dxa" w:w="624"/>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组1</w:t>
            </w:r>
          </w:p>
        </w:tc>
        <w:tc>
          <w:tcPr>
            <w:tcW w:type="dxa" w:w="794"/>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12</w:t>
            </w:r>
          </w:p>
        </w:tc>
        <w:tc>
          <w:tcPr>
            <w:tcW w:type="dxa" w:w="73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2</w:t>
            </w:r>
          </w:p>
        </w:tc>
        <w:tc>
          <w:tcPr>
            <w:tcW w:type="dxa" w:w="73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3</w:t>
            </w:r>
          </w:p>
        </w:tc>
        <w:tc>
          <w:tcPr>
            <w:tcW w:type="dxa" w:w="73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4</w:t>
            </w:r>
          </w:p>
        </w:tc>
        <w:tc>
          <w:tcPr>
            <w:tcW w:type="dxa" w:w="850"/>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不导通</w:t>
            </w:r>
          </w:p>
        </w:tc>
        <w:tc>
          <w:tcPr>
            <w:tcW w:type="dxa" w:w="4592"/>
            <w:vAlign w:val="center"/>
            <w:tcMar>
              <w:top w:w="80" w:type="dxa"/>
              <w:start w:w="110" w:type="dxa"/>
              <w:bottom w:w="80" w:type="dxa"/>
              <w:end w:w="110" w:type="dxa"/>
            </w:tcMar>
          </w:tcPr>
          <w:p>
            <w:pPr>
              <w:spacing w:after="0" w:line="252" w:lineRule="auto"/>
              <w:ind w:firstLine="0"/>
              <w:jc w:val="left"/>
            </w:pPr>
            <w:r/>
            <w:r>
              <w:rPr>
                <w:rFonts w:ascii="Times New Roman" w:hAnsi="Times New Roman" w:eastAsia="SimSun"/>
                <w:b w:val="0"/>
                <w:i w:val="0"/>
                <w:color w:val="000000"/>
                <w:sz w:val="17"/>
              </w:rPr>
              <w:t>无</w:t>
            </w:r>
          </w:p>
        </w:tc>
      </w:tr>
      <w:tr>
        <w:tc>
          <w:tcPr>
            <w:tcW w:type="dxa" w:w="624"/>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组2</w:t>
            </w:r>
          </w:p>
        </w:tc>
        <w:tc>
          <w:tcPr>
            <w:tcW w:type="dxa" w:w="794"/>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49</w:t>
            </w:r>
          </w:p>
        </w:tc>
        <w:tc>
          <w:tcPr>
            <w:tcW w:type="dxa" w:w="73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27</w:t>
            </w:r>
          </w:p>
        </w:tc>
        <w:tc>
          <w:tcPr>
            <w:tcW w:type="dxa" w:w="73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11</w:t>
            </w:r>
          </w:p>
        </w:tc>
        <w:tc>
          <w:tcPr>
            <w:tcW w:type="dxa" w:w="73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11</w:t>
            </w:r>
          </w:p>
        </w:tc>
        <w:tc>
          <w:tcPr>
            <w:tcW w:type="dxa" w:w="850"/>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导通</w:t>
            </w:r>
          </w:p>
        </w:tc>
        <w:tc>
          <w:tcPr>
            <w:tcW w:type="dxa" w:w="4592"/>
            <w:vAlign w:val="center"/>
            <w:tcMar>
              <w:top w:w="80" w:type="dxa"/>
              <w:start w:w="110" w:type="dxa"/>
              <w:bottom w:w="80" w:type="dxa"/>
              <w:end w:w="110" w:type="dxa"/>
            </w:tcMar>
          </w:tcPr>
          <w:p>
            <w:pPr>
              <w:spacing w:after="0" w:line="252" w:lineRule="auto"/>
              <w:ind w:firstLine="0"/>
              <w:jc w:val="left"/>
            </w:pPr>
            <w:r/>
            <w:r>
              <w:rPr>
                <w:rFonts w:ascii="Times New Roman" w:hAnsi="Times New Roman" w:eastAsia="SimSun"/>
                <w:b w:val="0"/>
                <w:i w:val="0"/>
                <w:color w:val="000000"/>
                <w:sz w:val="17"/>
              </w:rPr>
              <w:t>左面-2-12-24-39-右面</w:t>
            </w:r>
          </w:p>
        </w:tc>
      </w:tr>
      <w:tr>
        <w:tc>
          <w:tcPr>
            <w:tcW w:type="dxa" w:w="624"/>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组3</w:t>
            </w:r>
          </w:p>
        </w:tc>
        <w:tc>
          <w:tcPr>
            <w:tcW w:type="dxa" w:w="794"/>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535</w:t>
            </w:r>
          </w:p>
        </w:tc>
        <w:tc>
          <w:tcPr>
            <w:tcW w:type="dxa" w:w="73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166</w:t>
            </w:r>
          </w:p>
        </w:tc>
        <w:tc>
          <w:tcPr>
            <w:tcW w:type="dxa" w:w="73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92</w:t>
            </w:r>
          </w:p>
        </w:tc>
        <w:tc>
          <w:tcPr>
            <w:tcW w:type="dxa" w:w="73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90</w:t>
            </w:r>
          </w:p>
        </w:tc>
        <w:tc>
          <w:tcPr>
            <w:tcW w:type="dxa" w:w="850"/>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导通</w:t>
            </w:r>
          </w:p>
        </w:tc>
        <w:tc>
          <w:tcPr>
            <w:tcW w:type="dxa" w:w="4592"/>
            <w:vAlign w:val="center"/>
            <w:tcMar>
              <w:top w:w="80" w:type="dxa"/>
              <w:start w:w="110" w:type="dxa"/>
              <w:bottom w:w="80" w:type="dxa"/>
              <w:end w:w="110" w:type="dxa"/>
            </w:tcMar>
          </w:tcPr>
          <w:p>
            <w:pPr>
              <w:spacing w:after="0" w:line="252" w:lineRule="auto"/>
              <w:ind w:firstLine="0"/>
              <w:jc w:val="left"/>
            </w:pPr>
            <w:r/>
            <w:r>
              <w:rPr>
                <w:rFonts w:ascii="Times New Roman" w:hAnsi="Times New Roman" w:eastAsia="SimSun"/>
                <w:b w:val="0"/>
                <w:i w:val="0"/>
                <w:color w:val="000000"/>
                <w:sz w:val="17"/>
              </w:rPr>
              <w:t>左面-63-264-216-351-右面</w:t>
            </w:r>
          </w:p>
        </w:tc>
      </w:tr>
    </w:tbl>
    <w:p>
      <w:pPr>
        <w:spacing w:after="20"/>
        <w:ind w:firstLine="0"/>
      </w:pPr>
    </w:p>
    <w:p>
      <w:pPr>
        <w:keepNext w:val="0"/>
        <w:spacing w:after="60" w:line="293" w:lineRule="auto"/>
        <w:ind w:firstLine="420"/>
        <w:jc w:val="both"/>
      </w:pPr>
      <w:r>
        <w:rPr>
          <w:rFonts w:ascii="Times New Roman" w:hAnsi="Times New Roman" w:eastAsia="SimSun"/>
          <w:b w:val="0"/>
          <w:i w:val="0"/>
          <w:color w:val="000000"/>
          <w:sz w:val="23"/>
        </w:rPr>
        <w:t>组1在更易连通的胶囊超图中仅有2条介质间候选边，LEFT与RIGHT仍分属不同连通分量，因此按附件行级口径不导通。组2和组3均找到显式路径；表4列出的6条介质间边满足s,t位于(0,1)，轴距不超过61.8 nm。这里的内部最短点是侧面接触的必要核验；对最靠近端部的边，正文不把胶囊候选图中的全部边都宣称为精确平端圆柱分类。</w:t>
      </w:r>
    </w:p>
    <w:p>
      <w:pPr>
        <w:pStyle w:val="FigureCaption"/>
        <w:keepNext/>
        <w:spacing w:before="80" w:after="40"/>
      </w:pPr>
      <w:r>
        <w:rPr>
          <w:rFonts w:ascii="Times New Roman" w:hAnsi="Times New Roman" w:eastAsia="SimSun"/>
          <w:b w:val="0"/>
          <w:i w:val="0"/>
          <w:color w:val="000000"/>
          <w:sz w:val="20"/>
        </w:rPr>
        <w:t>表4  Q1正例路径的侧面接触证书</w:t>
      </w:r>
    </w:p>
    <w:tbl>
      <w:tblPr>
        <w:tblStyle w:val="TableGrid"/>
        <w:tblW w:type="dxa" w:w="7993"/>
        <w:jc w:val="center"/>
        <w:tblLayout w:type="fixed"/>
        <w:tblLook w:firstColumn="1" w:firstRow="1" w:lastColumn="0" w:lastRow="0" w:noHBand="0" w:noVBand="1" w:val="04A0"/>
      </w:tblPr>
      <w:tblGrid>
        <w:gridCol w:w="850"/>
        <w:gridCol w:w="1417"/>
        <w:gridCol w:w="1700"/>
        <w:gridCol w:w="1247"/>
        <w:gridCol w:w="1247"/>
        <w:gridCol w:w="1530"/>
      </w:tblGrid>
      <w:tr>
        <w:trPr>
          <w:tblHeader w:val="true"/>
        </w:trPr>
        <w:tc>
          <w:tcPr>
            <w:tcW w:type="dxa" w:w="850"/>
            <w:tcMar>
              <w:top w:w="80" w:type="dxa"/>
              <w:start w:w="110" w:type="dxa"/>
              <w:bottom w:w="80" w:type="dxa"/>
              <w:end w:w="110" w:type="dxa"/>
            </w:tcMar>
            <w:shd w:fill="E7EEF3"/>
            <w:vAlign w:val="center"/>
          </w:tcPr>
          <w:p>
            <w:pPr>
              <w:spacing w:after="0"/>
              <w:ind w:firstLine="0"/>
              <w:jc w:val="center"/>
            </w:pPr>
            <w:r/>
            <w:r>
              <w:rPr>
                <w:rFonts w:ascii="Times New Roman" w:hAnsi="Times New Roman" w:eastAsia="SimHei"/>
                <w:b/>
                <w:i w:val="0"/>
                <w:color w:val="000000"/>
                <w:sz w:val="18"/>
              </w:rPr>
              <w:t>组别</w:t>
            </w:r>
          </w:p>
        </w:tc>
        <w:tc>
          <w:tcPr>
            <w:tcW w:type="dxa" w:w="1417"/>
            <w:tcMar>
              <w:top w:w="80" w:type="dxa"/>
              <w:start w:w="110" w:type="dxa"/>
              <w:bottom w:w="80" w:type="dxa"/>
              <w:end w:w="110" w:type="dxa"/>
            </w:tcMar>
            <w:shd w:fill="E7EEF3"/>
            <w:vAlign w:val="center"/>
          </w:tcPr>
          <w:p>
            <w:pPr>
              <w:spacing w:after="0"/>
              <w:ind w:firstLine="0"/>
              <w:jc w:val="center"/>
            </w:pPr>
            <w:r/>
            <w:r>
              <w:rPr>
                <w:rFonts w:ascii="Times New Roman" w:hAnsi="Times New Roman" w:eastAsia="SimHei"/>
                <w:b/>
                <w:i w:val="0"/>
                <w:color w:val="000000"/>
                <w:sz w:val="18"/>
              </w:rPr>
              <w:t>边</w:t>
            </w:r>
          </w:p>
        </w:tc>
        <w:tc>
          <w:tcPr>
            <w:tcW w:type="dxa" w:w="1701"/>
            <w:tcMar>
              <w:top w:w="80" w:type="dxa"/>
              <w:start w:w="110" w:type="dxa"/>
              <w:bottom w:w="80" w:type="dxa"/>
              <w:end w:w="110" w:type="dxa"/>
            </w:tcMar>
            <w:shd w:fill="E7EEF3"/>
            <w:vAlign w:val="center"/>
          </w:tcPr>
          <w:p>
            <w:pPr>
              <w:spacing w:after="0"/>
              <w:ind w:firstLine="0"/>
              <w:jc w:val="center"/>
            </w:pPr>
            <w:r/>
            <w:r>
              <w:rPr>
                <w:rFonts w:ascii="Times New Roman" w:hAnsi="Times New Roman" w:eastAsia="SimHei"/>
                <w:b/>
                <w:i w:val="0"/>
                <w:color w:val="000000"/>
                <w:sz w:val="18"/>
              </w:rPr>
              <w:t>轴距/nm</w:t>
            </w:r>
          </w:p>
        </w:tc>
        <w:tc>
          <w:tcPr>
            <w:tcW w:type="dxa" w:w="1247"/>
            <w:tcMar>
              <w:top w:w="80" w:type="dxa"/>
              <w:start w:w="110" w:type="dxa"/>
              <w:bottom w:w="80" w:type="dxa"/>
              <w:end w:w="110" w:type="dxa"/>
            </w:tcMar>
            <w:shd w:fill="E7EEF3"/>
            <w:vAlign w:val="center"/>
          </w:tcPr>
          <w:p>
            <w:pPr>
              <w:spacing w:after="0"/>
              <w:ind w:firstLine="0"/>
              <w:jc w:val="center"/>
            </w:pPr>
            <w:r/>
            <w:r>
              <w:rPr>
                <w:rFonts w:ascii="Times New Roman" w:hAnsi="Times New Roman" w:eastAsia="SimHei"/>
                <w:b/>
                <w:i w:val="0"/>
                <w:color w:val="000000"/>
                <w:sz w:val="18"/>
              </w:rPr>
              <w:t>s</w:t>
            </w:r>
          </w:p>
        </w:tc>
        <w:tc>
          <w:tcPr>
            <w:tcW w:type="dxa" w:w="1247"/>
            <w:tcMar>
              <w:top w:w="80" w:type="dxa"/>
              <w:start w:w="110" w:type="dxa"/>
              <w:bottom w:w="80" w:type="dxa"/>
              <w:end w:w="110" w:type="dxa"/>
            </w:tcMar>
            <w:shd w:fill="E7EEF3"/>
            <w:vAlign w:val="center"/>
          </w:tcPr>
          <w:p>
            <w:pPr>
              <w:spacing w:after="0"/>
              <w:ind w:firstLine="0"/>
              <w:jc w:val="center"/>
            </w:pPr>
            <w:r/>
            <w:r>
              <w:rPr>
                <w:rFonts w:ascii="Times New Roman" w:hAnsi="Times New Roman" w:eastAsia="SimHei"/>
                <w:b/>
                <w:i w:val="0"/>
                <w:color w:val="000000"/>
                <w:sz w:val="18"/>
              </w:rPr>
              <w:t>t</w:t>
            </w:r>
          </w:p>
        </w:tc>
        <w:tc>
          <w:tcPr>
            <w:tcW w:type="dxa" w:w="1531"/>
            <w:tcMar>
              <w:top w:w="80" w:type="dxa"/>
              <w:start w:w="110" w:type="dxa"/>
              <w:bottom w:w="80" w:type="dxa"/>
              <w:end w:w="110" w:type="dxa"/>
            </w:tcMar>
            <w:shd w:fill="E7EEF3"/>
            <w:vAlign w:val="center"/>
          </w:tcPr>
          <w:p>
            <w:pPr>
              <w:spacing w:after="0"/>
              <w:ind w:firstLine="0"/>
              <w:jc w:val="center"/>
            </w:pPr>
            <w:r/>
            <w:r>
              <w:rPr>
                <w:rFonts w:ascii="Times New Roman" w:hAnsi="Times New Roman" w:eastAsia="SimHei"/>
                <w:b/>
                <w:i w:val="0"/>
                <w:color w:val="000000"/>
                <w:sz w:val="18"/>
              </w:rPr>
              <w:t>证书</w:t>
            </w:r>
          </w:p>
        </w:tc>
      </w:tr>
      <w:tr>
        <w:tc>
          <w:tcPr>
            <w:tcW w:type="dxa" w:w="850"/>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组2</w:t>
            </w:r>
          </w:p>
        </w:tc>
        <w:tc>
          <w:tcPr>
            <w:tcW w:type="dxa" w:w="141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2-12</w:t>
            </w:r>
          </w:p>
        </w:tc>
        <w:tc>
          <w:tcPr>
            <w:tcW w:type="dxa" w:w="170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55.832</w:t>
            </w:r>
          </w:p>
        </w:tc>
        <w:tc>
          <w:tcPr>
            <w:tcW w:type="dxa" w:w="124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0.661</w:t>
            </w:r>
          </w:p>
        </w:tc>
        <w:tc>
          <w:tcPr>
            <w:tcW w:type="dxa" w:w="124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0.522</w:t>
            </w:r>
          </w:p>
        </w:tc>
        <w:tc>
          <w:tcPr>
            <w:tcW w:type="dxa" w:w="153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通过</w:t>
            </w:r>
          </w:p>
        </w:tc>
      </w:tr>
      <w:tr>
        <w:tc>
          <w:tcPr>
            <w:tcW w:type="dxa" w:w="850"/>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组2</w:t>
            </w:r>
          </w:p>
        </w:tc>
        <w:tc>
          <w:tcPr>
            <w:tcW w:type="dxa" w:w="141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12-24</w:t>
            </w:r>
          </w:p>
        </w:tc>
        <w:tc>
          <w:tcPr>
            <w:tcW w:type="dxa" w:w="170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1.441</w:t>
            </w:r>
          </w:p>
        </w:tc>
        <w:tc>
          <w:tcPr>
            <w:tcW w:type="dxa" w:w="124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0.919</w:t>
            </w:r>
          </w:p>
        </w:tc>
        <w:tc>
          <w:tcPr>
            <w:tcW w:type="dxa" w:w="124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0.346</w:t>
            </w:r>
          </w:p>
        </w:tc>
        <w:tc>
          <w:tcPr>
            <w:tcW w:type="dxa" w:w="153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通过</w:t>
            </w:r>
          </w:p>
        </w:tc>
      </w:tr>
      <w:tr>
        <w:tc>
          <w:tcPr>
            <w:tcW w:type="dxa" w:w="850"/>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组2</w:t>
            </w:r>
          </w:p>
        </w:tc>
        <w:tc>
          <w:tcPr>
            <w:tcW w:type="dxa" w:w="141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24-39</w:t>
            </w:r>
          </w:p>
        </w:tc>
        <w:tc>
          <w:tcPr>
            <w:tcW w:type="dxa" w:w="170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49.073</w:t>
            </w:r>
          </w:p>
        </w:tc>
        <w:tc>
          <w:tcPr>
            <w:tcW w:type="dxa" w:w="124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0.970</w:t>
            </w:r>
          </w:p>
        </w:tc>
        <w:tc>
          <w:tcPr>
            <w:tcW w:type="dxa" w:w="124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0.310</w:t>
            </w:r>
          </w:p>
        </w:tc>
        <w:tc>
          <w:tcPr>
            <w:tcW w:type="dxa" w:w="153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通过</w:t>
            </w:r>
          </w:p>
        </w:tc>
      </w:tr>
      <w:tr>
        <w:tc>
          <w:tcPr>
            <w:tcW w:type="dxa" w:w="850"/>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组3</w:t>
            </w:r>
          </w:p>
        </w:tc>
        <w:tc>
          <w:tcPr>
            <w:tcW w:type="dxa" w:w="141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63-264</w:t>
            </w:r>
          </w:p>
        </w:tc>
        <w:tc>
          <w:tcPr>
            <w:tcW w:type="dxa" w:w="170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56.765</w:t>
            </w:r>
          </w:p>
        </w:tc>
        <w:tc>
          <w:tcPr>
            <w:tcW w:type="dxa" w:w="124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0.962</w:t>
            </w:r>
          </w:p>
        </w:tc>
        <w:tc>
          <w:tcPr>
            <w:tcW w:type="dxa" w:w="124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0.882</w:t>
            </w:r>
          </w:p>
        </w:tc>
        <w:tc>
          <w:tcPr>
            <w:tcW w:type="dxa" w:w="153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通过</w:t>
            </w:r>
          </w:p>
        </w:tc>
      </w:tr>
      <w:tr>
        <w:tc>
          <w:tcPr>
            <w:tcW w:type="dxa" w:w="850"/>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组3</w:t>
            </w:r>
          </w:p>
        </w:tc>
        <w:tc>
          <w:tcPr>
            <w:tcW w:type="dxa" w:w="141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264-216</w:t>
            </w:r>
          </w:p>
        </w:tc>
        <w:tc>
          <w:tcPr>
            <w:tcW w:type="dxa" w:w="170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54.914</w:t>
            </w:r>
          </w:p>
        </w:tc>
        <w:tc>
          <w:tcPr>
            <w:tcW w:type="dxa" w:w="124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0.535</w:t>
            </w:r>
          </w:p>
        </w:tc>
        <w:tc>
          <w:tcPr>
            <w:tcW w:type="dxa" w:w="124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0.324</w:t>
            </w:r>
          </w:p>
        </w:tc>
        <w:tc>
          <w:tcPr>
            <w:tcW w:type="dxa" w:w="153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通过</w:t>
            </w:r>
          </w:p>
        </w:tc>
      </w:tr>
      <w:tr>
        <w:tc>
          <w:tcPr>
            <w:tcW w:type="dxa" w:w="850"/>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组3</w:t>
            </w:r>
          </w:p>
        </w:tc>
        <w:tc>
          <w:tcPr>
            <w:tcW w:type="dxa" w:w="141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216-351</w:t>
            </w:r>
          </w:p>
        </w:tc>
        <w:tc>
          <w:tcPr>
            <w:tcW w:type="dxa" w:w="170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36.028</w:t>
            </w:r>
          </w:p>
        </w:tc>
        <w:tc>
          <w:tcPr>
            <w:tcW w:type="dxa" w:w="124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0.722</w:t>
            </w:r>
          </w:p>
        </w:tc>
        <w:tc>
          <w:tcPr>
            <w:tcW w:type="dxa" w:w="124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0.199</w:t>
            </w:r>
          </w:p>
        </w:tc>
        <w:tc>
          <w:tcPr>
            <w:tcW w:type="dxa" w:w="153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通过</w:t>
            </w:r>
          </w:p>
        </w:tc>
      </w:tr>
    </w:tbl>
    <w:p>
      <w:pPr>
        <w:spacing w:after="20"/>
        <w:ind w:firstLine="0"/>
      </w:pPr>
    </w:p>
    <w:p>
      <w:pPr>
        <w:pStyle w:val="Heading1"/>
      </w:pPr>
      <w:r>
        <w:rPr>
          <w:rFonts w:ascii="Times New Roman" w:hAnsi="Times New Roman" w:eastAsia="SimHei"/>
          <w:b/>
          <w:i w:val="0"/>
          <w:color w:val="000000"/>
          <w:sz w:val="30"/>
        </w:rPr>
        <w:t>4  Q2-Q4共享的随机填充概率模型</w:t>
      </w:r>
    </w:p>
    <w:p>
      <w:pPr>
        <w:pStyle w:val="Heading2"/>
      </w:pPr>
      <w:r>
        <w:rPr>
          <w:rFonts w:ascii="Times New Roman" w:hAnsi="Times New Roman" w:eastAsia="SimHei"/>
          <w:b/>
          <w:i w:val="0"/>
          <w:color w:val="000000"/>
          <w:sz w:val="26"/>
        </w:rPr>
        <w:t>4.1  单粒子直接贯通事件</w:t>
      </w:r>
    </w:p>
    <w:p>
      <w:pPr>
        <w:keepNext w:val="0"/>
        <w:spacing w:after="60" w:line="293" w:lineRule="auto"/>
        <w:ind w:firstLine="420"/>
        <w:jc w:val="both"/>
      </w:pPr>
      <w:r>
        <w:rPr>
          <w:rFonts w:ascii="Times New Roman" w:hAnsi="Times New Roman" w:eastAsia="SimSun"/>
          <w:b w:val="0"/>
          <w:i w:val="0"/>
          <w:color w:val="000000"/>
          <w:sz w:val="23"/>
        </w:rPr>
        <w:t>若某粒子在x方向跨越任一周期边界，其越界片段从对侧进入且保持同一导体身份，于是该粒子自身形成左右贯通。该事件是总导通事件T的充分条件而非必要条件，因此由它得到的是严格概率下界。图7分别示意圆柱A和球B的直接贯通机制。</w:t>
      </w:r>
    </w:p>
    <w:p>
      <w:pPr>
        <w:keepNext/>
        <w:spacing w:before="80" w:after="20"/>
        <w:ind w:firstLine="0"/>
        <w:jc w:val="center"/>
      </w:pPr>
      <w:r>
        <w:drawing>
          <wp:inline xmlns:a="http://schemas.openxmlformats.org/drawingml/2006/main" xmlns:pic="http://schemas.openxmlformats.org/drawingml/2006/picture">
            <wp:extent cx="5508000" cy="3098250"/>
            <wp:docPr id="6" name="Picture 6" title="图6 A、B单粒子跨越周期边界的直接贯通机制" descr="A、B单粒子跨越周期边界的直接贯通机制"/>
            <wp:cNvGraphicFramePr>
              <a:graphicFrameLocks noChangeAspect="1"/>
            </wp:cNvGraphicFramePr>
            <a:graphic>
              <a:graphicData uri="http://schemas.openxmlformats.org/drawingml/2006/picture">
                <pic:pic>
                  <pic:nvPicPr>
                    <pic:cNvPr id="0" name="07_direct_bridge_mechanism.png"/>
                    <pic:cNvPicPr/>
                  </pic:nvPicPr>
                  <pic:blipFill>
                    <a:blip r:embed="rId15"/>
                    <a:stretch>
                      <a:fillRect/>
                    </a:stretch>
                  </pic:blipFill>
                  <pic:spPr>
                    <a:xfrm>
                      <a:off x="0" y="0"/>
                      <a:ext cx="5508000" cy="3098250"/>
                    </a:xfrm>
                    <a:prstGeom prst="rect"/>
                  </pic:spPr>
                </pic:pic>
              </a:graphicData>
            </a:graphic>
          </wp:inline>
        </w:drawing>
      </w:r>
    </w:p>
    <w:p>
      <w:pPr>
        <w:pStyle w:val="FigureCaption"/>
        <w:keepLines/>
      </w:pPr>
      <w:r>
        <w:rPr>
          <w:rFonts w:ascii="Times New Roman" w:hAnsi="Times New Roman" w:eastAsia="SimSun"/>
          <w:b w:val="0"/>
          <w:i w:val="0"/>
          <w:color w:val="000000"/>
          <w:sz w:val="20"/>
        </w:rPr>
        <w:t>图6  A、B单粒子跨越周期边界的直接贯通机制</w:t>
      </w:r>
    </w:p>
    <w:p>
      <w:pPr>
        <w:pStyle w:val="Heading2"/>
      </w:pPr>
      <w:r>
        <w:rPr>
          <w:rFonts w:ascii="Times New Roman" w:hAnsi="Times New Roman" w:eastAsia="SimHei"/>
          <w:b/>
          <w:i w:val="0"/>
          <w:color w:val="000000"/>
          <w:sz w:val="26"/>
        </w:rPr>
        <w:t>4.2  圆柱A的直接贯通概率</w:t>
      </w:r>
    </w:p>
    <w:p>
      <w:pPr>
        <w:keepNext w:val="0"/>
        <w:spacing w:after="60" w:line="293" w:lineRule="auto"/>
        <w:ind w:firstLine="420"/>
        <w:jc w:val="both"/>
      </w:pPr>
      <w:r>
        <w:rPr>
          <w:rFonts w:ascii="Times New Roman" w:hAnsi="Times New Roman" w:eastAsia="SimSun"/>
          <w:b w:val="0"/>
          <w:i w:val="0"/>
          <w:color w:val="000000"/>
          <w:sz w:val="23"/>
        </w:rPr>
        <w:t>设圆柱轴向单位向量的x分量为u_x。平端圆柱在x方向的支撑半宽由轴向投影和端面圆盘投影共同组成。固定方向后，圆柱中心落入任一边界内侧a_x范围即越界，两侧合计条件概率为2a_x/L。</w:t>
      </w:r>
    </w:p>
    <w:p>
      <w:pPr>
        <w:keepLines/>
        <w:spacing w:before="60" w:after="60"/>
        <w:ind w:firstLine="0"/>
        <w:jc w:val="center"/>
        <w:tabs>
          <w:tab w:val="right" w:pos="9000"/>
        </w:tabs>
      </w:pPr>
      <m:oMathPara>
        <m:oMath>
          <m:r>
            <m:t>a_x=(H/2)|u_x|+r_A√(1-u_x²)</m:t>
          </m:r>
        </m:oMath>
      </m:oMathPara>
      <w:r>
        <w:rPr>
          <w:rFonts w:ascii="Cambria Math" w:hAnsi="Cambria Math" w:eastAsia="SimSun"/>
          <w:b w:val="0"/>
          <w:i w:val="0"/>
          <w:color w:val="000000"/>
          <w:sz w:val="23"/>
        </w:rPr>
        <w:tab/>
        <w:t>(4)</w:t>
      </w:r>
    </w:p>
    <w:p>
      <w:pPr>
        <w:keepNext w:val="0"/>
        <w:spacing w:after="60" w:line="293" w:lineRule="auto"/>
        <w:ind w:firstLine="420"/>
        <w:jc w:val="both"/>
      </w:pPr>
      <w:r>
        <w:rPr>
          <w:rFonts w:ascii="Times New Roman" w:hAnsi="Times New Roman" w:eastAsia="SimSun"/>
          <w:b w:val="0"/>
          <w:i w:val="0"/>
          <w:color w:val="000000"/>
          <w:sz w:val="23"/>
        </w:rPr>
        <w:t>各向同性方向满足E|u_x|=1/2以及E sqrt(1-u_x^2)=pi/4，故对方向积分可得q_A。图8给出条件越界概率随|u_x|的变化及其方向平均。</w:t>
      </w:r>
    </w:p>
    <w:p>
      <w:pPr>
        <w:keepLines/>
        <w:spacing w:before="60" w:after="60"/>
        <w:ind w:firstLine="0"/>
        <w:jc w:val="center"/>
        <w:tabs>
          <w:tab w:val="right" w:pos="9000"/>
        </w:tabs>
      </w:pPr>
      <m:oMathPara>
        <m:oMath>
          <m:r>
            <m:t>q_A=2E(a_x)/L=(H/2+πr_A/2)/L=0.25471238898</m:t>
          </m:r>
        </m:oMath>
      </m:oMathPara>
      <w:r>
        <w:rPr>
          <w:rFonts w:ascii="Cambria Math" w:hAnsi="Cambria Math" w:eastAsia="SimSun"/>
          <w:b w:val="0"/>
          <w:i w:val="0"/>
          <w:color w:val="000000"/>
          <w:sz w:val="23"/>
        </w:rPr>
        <w:tab/>
        <w:t>(5)</w:t>
      </w:r>
    </w:p>
    <w:p>
      <w:pPr>
        <w:keepNext/>
        <w:spacing w:before="80" w:after="20"/>
        <w:ind w:firstLine="0"/>
        <w:jc w:val="center"/>
      </w:pPr>
      <w:r>
        <w:drawing>
          <wp:inline xmlns:a="http://schemas.openxmlformats.org/drawingml/2006/main" xmlns:pic="http://schemas.openxmlformats.org/drawingml/2006/picture">
            <wp:extent cx="5508000" cy="3098250"/>
            <wp:docPr id="7" name="Picture 7" title="图7 圆柱取向对支撑半宽和条件越界概率的影响" descr="圆柱取向对支撑半宽和条件越界概率的影响"/>
            <wp:cNvGraphicFramePr>
              <a:graphicFrameLocks noChangeAspect="1"/>
            </wp:cNvGraphicFramePr>
            <a:graphic>
              <a:graphicData uri="http://schemas.openxmlformats.org/drawingml/2006/picture">
                <pic:pic>
                  <pic:nvPicPr>
                    <pic:cNvPr id="0" name="08_orientation_support_curve.png"/>
                    <pic:cNvPicPr/>
                  </pic:nvPicPr>
                  <pic:blipFill>
                    <a:blip r:embed="rId16"/>
                    <a:stretch>
                      <a:fillRect/>
                    </a:stretch>
                  </pic:blipFill>
                  <pic:spPr>
                    <a:xfrm>
                      <a:off x="0" y="0"/>
                      <a:ext cx="5508000" cy="3098250"/>
                    </a:xfrm>
                    <a:prstGeom prst="rect"/>
                  </pic:spPr>
                </pic:pic>
              </a:graphicData>
            </a:graphic>
          </wp:inline>
        </w:drawing>
      </w:r>
    </w:p>
    <w:p>
      <w:pPr>
        <w:pStyle w:val="FigureCaption"/>
        <w:keepLines/>
      </w:pPr>
      <w:r>
        <w:rPr>
          <w:rFonts w:ascii="Times New Roman" w:hAnsi="Times New Roman" w:eastAsia="SimSun"/>
          <w:b w:val="0"/>
          <w:i w:val="0"/>
          <w:color w:val="000000"/>
          <w:sz w:val="20"/>
        </w:rPr>
        <w:t>图7  圆柱取向对支撑半宽和条件越界概率的影响</w:t>
      </w:r>
    </w:p>
    <w:p>
      <w:pPr>
        <w:pStyle w:val="Heading2"/>
      </w:pPr>
      <w:r>
        <w:rPr>
          <w:rFonts w:ascii="Times New Roman" w:hAnsi="Times New Roman" w:eastAsia="SimHei"/>
          <w:b/>
          <w:i w:val="0"/>
          <w:color w:val="000000"/>
          <w:sz w:val="26"/>
        </w:rPr>
        <w:t>4.3  球B与多粒子的直接贯通下界</w:t>
      </w:r>
    </w:p>
    <w:p>
      <w:pPr>
        <w:keepNext w:val="0"/>
        <w:spacing w:after="60" w:line="293" w:lineRule="auto"/>
        <w:ind w:firstLine="420"/>
        <w:jc w:val="both"/>
      </w:pPr>
      <w:r>
        <w:rPr>
          <w:rFonts w:ascii="Times New Roman" w:hAnsi="Times New Roman" w:eastAsia="SimSun"/>
          <w:b w:val="0"/>
          <w:i w:val="0"/>
          <w:color w:val="000000"/>
          <w:sz w:val="23"/>
        </w:rPr>
        <w:t>球的支撑半宽恒为r_B，故球心落入任一边界内侧r_B范围即可越界。不同粒子的位置和方向独立时，至少一个粒子直接贯通的概率可由补事件乘积得到。</w:t>
      </w:r>
    </w:p>
    <w:p>
      <w:pPr>
        <w:keepLines/>
        <w:spacing w:before="60" w:after="60"/>
        <w:ind w:firstLine="0"/>
        <w:jc w:val="center"/>
        <w:tabs>
          <w:tab w:val="right" w:pos="9000"/>
        </w:tabs>
      </w:pPr>
      <m:oMathPara>
        <m:oMath>
          <m:r>
            <m:t>q_B=2r_B/L=0.04</m:t>
          </m:r>
        </m:oMath>
      </m:oMathPara>
      <w:r>
        <w:rPr>
          <w:rFonts w:ascii="Cambria Math" w:hAnsi="Cambria Math" w:eastAsia="SimSun"/>
          <w:b w:val="0"/>
          <w:i w:val="0"/>
          <w:color w:val="000000"/>
          <w:sz w:val="23"/>
        </w:rPr>
        <w:tab/>
        <w:t>(6)</w:t>
      </w:r>
    </w:p>
    <w:p>
      <w:pPr>
        <w:keepLines/>
        <w:spacing w:before="60" w:after="60"/>
        <w:ind w:firstLine="0"/>
        <w:jc w:val="center"/>
        <w:tabs>
          <w:tab w:val="right" w:pos="9000"/>
        </w:tabs>
      </w:pPr>
      <m:oMathPara>
        <m:oMath>
          <m:r>
            <m:t>P_dir=P(D)=1-(1-q_A)ⁿᴬ(1-q_B)ⁿᴮ</m:t>
          </m:r>
        </m:oMath>
      </m:oMathPara>
      <w:r>
        <w:rPr>
          <w:rFonts w:ascii="Cambria Math" w:hAnsi="Cambria Math" w:eastAsia="SimSun"/>
          <w:b w:val="0"/>
          <w:i w:val="0"/>
          <w:color w:val="000000"/>
          <w:sz w:val="23"/>
        </w:rPr>
        <w:tab/>
        <w:t>(7)</w:t>
      </w:r>
    </w:p>
    <w:p>
      <w:pPr>
        <w:pStyle w:val="Heading2"/>
      </w:pPr>
      <w:r>
        <w:rPr>
          <w:rFonts w:ascii="Times New Roman" w:hAnsi="Times New Roman" w:eastAsia="SimHei"/>
          <w:b/>
          <w:i w:val="0"/>
          <w:color w:val="000000"/>
          <w:sz w:val="26"/>
        </w:rPr>
        <w:t>4.4  非直接通路的剩余薄壳联合上界</w:t>
      </w:r>
    </w:p>
    <w:p>
      <w:pPr>
        <w:keepNext w:val="0"/>
        <w:spacing w:after="60" w:line="293" w:lineRule="auto"/>
        <w:ind w:firstLine="420"/>
        <w:jc w:val="both"/>
      </w:pPr>
      <w:r>
        <w:rPr>
          <w:rFonts w:ascii="Times New Roman" w:hAnsi="Times New Roman" w:eastAsia="SimSun"/>
          <w:b w:val="0"/>
          <w:i w:val="0"/>
          <w:color w:val="000000"/>
          <w:sz w:val="23"/>
        </w:rPr>
        <w:t>为证明某个较低填充方案不可能达到90%，仅有下界不够。定义D_i为粒子i直接越界，C_i^L为粒子i接触左电极。固定其x向支撑半宽a_i时，无条件接触层宽为a_i+g，因此不能把P(C_i^L)误写成g/L。关键在于研究无直接贯通事件D^c中的剩余接触：粒子既不越界又接触左电极时，中心只能位于宽度恰为g的薄壳。</w:t>
      </w:r>
    </w:p>
    <w:p>
      <w:pPr>
        <w:keepLines/>
        <w:spacing w:before="60" w:after="60"/>
        <w:ind w:firstLine="0"/>
        <w:jc w:val="center"/>
        <w:tabs>
          <w:tab w:val="right" w:pos="9000"/>
        </w:tabs>
      </w:pPr>
      <m:oMathPara>
        <m:oMath>
          <m:r>
            <m:t>S_iᴸ=C_iᴸ∩D_iᶜ={-L/2+a_i&lt;X_i≤-L/2+a_i+g},   P(S_iᴸ)=g/L</m:t>
          </m:r>
        </m:oMath>
      </m:oMathPara>
      <w:r>
        <w:rPr>
          <w:rFonts w:ascii="Cambria Math" w:hAnsi="Cambria Math" w:eastAsia="SimSun"/>
          <w:b w:val="0"/>
          <w:i w:val="0"/>
          <w:color w:val="000000"/>
          <w:sz w:val="23"/>
        </w:rPr>
        <w:tab/>
        <w:t>(8)</w:t>
      </w:r>
    </w:p>
    <w:p>
      <w:pPr>
        <w:keepNext w:val="0"/>
        <w:spacing w:after="60" w:line="293" w:lineRule="auto"/>
        <w:ind w:firstLine="420"/>
        <w:jc w:val="both"/>
      </w:pPr>
      <w:r>
        <w:rPr>
          <w:rFonts w:ascii="Times New Roman" w:hAnsi="Times New Roman" w:eastAsia="SimSun"/>
          <w:b w:val="0"/>
          <w:i w:val="0"/>
          <w:color w:val="000000"/>
          <w:sz w:val="23"/>
        </w:rPr>
        <w:t>令N=T交D^c。任何N中的左右路径都必须包含不同的终端粒子i和j，分别落入左、右剩余薄壳；若由同一粒子承担两端接触，则该粒子已经属于直接贯通事件D。对所有有序粒子对使用独立性和Boole联合界[3]，得到式(9)。事件关系见图9。</w:t>
      </w:r>
    </w:p>
    <w:p>
      <w:pPr>
        <w:keepLines/>
        <w:spacing w:before="60" w:after="60"/>
        <w:ind w:firstLine="0"/>
        <w:jc w:val="center"/>
        <w:tabs>
          <w:tab w:val="right" w:pos="9000"/>
        </w:tabs>
      </w:pPr>
      <m:oMathPara>
        <m:oMath>
          <m:r>
            <m:t>P_dir≤P(T)≤min{1, P_dir+n(n-1)(g/L)²},   n=n_A+n_B</m:t>
          </m:r>
        </m:oMath>
      </m:oMathPara>
      <w:r>
        <w:rPr>
          <w:rFonts w:ascii="Cambria Math" w:hAnsi="Cambria Math" w:eastAsia="SimSun"/>
          <w:b w:val="0"/>
          <w:i w:val="0"/>
          <w:color w:val="000000"/>
          <w:sz w:val="23"/>
        </w:rPr>
        <w:tab/>
        <w:t>(9)</w:t>
      </w:r>
    </w:p>
    <w:p>
      <w:pPr>
        <w:keepNext/>
        <w:spacing w:before="80" w:after="20"/>
        <w:ind w:firstLine="0"/>
        <w:jc w:val="center"/>
      </w:pPr>
      <w:r>
        <w:drawing>
          <wp:inline xmlns:a="http://schemas.openxmlformats.org/drawingml/2006/main" xmlns:pic="http://schemas.openxmlformats.org/drawingml/2006/picture">
            <wp:extent cx="5508000" cy="3098250"/>
            <wp:docPr id="8" name="Picture 8" title="图8 总导通、直接贯通与剩余薄壳事件的上下界关系" descr="总导通、直接贯通与剩余薄壳事件的上下界关系"/>
            <wp:cNvGraphicFramePr>
              <a:graphicFrameLocks noChangeAspect="1"/>
            </wp:cNvGraphicFramePr>
            <a:graphic>
              <a:graphicData uri="http://schemas.openxmlformats.org/drawingml/2006/picture">
                <pic:pic>
                  <pic:nvPicPr>
                    <pic:cNvPr id="0" name="09_event_bounds.png"/>
                    <pic:cNvPicPr/>
                  </pic:nvPicPr>
                  <pic:blipFill>
                    <a:blip r:embed="rId17"/>
                    <a:stretch>
                      <a:fillRect/>
                    </a:stretch>
                  </pic:blipFill>
                  <pic:spPr>
                    <a:xfrm>
                      <a:off x="0" y="0"/>
                      <a:ext cx="5508000" cy="3098250"/>
                    </a:xfrm>
                    <a:prstGeom prst="rect"/>
                  </pic:spPr>
                </pic:pic>
              </a:graphicData>
            </a:graphic>
          </wp:inline>
        </w:drawing>
      </w:r>
    </w:p>
    <w:p>
      <w:pPr>
        <w:pStyle w:val="FigureCaption"/>
        <w:keepLines/>
      </w:pPr>
      <w:r>
        <w:rPr>
          <w:rFonts w:ascii="Times New Roman" w:hAnsi="Times New Roman" w:eastAsia="SimSun"/>
          <w:b w:val="0"/>
          <w:i w:val="0"/>
          <w:color w:val="000000"/>
          <w:sz w:val="20"/>
        </w:rPr>
        <w:t>图8  总导通、直接贯通与剩余薄壳事件的上下界关系</w:t>
      </w:r>
    </w:p>
    <w:p>
      <w:pPr>
        <w:pStyle w:val="Heading2"/>
      </w:pPr>
      <w:r>
        <w:rPr>
          <w:rFonts w:ascii="Times New Roman" w:hAnsi="Times New Roman" w:eastAsia="SimHei"/>
          <w:b/>
          <w:i w:val="0"/>
          <w:color w:val="000000"/>
          <w:sz w:val="26"/>
        </w:rPr>
        <w:t>4.5  概率模型的解释边界</w:t>
      </w:r>
    </w:p>
    <w:p>
      <w:pPr>
        <w:keepNext w:val="0"/>
        <w:spacing w:after="60" w:line="293" w:lineRule="auto"/>
        <w:ind w:firstLine="420"/>
        <w:jc w:val="both"/>
      </w:pPr>
      <w:r>
        <w:rPr>
          <w:rFonts w:ascii="Times New Roman" w:hAnsi="Times New Roman" w:eastAsia="SimSun"/>
          <w:b w:val="0"/>
          <w:i w:val="0"/>
          <w:color w:val="000000"/>
          <w:sz w:val="23"/>
        </w:rPr>
        <w:t>式(9)的上界用于证明“不足”，不用于精确估计真实导通概率；它忽略了中间粒子如何连接，因此通常偏松，但不会漏掉曲折通路。式(8)的下界用于证明“充分”，也不等于总导通概率。只有当上下界位于阈值两侧时，才能给出严格整数阈值或最优性结论。若粒子中心存在排斥、团聚或取向相关，式(8)中的独立乘积和式(9)中的跨粒子独立性需要重建。</w:t>
      </w:r>
    </w:p>
    <w:p>
      <w:pPr>
        <w:pStyle w:val="Heading2"/>
      </w:pPr>
      <w:r>
        <w:rPr>
          <w:rFonts w:ascii="Times New Roman" w:hAnsi="Times New Roman" w:eastAsia="SimHei"/>
          <w:b/>
          <w:i w:val="0"/>
          <w:color w:val="000000"/>
          <w:sz w:val="26"/>
        </w:rPr>
        <w:t>4.6  与连续渗流模型的关系</w:t>
      </w:r>
    </w:p>
    <w:p>
      <w:pPr>
        <w:keepNext w:val="0"/>
        <w:spacing w:after="60" w:line="293" w:lineRule="auto"/>
        <w:ind w:firstLine="420"/>
        <w:jc w:val="both"/>
      </w:pPr>
      <w:r>
        <w:rPr>
          <w:rFonts w:ascii="Times New Roman" w:hAnsi="Times New Roman" w:eastAsia="SimSun"/>
          <w:b w:val="0"/>
          <w:i w:val="0"/>
          <w:color w:val="000000"/>
          <w:sz w:val="23"/>
        </w:rPr>
        <w:t>随机杆体系常用排除体积或连续渗流阈值刻画大体系中多粒子簇的形成[6-8]。这类模型能解释高长径比填料为何在较低体积分数下出现贯通，也指出阈值会随取向分布而改变。但本题是有限立方体、指定左右电极、允许重叠，并采用特殊的周期截断规则；单粒子跨界事件已提供可计算的充分条件。因此本文不把文献中的热力学极限阈值移植为答案，只把它用作机制和量级的外部参照。若后续需要估计上下界之间的真实总概率，应先实现完整平端圆柱周期距离核，再做有限盒蒙特卡洛，而不能用平均邻居数替代。</w:t>
      </w:r>
    </w:p>
    <w:p>
      <w:pPr>
        <w:pStyle w:val="Heading1"/>
      </w:pPr>
      <w:r>
        <w:rPr>
          <w:rFonts w:ascii="Times New Roman" w:hAnsi="Times New Roman" w:eastAsia="SimHei"/>
          <w:b/>
          <w:i w:val="0"/>
          <w:color w:val="000000"/>
          <w:sz w:val="30"/>
        </w:rPr>
        <w:t>5  问题二：给定体积分数下的导通概率</w:t>
      </w:r>
    </w:p>
    <w:p>
      <w:pPr>
        <w:pStyle w:val="Heading2"/>
      </w:pPr>
      <w:r>
        <w:rPr>
          <w:rFonts w:ascii="Times New Roman" w:hAnsi="Times New Roman" w:eastAsia="SimHei"/>
          <w:b/>
          <w:i w:val="0"/>
          <w:color w:val="000000"/>
          <w:sz w:val="26"/>
        </w:rPr>
        <w:t>5.1  体积分数到整数数量的换算</w:t>
      </w:r>
    </w:p>
    <w:p>
      <w:pPr>
        <w:keepNext w:val="0"/>
        <w:spacing w:after="60" w:line="293" w:lineRule="auto"/>
        <w:ind w:firstLine="420"/>
        <w:jc w:val="both"/>
      </w:pPr>
      <w:r>
        <w:rPr>
          <w:rFonts w:ascii="Times New Roman" w:hAnsi="Times New Roman" w:eastAsia="SimSun"/>
          <w:b w:val="0"/>
          <w:i w:val="0"/>
          <w:color w:val="000000"/>
          <w:sz w:val="23"/>
        </w:rPr>
        <w:t>设目标体积分数为phi。粒子数必须取整数，本文选择使n_A V_A/L^3最接近目标phi的整数n_A，并同时报告目标值与实际值。四个目标体积分数对应354、424、495和707根A。</w:t>
      </w:r>
    </w:p>
    <w:p>
      <w:pPr>
        <w:keepLines/>
        <w:spacing w:before="60" w:after="60"/>
        <w:ind w:firstLine="0"/>
        <w:jc w:val="center"/>
        <w:tabs>
          <w:tab w:val="right" w:pos="9000"/>
        </w:tabs>
      </w:pPr>
      <m:oMathPara>
        <m:oMath>
          <m:r>
            <m:t>n_A=round(φL³/V_A),   φ_actual=n_AV_A/L³</m:t>
          </m:r>
        </m:oMath>
      </m:oMathPara>
      <w:r>
        <w:rPr>
          <w:rFonts w:ascii="Cambria Math" w:hAnsi="Cambria Math" w:eastAsia="SimSun"/>
          <w:b w:val="0"/>
          <w:i w:val="0"/>
          <w:color w:val="000000"/>
          <w:sz w:val="23"/>
        </w:rPr>
        <w:tab/>
        <w:t>(10)</w:t>
      </w:r>
    </w:p>
    <w:p>
      <w:pPr>
        <w:pStyle w:val="Heading2"/>
      </w:pPr>
      <w:r>
        <w:rPr>
          <w:rFonts w:ascii="Times New Roman" w:hAnsi="Times New Roman" w:eastAsia="SimHei"/>
          <w:b/>
          <w:i w:val="0"/>
          <w:color w:val="000000"/>
          <w:sz w:val="26"/>
        </w:rPr>
        <w:t>5.2  概率结果与解释</w:t>
      </w:r>
    </w:p>
    <w:p>
      <w:pPr>
        <w:pStyle w:val="FigureCaption"/>
        <w:keepNext/>
        <w:spacing w:before="80" w:after="40"/>
      </w:pPr>
      <w:r>
        <w:rPr>
          <w:rFonts w:ascii="Times New Roman" w:hAnsi="Times New Roman" w:eastAsia="SimSun"/>
          <w:b w:val="0"/>
          <w:i w:val="0"/>
          <w:color w:val="000000"/>
          <w:sz w:val="20"/>
        </w:rPr>
        <w:t>表5  Q2体积分数、整数数量与直接贯通下界</w:t>
      </w:r>
    </w:p>
    <w:tbl>
      <w:tblPr>
        <w:tblStyle w:val="TableGrid"/>
        <w:tblW w:type="dxa" w:w="9014"/>
        <w:jc w:val="center"/>
        <w:tblLayout w:type="fixed"/>
        <w:tblLook w:firstColumn="1" w:firstRow="1" w:lastColumn="0" w:lastRow="0" w:noHBand="0" w:noVBand="1" w:val="04A0"/>
      </w:tblPr>
      <w:tblGrid>
        <w:gridCol w:w="1417"/>
        <w:gridCol w:w="963"/>
        <w:gridCol w:w="1530"/>
        <w:gridCol w:w="2267"/>
        <w:gridCol w:w="2834"/>
      </w:tblGrid>
      <w:tr>
        <w:trPr>
          <w:tblHeader w:val="true"/>
        </w:trPr>
        <w:tc>
          <w:tcPr>
            <w:tcW w:type="dxa" w:w="1417"/>
            <w:tcMar>
              <w:top w:w="80" w:type="dxa"/>
              <w:start w:w="110" w:type="dxa"/>
              <w:bottom w:w="80" w:type="dxa"/>
              <w:end w:w="110" w:type="dxa"/>
            </w:tcMar>
            <w:shd w:fill="E7EEF3"/>
            <w:vAlign w:val="center"/>
          </w:tcPr>
          <w:p>
            <w:pPr>
              <w:spacing w:after="0"/>
              <w:ind w:firstLine="0"/>
              <w:jc w:val="center"/>
            </w:pPr>
            <w:r/>
            <w:r>
              <w:rPr>
                <w:rFonts w:ascii="Times New Roman" w:hAnsi="Times New Roman" w:eastAsia="SimHei"/>
                <w:b/>
                <w:i w:val="0"/>
                <w:color w:val="000000"/>
                <w:sz w:val="18"/>
              </w:rPr>
              <w:t>目标体积分数</w:t>
            </w:r>
          </w:p>
        </w:tc>
        <w:tc>
          <w:tcPr>
            <w:tcW w:type="dxa" w:w="964"/>
            <w:tcMar>
              <w:top w:w="80" w:type="dxa"/>
              <w:start w:w="110" w:type="dxa"/>
              <w:bottom w:w="80" w:type="dxa"/>
              <w:end w:w="110" w:type="dxa"/>
            </w:tcMar>
            <w:shd w:fill="E7EEF3"/>
            <w:vAlign w:val="center"/>
          </w:tcPr>
          <w:p>
            <w:pPr>
              <w:spacing w:after="0"/>
              <w:ind w:firstLine="0"/>
              <w:jc w:val="center"/>
            </w:pPr>
            <w:r/>
            <w:r>
              <w:rPr>
                <w:rFonts w:ascii="Times New Roman" w:hAnsi="Times New Roman" w:eastAsia="SimHei"/>
                <w:b/>
                <w:i w:val="0"/>
                <w:color w:val="000000"/>
                <w:sz w:val="18"/>
              </w:rPr>
              <w:t>A数量</w:t>
            </w:r>
          </w:p>
        </w:tc>
        <w:tc>
          <w:tcPr>
            <w:tcW w:type="dxa" w:w="1531"/>
            <w:tcMar>
              <w:top w:w="80" w:type="dxa"/>
              <w:start w:w="110" w:type="dxa"/>
              <w:bottom w:w="80" w:type="dxa"/>
              <w:end w:w="110" w:type="dxa"/>
            </w:tcMar>
            <w:shd w:fill="E7EEF3"/>
            <w:vAlign w:val="center"/>
          </w:tcPr>
          <w:p>
            <w:pPr>
              <w:spacing w:after="0"/>
              <w:ind w:firstLine="0"/>
              <w:jc w:val="center"/>
            </w:pPr>
            <w:r/>
            <w:r>
              <w:rPr>
                <w:rFonts w:ascii="Times New Roman" w:hAnsi="Times New Roman" w:eastAsia="SimHei"/>
                <w:b/>
                <w:i w:val="0"/>
                <w:color w:val="000000"/>
                <w:sz w:val="18"/>
              </w:rPr>
              <w:t>实际体积分数</w:t>
            </w:r>
          </w:p>
        </w:tc>
        <w:tc>
          <w:tcPr>
            <w:tcW w:type="dxa" w:w="2268"/>
            <w:tcMar>
              <w:top w:w="80" w:type="dxa"/>
              <w:start w:w="110" w:type="dxa"/>
              <w:bottom w:w="80" w:type="dxa"/>
              <w:end w:w="110" w:type="dxa"/>
            </w:tcMar>
            <w:shd w:fill="E7EEF3"/>
            <w:vAlign w:val="center"/>
          </w:tcPr>
          <w:p>
            <w:pPr>
              <w:spacing w:after="0"/>
              <w:ind w:firstLine="0"/>
              <w:jc w:val="center"/>
            </w:pPr>
            <w:r/>
            <w:r>
              <w:rPr>
                <w:rFonts w:ascii="Times New Roman" w:hAnsi="Times New Roman" w:eastAsia="SimHei"/>
                <w:b/>
                <w:i w:val="0"/>
                <w:color w:val="000000"/>
                <w:sz w:val="18"/>
              </w:rPr>
              <w:t>log10不导通上界</w:t>
            </w:r>
          </w:p>
        </w:tc>
        <w:tc>
          <w:tcPr>
            <w:tcW w:type="dxa" w:w="2835"/>
            <w:tcMar>
              <w:top w:w="80" w:type="dxa"/>
              <w:start w:w="110" w:type="dxa"/>
              <w:bottom w:w="80" w:type="dxa"/>
              <w:end w:w="110" w:type="dxa"/>
            </w:tcMar>
            <w:shd w:fill="E7EEF3"/>
            <w:vAlign w:val="center"/>
          </w:tcPr>
          <w:p>
            <w:pPr>
              <w:spacing w:after="0"/>
              <w:ind w:firstLine="0"/>
              <w:jc w:val="center"/>
            </w:pPr>
            <w:r/>
            <w:r>
              <w:rPr>
                <w:rFonts w:ascii="Times New Roman" w:hAnsi="Times New Roman" w:eastAsia="SimHei"/>
                <w:b/>
                <w:i w:val="0"/>
                <w:color w:val="000000"/>
                <w:sz w:val="18"/>
              </w:rPr>
              <w:t>导通概率下界</w:t>
            </w:r>
          </w:p>
        </w:tc>
      </w:tr>
      <w:tr>
        <w:tc>
          <w:tcPr>
            <w:tcW w:type="dxa" w:w="141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0.50%</w:t>
            </w:r>
          </w:p>
        </w:tc>
        <w:tc>
          <w:tcPr>
            <w:tcW w:type="dxa" w:w="964"/>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354</w:t>
            </w:r>
          </w:p>
        </w:tc>
        <w:tc>
          <w:tcPr>
            <w:tcW w:type="dxa" w:w="153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0.50046%</w:t>
            </w:r>
          </w:p>
        </w:tc>
        <w:tc>
          <w:tcPr>
            <w:tcW w:type="dxa" w:w="2268"/>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-45.20</w:t>
            </w:r>
          </w:p>
        </w:tc>
        <w:tc>
          <w:tcPr>
            <w:tcW w:type="dxa" w:w="2835"/>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至少1-10^-45.20</w:t>
            </w:r>
          </w:p>
        </w:tc>
      </w:tr>
      <w:tr>
        <w:tc>
          <w:tcPr>
            <w:tcW w:type="dxa" w:w="141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0.60%</w:t>
            </w:r>
          </w:p>
        </w:tc>
        <w:tc>
          <w:tcPr>
            <w:tcW w:type="dxa" w:w="964"/>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424</w:t>
            </w:r>
          </w:p>
        </w:tc>
        <w:tc>
          <w:tcPr>
            <w:tcW w:type="dxa" w:w="153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0.59942%</w:t>
            </w:r>
          </w:p>
        </w:tc>
        <w:tc>
          <w:tcPr>
            <w:tcW w:type="dxa" w:w="2268"/>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-54.13</w:t>
            </w:r>
          </w:p>
        </w:tc>
        <w:tc>
          <w:tcPr>
            <w:tcW w:type="dxa" w:w="2835"/>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至少1-10^-54.13</w:t>
            </w:r>
          </w:p>
        </w:tc>
      </w:tr>
      <w:tr>
        <w:tc>
          <w:tcPr>
            <w:tcW w:type="dxa" w:w="141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0.70%</w:t>
            </w:r>
          </w:p>
        </w:tc>
        <w:tc>
          <w:tcPr>
            <w:tcW w:type="dxa" w:w="964"/>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495</w:t>
            </w:r>
          </w:p>
        </w:tc>
        <w:tc>
          <w:tcPr>
            <w:tcW w:type="dxa" w:w="153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0.69979%</w:t>
            </w:r>
          </w:p>
        </w:tc>
        <w:tc>
          <w:tcPr>
            <w:tcW w:type="dxa" w:w="2268"/>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-63.20</w:t>
            </w:r>
          </w:p>
        </w:tc>
        <w:tc>
          <w:tcPr>
            <w:tcW w:type="dxa" w:w="2835"/>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至少1-10^-63.20</w:t>
            </w:r>
          </w:p>
        </w:tc>
      </w:tr>
      <w:tr>
        <w:tc>
          <w:tcPr>
            <w:tcW w:type="dxa" w:w="141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1.00%</w:t>
            </w:r>
          </w:p>
        </w:tc>
        <w:tc>
          <w:tcPr>
            <w:tcW w:type="dxa" w:w="964"/>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707</w:t>
            </w:r>
          </w:p>
        </w:tc>
        <w:tc>
          <w:tcPr>
            <w:tcW w:type="dxa" w:w="153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0.99950%</w:t>
            </w:r>
          </w:p>
        </w:tc>
        <w:tc>
          <w:tcPr>
            <w:tcW w:type="dxa" w:w="2268"/>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-90.27</w:t>
            </w:r>
          </w:p>
        </w:tc>
        <w:tc>
          <w:tcPr>
            <w:tcW w:type="dxa" w:w="2835"/>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至少1-10^-90.27</w:t>
            </w:r>
          </w:p>
        </w:tc>
      </w:tr>
    </w:tbl>
    <w:p>
      <w:pPr>
        <w:spacing w:after="20"/>
        <w:ind w:firstLine="0"/>
      </w:pPr>
    </w:p>
    <w:p>
      <w:pPr>
        <w:keepNext w:val="0"/>
        <w:spacing w:after="60" w:line="293" w:lineRule="auto"/>
        <w:ind w:firstLine="420"/>
        <w:jc w:val="both"/>
      </w:pPr>
      <w:r>
        <w:rPr>
          <w:rFonts w:ascii="Times New Roman" w:hAnsi="Times New Roman" w:eastAsia="SimSun"/>
          <w:b w:val="0"/>
          <w:i w:val="0"/>
          <w:color w:val="000000"/>
          <w:sz w:val="23"/>
        </w:rPr>
        <w:t>表5中的“不导通上界”仅考虑没有任何A直接贯通的概率(1-q_A)^n_A。粒子间进一步接触只会增加总导通概率，因此该量确为总不导通概率的上界。四个数量级远低于常规数值显示精度，故可以表述为“在报告精度内导通概率为1”，但不能写成数学上精确等于1。图10展示其对数数量级。</w:t>
      </w:r>
    </w:p>
    <w:p>
      <w:pPr>
        <w:keepNext/>
        <w:spacing w:before="80" w:after="20"/>
        <w:ind w:firstLine="0"/>
        <w:jc w:val="center"/>
      </w:pPr>
      <w:r>
        <w:drawing>
          <wp:inline xmlns:a="http://schemas.openxmlformats.org/drawingml/2006/main" xmlns:pic="http://schemas.openxmlformats.org/drawingml/2006/picture">
            <wp:extent cx="5508000" cy="3057731"/>
            <wp:docPr id="9" name="Picture 9" title="图9 Q2四种体积分数下不导通概率上界的数量级" descr="Q2四种体积分数下不导通概率上界的数量级"/>
            <wp:cNvGraphicFramePr>
              <a:graphicFrameLocks noChangeAspect="1"/>
            </wp:cNvGraphicFramePr>
            <a:graphic>
              <a:graphicData uri="http://schemas.openxmlformats.org/drawingml/2006/picture">
                <pic:pic>
                  <pic:nvPicPr>
                    <pic:cNvPr id="0" name="C05_q2_failure_lollipop.png"/>
                    <pic:cNvPicPr/>
                  </pic:nvPicPr>
                  <pic:blipFill>
                    <a:blip r:embed="rId18"/>
                    <a:stretch>
                      <a:fillRect/>
                    </a:stretch>
                  </pic:blipFill>
                  <pic:spPr>
                    <a:xfrm>
                      <a:off x="0" y="0"/>
                      <a:ext cx="5508000" cy="3057731"/>
                    </a:xfrm>
                    <a:prstGeom prst="rect"/>
                  </pic:spPr>
                </pic:pic>
              </a:graphicData>
            </a:graphic>
          </wp:inline>
        </w:drawing>
      </w:r>
    </w:p>
    <w:p>
      <w:pPr>
        <w:pStyle w:val="FigureCaption"/>
        <w:keepLines/>
      </w:pPr>
      <w:r>
        <w:rPr>
          <w:rFonts w:ascii="Times New Roman" w:hAnsi="Times New Roman" w:eastAsia="SimSun"/>
          <w:b w:val="0"/>
          <w:i w:val="0"/>
          <w:color w:val="000000"/>
          <w:sz w:val="20"/>
        </w:rPr>
        <w:t>图9  Q2四种体积分数下不导通概率上界的数量级</w:t>
      </w:r>
    </w:p>
    <w:p>
      <w:pPr>
        <w:pStyle w:val="Heading1"/>
      </w:pPr>
      <w:r>
        <w:rPr>
          <w:rFonts w:ascii="Times New Roman" w:hAnsi="Times New Roman" w:eastAsia="SimHei"/>
          <w:b/>
          <w:i w:val="0"/>
          <w:color w:val="000000"/>
          <w:sz w:val="30"/>
        </w:rPr>
        <w:t>6  问题三：仅填充A的最低填充量</w:t>
      </w:r>
    </w:p>
    <w:p>
      <w:pPr>
        <w:pStyle w:val="Heading2"/>
      </w:pPr>
      <w:r>
        <w:rPr>
          <w:rFonts w:ascii="Times New Roman" w:hAnsi="Times New Roman" w:eastAsia="SimHei"/>
          <w:b/>
          <w:i w:val="0"/>
          <w:color w:val="000000"/>
          <w:sz w:val="26"/>
        </w:rPr>
        <w:t>6.1  候选阈值定位</w:t>
      </w:r>
    </w:p>
    <w:p>
      <w:pPr>
        <w:keepNext w:val="0"/>
        <w:spacing w:after="60" w:line="293" w:lineRule="auto"/>
        <w:ind w:firstLine="420"/>
        <w:jc w:val="both"/>
      </w:pPr>
      <w:r>
        <w:rPr>
          <w:rFonts w:ascii="Times New Roman" w:hAnsi="Times New Roman" w:eastAsia="SimSun"/>
          <w:b w:val="0"/>
          <w:i w:val="0"/>
          <w:color w:val="000000"/>
          <w:sz w:val="23"/>
        </w:rPr>
        <w:t>由式(8)可知直接贯通下界随n_A单调增加。解1-(1-q_A)^n_A&gt;=0.90可将候选值定位在8根。证明“8根是最小值”还需验证8根充分和7根不足。</w:t>
      </w:r>
    </w:p>
    <w:p>
      <w:pPr>
        <w:keepLines/>
        <w:spacing w:before="60" w:after="60"/>
        <w:ind w:firstLine="0"/>
        <w:jc w:val="center"/>
        <w:tabs>
          <w:tab w:val="right" w:pos="9000"/>
        </w:tabs>
      </w:pPr>
      <m:oMathPara>
        <m:oMath>
          <m:r>
            <m:t>n_A≥⌈log(0.10)/log(1-q_A)⌉=8</m:t>
          </m:r>
        </m:oMath>
      </m:oMathPara>
      <w:r>
        <w:rPr>
          <w:rFonts w:ascii="Cambria Math" w:hAnsi="Cambria Math" w:eastAsia="SimSun"/>
          <w:b w:val="0"/>
          <w:i w:val="0"/>
          <w:color w:val="000000"/>
          <w:sz w:val="23"/>
        </w:rPr>
        <w:tab/>
        <w:t>(11)</w:t>
      </w:r>
    </w:p>
    <w:p>
      <w:pPr>
        <w:pStyle w:val="Heading2"/>
      </w:pPr>
      <w:r>
        <w:rPr>
          <w:rFonts w:ascii="Times New Roman" w:hAnsi="Times New Roman" w:eastAsia="SimHei"/>
          <w:b/>
          <w:i w:val="0"/>
          <w:color w:val="000000"/>
          <w:sz w:val="26"/>
        </w:rPr>
        <w:t>6.2  7根不足与8根充分</w:t>
      </w:r>
    </w:p>
    <w:p>
      <w:pPr>
        <w:keepNext w:val="0"/>
        <w:spacing w:after="60" w:line="293" w:lineRule="auto"/>
        <w:ind w:firstLine="420"/>
        <w:jc w:val="both"/>
      </w:pPr>
      <w:r>
        <w:rPr>
          <w:rFonts w:ascii="Times New Roman" w:hAnsi="Times New Roman" w:eastAsia="SimSun"/>
          <w:b w:val="0"/>
          <w:i w:val="0"/>
          <w:color w:val="000000"/>
          <w:sz w:val="23"/>
        </w:rPr>
        <w:t>当n_A=8时，直接贯通概率下界为0.9048100243&gt;0.90，故8根充分。当n_A=7时，直接贯通概率为0.8722775285；剩余非直接通路上界增量为7*6*(1.8/10000)^2=1.3608e-6，因而总导通概率上界为0.8722788893&lt;0.90，故7根不足。图11显示上下界几乎重合但分别位于阈值两侧。</w:t>
      </w:r>
    </w:p>
    <w:p>
      <w:pPr>
        <w:pStyle w:val="FigureCaption"/>
        <w:keepNext/>
        <w:spacing w:before="80" w:after="40"/>
      </w:pPr>
      <w:r>
        <w:rPr>
          <w:rFonts w:ascii="Times New Roman" w:hAnsi="Times New Roman" w:eastAsia="SimSun"/>
          <w:b w:val="0"/>
          <w:i w:val="0"/>
          <w:color w:val="000000"/>
          <w:sz w:val="20"/>
        </w:rPr>
        <w:t>表6  Q3从1至8根A的导通概率上下界</w:t>
      </w:r>
    </w:p>
    <w:tbl>
      <w:tblPr>
        <w:tblStyle w:val="TableGrid"/>
        <w:tblW w:type="dxa" w:w="8957"/>
        <w:jc w:val="center"/>
        <w:tblLayout w:type="fixed"/>
        <w:tblLook w:firstColumn="1" w:firstRow="1" w:lastColumn="0" w:lastRow="0" w:noHBand="0" w:noVBand="1" w:val="04A0"/>
      </w:tblPr>
      <w:tblGrid>
        <w:gridCol w:w="1303"/>
        <w:gridCol w:w="2494"/>
        <w:gridCol w:w="2664"/>
        <w:gridCol w:w="2494"/>
      </w:tblGrid>
      <w:tr>
        <w:trPr>
          <w:tblHeader w:val="true"/>
        </w:trPr>
        <w:tc>
          <w:tcPr>
            <w:tcW w:type="dxa" w:w="1304"/>
            <w:tcMar>
              <w:top w:w="80" w:type="dxa"/>
              <w:start w:w="110" w:type="dxa"/>
              <w:bottom w:w="80" w:type="dxa"/>
              <w:end w:w="110" w:type="dxa"/>
            </w:tcMar>
            <w:shd w:fill="E7EEF3"/>
            <w:vAlign w:val="center"/>
          </w:tcPr>
          <w:p>
            <w:pPr>
              <w:spacing w:after="0"/>
              <w:ind w:firstLine="0"/>
              <w:jc w:val="center"/>
            </w:pPr>
            <w:r/>
            <w:r>
              <w:rPr>
                <w:rFonts w:ascii="Times New Roman" w:hAnsi="Times New Roman" w:eastAsia="SimHei"/>
                <w:b/>
                <w:i w:val="0"/>
                <w:color w:val="000000"/>
                <w:sz w:val="18"/>
              </w:rPr>
              <w:t>A数量</w:t>
            </w:r>
          </w:p>
        </w:tc>
        <w:tc>
          <w:tcPr>
            <w:tcW w:type="dxa" w:w="2494"/>
            <w:tcMar>
              <w:top w:w="80" w:type="dxa"/>
              <w:start w:w="110" w:type="dxa"/>
              <w:bottom w:w="80" w:type="dxa"/>
              <w:end w:w="110" w:type="dxa"/>
            </w:tcMar>
            <w:shd w:fill="E7EEF3"/>
            <w:vAlign w:val="center"/>
          </w:tcPr>
          <w:p>
            <w:pPr>
              <w:spacing w:after="0"/>
              <w:ind w:firstLine="0"/>
              <w:jc w:val="center"/>
            </w:pPr>
            <w:r/>
            <w:r>
              <w:rPr>
                <w:rFonts w:ascii="Times New Roman" w:hAnsi="Times New Roman" w:eastAsia="SimHei"/>
                <w:b/>
                <w:i w:val="0"/>
                <w:color w:val="000000"/>
                <w:sz w:val="18"/>
              </w:rPr>
              <w:t>直接贯通下界</w:t>
            </w:r>
          </w:p>
        </w:tc>
        <w:tc>
          <w:tcPr>
            <w:tcW w:type="dxa" w:w="2665"/>
            <w:tcMar>
              <w:top w:w="80" w:type="dxa"/>
              <w:start w:w="110" w:type="dxa"/>
              <w:bottom w:w="80" w:type="dxa"/>
              <w:end w:w="110" w:type="dxa"/>
            </w:tcMar>
            <w:shd w:fill="E7EEF3"/>
            <w:vAlign w:val="center"/>
          </w:tcPr>
          <w:p>
            <w:pPr>
              <w:spacing w:after="0"/>
              <w:ind w:firstLine="0"/>
              <w:jc w:val="center"/>
            </w:pPr>
            <w:r/>
            <w:r>
              <w:rPr>
                <w:rFonts w:ascii="Times New Roman" w:hAnsi="Times New Roman" w:eastAsia="SimHei"/>
                <w:b/>
                <w:i w:val="0"/>
                <w:color w:val="000000"/>
                <w:sz w:val="18"/>
              </w:rPr>
              <w:t>非直接上界增量</w:t>
            </w:r>
          </w:p>
        </w:tc>
        <w:tc>
          <w:tcPr>
            <w:tcW w:type="dxa" w:w="2494"/>
            <w:tcMar>
              <w:top w:w="80" w:type="dxa"/>
              <w:start w:w="110" w:type="dxa"/>
              <w:bottom w:w="80" w:type="dxa"/>
              <w:end w:w="110" w:type="dxa"/>
            </w:tcMar>
            <w:shd w:fill="E7EEF3"/>
            <w:vAlign w:val="center"/>
          </w:tcPr>
          <w:p>
            <w:pPr>
              <w:spacing w:after="0"/>
              <w:ind w:firstLine="0"/>
              <w:jc w:val="center"/>
            </w:pPr>
            <w:r/>
            <w:r>
              <w:rPr>
                <w:rFonts w:ascii="Times New Roman" w:hAnsi="Times New Roman" w:eastAsia="SimHei"/>
                <w:b/>
                <w:i w:val="0"/>
                <w:color w:val="000000"/>
                <w:sz w:val="18"/>
              </w:rPr>
              <w:t>总导通上界</w:t>
            </w:r>
          </w:p>
        </w:tc>
      </w:tr>
      <w:tr>
        <w:tc>
          <w:tcPr>
            <w:tcW w:type="dxa" w:w="1304"/>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1</w:t>
            </w:r>
          </w:p>
        </w:tc>
        <w:tc>
          <w:tcPr>
            <w:tcW w:type="dxa" w:w="2494"/>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0.254712</w:t>
            </w:r>
          </w:p>
        </w:tc>
        <w:tc>
          <w:tcPr>
            <w:tcW w:type="dxa" w:w="2665"/>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0.00e+00</w:t>
            </w:r>
          </w:p>
        </w:tc>
        <w:tc>
          <w:tcPr>
            <w:tcW w:type="dxa" w:w="2494"/>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0.254712</w:t>
            </w:r>
          </w:p>
        </w:tc>
      </w:tr>
      <w:tr>
        <w:tc>
          <w:tcPr>
            <w:tcW w:type="dxa" w:w="1304"/>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2</w:t>
            </w:r>
          </w:p>
        </w:tc>
        <w:tc>
          <w:tcPr>
            <w:tcW w:type="dxa" w:w="2494"/>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0.444546</w:t>
            </w:r>
          </w:p>
        </w:tc>
        <w:tc>
          <w:tcPr>
            <w:tcW w:type="dxa" w:w="2665"/>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6.48e-08</w:t>
            </w:r>
          </w:p>
        </w:tc>
        <w:tc>
          <w:tcPr>
            <w:tcW w:type="dxa" w:w="2494"/>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0.444546</w:t>
            </w:r>
          </w:p>
        </w:tc>
      </w:tr>
      <w:tr>
        <w:tc>
          <w:tcPr>
            <w:tcW w:type="dxa" w:w="1304"/>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3</w:t>
            </w:r>
          </w:p>
        </w:tc>
        <w:tc>
          <w:tcPr>
            <w:tcW w:type="dxa" w:w="2494"/>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0.586027</w:t>
            </w:r>
          </w:p>
        </w:tc>
        <w:tc>
          <w:tcPr>
            <w:tcW w:type="dxa" w:w="2665"/>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1.94e-07</w:t>
            </w:r>
          </w:p>
        </w:tc>
        <w:tc>
          <w:tcPr>
            <w:tcW w:type="dxa" w:w="2494"/>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0.586027</w:t>
            </w:r>
          </w:p>
        </w:tc>
      </w:tr>
      <w:tr>
        <w:tc>
          <w:tcPr>
            <w:tcW w:type="dxa" w:w="1304"/>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4</w:t>
            </w:r>
          </w:p>
        </w:tc>
        <w:tc>
          <w:tcPr>
            <w:tcW w:type="dxa" w:w="2494"/>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0.691471</w:t>
            </w:r>
          </w:p>
        </w:tc>
        <w:tc>
          <w:tcPr>
            <w:tcW w:type="dxa" w:w="2665"/>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3.89e-07</w:t>
            </w:r>
          </w:p>
        </w:tc>
        <w:tc>
          <w:tcPr>
            <w:tcW w:type="dxa" w:w="2494"/>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0.691472</w:t>
            </w:r>
          </w:p>
        </w:tc>
      </w:tr>
      <w:tr>
        <w:tc>
          <w:tcPr>
            <w:tcW w:type="dxa" w:w="1304"/>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5</w:t>
            </w:r>
          </w:p>
        </w:tc>
        <w:tc>
          <w:tcPr>
            <w:tcW w:type="dxa" w:w="2494"/>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0.770057</w:t>
            </w:r>
          </w:p>
        </w:tc>
        <w:tc>
          <w:tcPr>
            <w:tcW w:type="dxa" w:w="2665"/>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6.48e-07</w:t>
            </w:r>
          </w:p>
        </w:tc>
        <w:tc>
          <w:tcPr>
            <w:tcW w:type="dxa" w:w="2494"/>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0.770058</w:t>
            </w:r>
          </w:p>
        </w:tc>
      </w:tr>
      <w:tr>
        <w:tc>
          <w:tcPr>
            <w:tcW w:type="dxa" w:w="1304"/>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6</w:t>
            </w:r>
          </w:p>
        </w:tc>
        <w:tc>
          <w:tcPr>
            <w:tcW w:type="dxa" w:w="2494"/>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0.828627</w:t>
            </w:r>
          </w:p>
        </w:tc>
        <w:tc>
          <w:tcPr>
            <w:tcW w:type="dxa" w:w="2665"/>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9.72e-07</w:t>
            </w:r>
          </w:p>
        </w:tc>
        <w:tc>
          <w:tcPr>
            <w:tcW w:type="dxa" w:w="2494"/>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0.828628</w:t>
            </w:r>
          </w:p>
        </w:tc>
      </w:tr>
      <w:tr>
        <w:tc>
          <w:tcPr>
            <w:tcW w:type="dxa" w:w="1304"/>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7</w:t>
            </w:r>
          </w:p>
        </w:tc>
        <w:tc>
          <w:tcPr>
            <w:tcW w:type="dxa" w:w="2494"/>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0.872278</w:t>
            </w:r>
          </w:p>
        </w:tc>
        <w:tc>
          <w:tcPr>
            <w:tcW w:type="dxa" w:w="2665"/>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1.36e-06</w:t>
            </w:r>
          </w:p>
        </w:tc>
        <w:tc>
          <w:tcPr>
            <w:tcW w:type="dxa" w:w="2494"/>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0.872279</w:t>
            </w:r>
          </w:p>
        </w:tc>
      </w:tr>
      <w:tr>
        <w:tc>
          <w:tcPr>
            <w:tcW w:type="dxa" w:w="1304"/>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8</w:t>
            </w:r>
          </w:p>
        </w:tc>
        <w:tc>
          <w:tcPr>
            <w:tcW w:type="dxa" w:w="2494"/>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0.904810</w:t>
            </w:r>
          </w:p>
        </w:tc>
        <w:tc>
          <w:tcPr>
            <w:tcW w:type="dxa" w:w="2665"/>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1.81e-06</w:t>
            </w:r>
          </w:p>
        </w:tc>
        <w:tc>
          <w:tcPr>
            <w:tcW w:type="dxa" w:w="2494"/>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8"/>
              </w:rPr>
              <w:t>0.904812</w:t>
            </w:r>
          </w:p>
        </w:tc>
      </w:tr>
    </w:tbl>
    <w:p>
      <w:pPr>
        <w:spacing w:after="20"/>
        <w:ind w:firstLine="0"/>
      </w:pPr>
    </w:p>
    <w:p>
      <w:pPr>
        <w:keepNext/>
        <w:spacing w:before="80" w:after="20"/>
        <w:ind w:firstLine="0"/>
        <w:jc w:val="center"/>
      </w:pPr>
      <w:r>
        <w:drawing>
          <wp:inline xmlns:a="http://schemas.openxmlformats.org/drawingml/2006/main" xmlns:pic="http://schemas.openxmlformats.org/drawingml/2006/picture">
            <wp:extent cx="5508000" cy="3166848"/>
            <wp:docPr id="10" name="Picture 10" title="图10 Q3中7根不足、8根充分的解析夹逼" descr="Q3中7根不足、8根充分的解析夹逼"/>
            <wp:cNvGraphicFramePr>
              <a:graphicFrameLocks noChangeAspect="1"/>
            </wp:cNvGraphicFramePr>
            <a:graphic>
              <a:graphicData uri="http://schemas.openxmlformats.org/drawingml/2006/picture">
                <pic:pic>
                  <pic:nvPicPr>
                    <pic:cNvPr id="0" name="C04_q3_bounds_band.png"/>
                    <pic:cNvPicPr/>
                  </pic:nvPicPr>
                  <pic:blipFill>
                    <a:blip r:embed="rId19"/>
                    <a:stretch>
                      <a:fillRect/>
                    </a:stretch>
                  </pic:blipFill>
                  <pic:spPr>
                    <a:xfrm>
                      <a:off x="0" y="0"/>
                      <a:ext cx="5508000" cy="3166848"/>
                    </a:xfrm>
                    <a:prstGeom prst="rect"/>
                  </pic:spPr>
                </pic:pic>
              </a:graphicData>
            </a:graphic>
          </wp:inline>
        </w:drawing>
      </w:r>
    </w:p>
    <w:p>
      <w:pPr>
        <w:pStyle w:val="FigureCaption"/>
        <w:keepLines/>
      </w:pPr>
      <w:r>
        <w:rPr>
          <w:rFonts w:ascii="Times New Roman" w:hAnsi="Times New Roman" w:eastAsia="SimSun"/>
          <w:b w:val="0"/>
          <w:i w:val="0"/>
          <w:color w:val="000000"/>
          <w:sz w:val="20"/>
        </w:rPr>
        <w:t>图10  Q3中7根不足、8根充分的解析夹逼</w:t>
      </w:r>
    </w:p>
    <w:p>
      <w:pPr>
        <w:pStyle w:val="Heading2"/>
      </w:pPr>
      <w:r>
        <w:rPr>
          <w:rFonts w:ascii="Times New Roman" w:hAnsi="Times New Roman" w:eastAsia="SimHei"/>
          <w:b/>
          <w:i w:val="0"/>
          <w:color w:val="000000"/>
          <w:sz w:val="26"/>
        </w:rPr>
        <w:t>6.3  填充率报告</w:t>
      </w:r>
    </w:p>
    <w:p>
      <w:pPr>
        <w:keepNext w:val="0"/>
        <w:spacing w:after="60" w:line="293" w:lineRule="auto"/>
        <w:ind w:firstLine="420"/>
        <w:jc w:val="both"/>
      </w:pPr>
      <w:r>
        <w:rPr>
          <w:rFonts w:ascii="Times New Roman" w:hAnsi="Times New Roman" w:eastAsia="SimSun"/>
          <w:b w:val="0"/>
          <w:i w:val="0"/>
          <w:color w:val="000000"/>
          <w:sz w:val="23"/>
        </w:rPr>
        <w:t>8根A对应体积分数8V_A/L^3=0.0001130973，即0.01131%。若按百分号后保留两位，应报告0.01%；但必须同时保留“8根”和未过度舍入的0.01131%，因为相邻整数在两位百分数下可能显示相同。</w:t>
      </w:r>
    </w:p>
    <w:p>
      <w:pPr>
        <w:pStyle w:val="Heading1"/>
      </w:pPr>
      <w:r>
        <w:rPr>
          <w:rFonts w:ascii="Times New Roman" w:hAnsi="Times New Roman" w:eastAsia="SimHei"/>
          <w:b/>
          <w:i w:val="0"/>
          <w:color w:val="000000"/>
          <w:sz w:val="30"/>
        </w:rPr>
        <w:t>7  问题四：混合填充的整数成本优化</w:t>
      </w:r>
    </w:p>
    <w:p>
      <w:pPr>
        <w:pStyle w:val="Heading2"/>
      </w:pPr>
      <w:r>
        <w:rPr>
          <w:rFonts w:ascii="Times New Roman" w:hAnsi="Times New Roman" w:eastAsia="SimHei"/>
          <w:b/>
          <w:i w:val="0"/>
          <w:color w:val="000000"/>
          <w:sz w:val="26"/>
        </w:rPr>
        <w:t>7.1  优化模型</w:t>
      </w:r>
    </w:p>
    <w:p>
      <w:pPr>
        <w:keepNext w:val="0"/>
        <w:spacing w:after="60" w:line="293" w:lineRule="auto"/>
        <w:ind w:firstLine="420"/>
        <w:jc w:val="both"/>
      </w:pPr>
      <w:r>
        <w:rPr>
          <w:rFonts w:ascii="Times New Roman" w:hAnsi="Times New Roman" w:eastAsia="SimSun"/>
          <w:b w:val="0"/>
          <w:i w:val="0"/>
          <w:color w:val="000000"/>
          <w:sz w:val="23"/>
        </w:rPr>
        <w:t>以n_A,n_B为整数决策变量，目标是最小化式(2)的材料成本，约束为总导通概率不低于0.90。由于总导通概率难以精确闭式计算，本文采用“候选方案用下界证明可行、所有更便宜方案用上界证明不可行”的双向证书。</w:t>
      </w:r>
    </w:p>
    <w:p>
      <w:pPr>
        <w:keepLines/>
        <w:spacing w:before="60" w:after="60"/>
        <w:ind w:firstLine="0"/>
        <w:jc w:val="center"/>
        <w:tabs>
          <w:tab w:val="right" w:pos="9000"/>
        </w:tabs>
      </w:pPr>
      <m:oMathPara>
        <m:oMath>
          <m:r>
            <m:t>min C(n_A,n_B),   s.t. P(T)≥0.90,   n_A,n_B∈Z_≥0</m:t>
          </m:r>
        </m:oMath>
      </m:oMathPara>
      <w:r>
        <w:rPr>
          <w:rFonts w:ascii="Cambria Math" w:hAnsi="Cambria Math" w:eastAsia="SimSun"/>
          <w:b w:val="0"/>
          <w:i w:val="0"/>
          <w:color w:val="000000"/>
          <w:sz w:val="23"/>
        </w:rPr>
        <w:tab/>
        <w:t>(12)</w:t>
      </w:r>
    </w:p>
    <w:p>
      <w:pPr>
        <w:pStyle w:val="Heading2"/>
      </w:pPr>
      <w:r>
        <w:rPr>
          <w:rFonts w:ascii="Times New Roman" w:hAnsi="Times New Roman" w:eastAsia="SimHei"/>
          <w:b/>
          <w:i w:val="0"/>
          <w:color w:val="000000"/>
          <w:sz w:val="26"/>
        </w:rPr>
        <w:t>7.2  非负整数域的边界解</w:t>
      </w:r>
    </w:p>
    <w:p>
      <w:pPr>
        <w:keepNext w:val="0"/>
        <w:spacing w:after="60" w:line="293" w:lineRule="auto"/>
        <w:ind w:firstLine="420"/>
        <w:jc w:val="both"/>
      </w:pPr>
      <w:r>
        <w:rPr>
          <w:rFonts w:ascii="Times New Roman" w:hAnsi="Times New Roman" w:eastAsia="SimSun"/>
          <w:b w:val="0"/>
          <w:i w:val="0"/>
          <w:color w:val="000000"/>
          <w:sz w:val="23"/>
        </w:rPr>
        <w:t>若允许某一类介质数量为零，0A+57B的直接贯通下界为0.9023976480，成本0.0955044元，故该方案可行。以该成本为上限，枚举全部216个更低成本非负整数点；其中总导通上界最大的是0A+56B，上界0.8984306753&lt;0.90。因此所有更便宜方案均不可行，0A+57B在非负整数域严格最优。</w:t>
      </w:r>
    </w:p>
    <w:p>
      <w:pPr>
        <w:pStyle w:val="Heading2"/>
      </w:pPr>
      <w:r>
        <w:rPr>
          <w:rFonts w:ascii="Times New Roman" w:hAnsi="Times New Roman" w:eastAsia="SimHei"/>
          <w:b/>
          <w:i w:val="0"/>
          <w:color w:val="000000"/>
          <w:sz w:val="26"/>
        </w:rPr>
        <w:t>7.3  两类介质均为正的主口径</w:t>
      </w:r>
    </w:p>
    <w:p>
      <w:pPr>
        <w:keepNext w:val="0"/>
        <w:spacing w:after="60" w:line="293" w:lineRule="auto"/>
        <w:ind w:firstLine="420"/>
        <w:jc w:val="both"/>
      </w:pPr>
      <w:r>
        <w:rPr>
          <w:rFonts w:ascii="Times New Roman" w:hAnsi="Times New Roman" w:eastAsia="SimSun"/>
          <w:b w:val="0"/>
          <w:i w:val="0"/>
          <w:color w:val="000000"/>
          <w:sz w:val="23"/>
        </w:rPr>
        <w:t>题目中的“同时填充A、B”可能要求两类介质均出现。增加n_A&gt;=1,n_B&gt;=1后，1A+50B的直接贯通下界为0.9031977272，成本0.0986198元。枚举164个更低成本正混合点后，最危险方案1A+49B的总导通上界为0.8992436792&lt;0.90。因此若按“同时填充”解释，应把1A+50B作为正式答案，0A+57B仅作为放宽约束后的对照。</w:t>
      </w:r>
    </w:p>
    <w:p>
      <w:pPr>
        <w:pStyle w:val="FigureCaption"/>
        <w:keepNext/>
        <w:spacing w:before="80" w:after="40"/>
      </w:pPr>
      <w:r>
        <w:rPr>
          <w:rFonts w:ascii="Times New Roman" w:hAnsi="Times New Roman" w:eastAsia="SimSun"/>
          <w:b w:val="0"/>
          <w:i w:val="0"/>
          <w:color w:val="000000"/>
          <w:sz w:val="20"/>
        </w:rPr>
        <w:t>表7  Q4低成本前沿与两种口径的候选解</w:t>
      </w:r>
    </w:p>
    <w:tbl>
      <w:tblPr>
        <w:tblStyle w:val="TableGrid"/>
        <w:tblW w:type="dxa" w:w="9184"/>
        <w:jc w:val="center"/>
        <w:tblLayout w:type="fixed"/>
        <w:tblLook w:firstColumn="1" w:firstRow="1" w:lastColumn="0" w:lastRow="0" w:noHBand="0" w:noVBand="1" w:val="04A0"/>
      </w:tblPr>
      <w:tblGrid>
        <w:gridCol w:w="1417"/>
        <w:gridCol w:w="1417"/>
        <w:gridCol w:w="1700"/>
        <w:gridCol w:w="1700"/>
        <w:gridCol w:w="2948"/>
      </w:tblGrid>
      <w:tr>
        <w:trPr>
          <w:tblHeader w:val="true"/>
        </w:trPr>
        <w:tc>
          <w:tcPr>
            <w:tcW w:type="dxa" w:w="1417"/>
            <w:tcMar>
              <w:top w:w="80" w:type="dxa"/>
              <w:start w:w="110" w:type="dxa"/>
              <w:bottom w:w="80" w:type="dxa"/>
              <w:end w:w="110" w:type="dxa"/>
            </w:tcMar>
            <w:shd w:fill="E7EEF3"/>
            <w:vAlign w:val="center"/>
          </w:tcPr>
          <w:p>
            <w:pPr>
              <w:spacing w:after="0"/>
              <w:ind w:firstLine="0"/>
              <w:jc w:val="center"/>
            </w:pPr>
            <w:r/>
            <w:r>
              <w:rPr>
                <w:rFonts w:ascii="Times New Roman" w:hAnsi="Times New Roman" w:eastAsia="SimHei"/>
                <w:b/>
                <w:i w:val="0"/>
                <w:color w:val="000000"/>
                <w:sz w:val="17"/>
              </w:rPr>
              <w:t>方案</w:t>
            </w:r>
          </w:p>
        </w:tc>
        <w:tc>
          <w:tcPr>
            <w:tcW w:type="dxa" w:w="1417"/>
            <w:tcMar>
              <w:top w:w="80" w:type="dxa"/>
              <w:start w:w="110" w:type="dxa"/>
              <w:bottom w:w="80" w:type="dxa"/>
              <w:end w:w="110" w:type="dxa"/>
            </w:tcMar>
            <w:shd w:fill="E7EEF3"/>
            <w:vAlign w:val="center"/>
          </w:tcPr>
          <w:p>
            <w:pPr>
              <w:spacing w:after="0"/>
              <w:ind w:firstLine="0"/>
              <w:jc w:val="center"/>
            </w:pPr>
            <w:r/>
            <w:r>
              <w:rPr>
                <w:rFonts w:ascii="Times New Roman" w:hAnsi="Times New Roman" w:eastAsia="SimHei"/>
                <w:b/>
                <w:i w:val="0"/>
                <w:color w:val="000000"/>
                <w:sz w:val="17"/>
              </w:rPr>
              <w:t>成本/元</w:t>
            </w:r>
          </w:p>
        </w:tc>
        <w:tc>
          <w:tcPr>
            <w:tcW w:type="dxa" w:w="1701"/>
            <w:tcMar>
              <w:top w:w="80" w:type="dxa"/>
              <w:start w:w="110" w:type="dxa"/>
              <w:bottom w:w="80" w:type="dxa"/>
              <w:end w:w="110" w:type="dxa"/>
            </w:tcMar>
            <w:shd w:fill="E7EEF3"/>
            <w:vAlign w:val="center"/>
          </w:tcPr>
          <w:p>
            <w:pPr>
              <w:spacing w:after="0"/>
              <w:ind w:firstLine="0"/>
              <w:jc w:val="center"/>
            </w:pPr>
            <w:r/>
            <w:r>
              <w:rPr>
                <w:rFonts w:ascii="Times New Roman" w:hAnsi="Times New Roman" w:eastAsia="SimHei"/>
                <w:b/>
                <w:i w:val="0"/>
                <w:color w:val="000000"/>
                <w:sz w:val="17"/>
              </w:rPr>
              <w:t>直接下界</w:t>
            </w:r>
          </w:p>
        </w:tc>
        <w:tc>
          <w:tcPr>
            <w:tcW w:type="dxa" w:w="1701"/>
            <w:tcMar>
              <w:top w:w="80" w:type="dxa"/>
              <w:start w:w="110" w:type="dxa"/>
              <w:bottom w:w="80" w:type="dxa"/>
              <w:end w:w="110" w:type="dxa"/>
            </w:tcMar>
            <w:shd w:fill="E7EEF3"/>
            <w:vAlign w:val="center"/>
          </w:tcPr>
          <w:p>
            <w:pPr>
              <w:spacing w:after="0"/>
              <w:ind w:firstLine="0"/>
              <w:jc w:val="center"/>
            </w:pPr>
            <w:r/>
            <w:r>
              <w:rPr>
                <w:rFonts w:ascii="Times New Roman" w:hAnsi="Times New Roman" w:eastAsia="SimHei"/>
                <w:b/>
                <w:i w:val="0"/>
                <w:color w:val="000000"/>
                <w:sz w:val="17"/>
              </w:rPr>
              <w:t>总上界</w:t>
            </w:r>
          </w:p>
        </w:tc>
        <w:tc>
          <w:tcPr>
            <w:tcW w:type="dxa" w:w="2948"/>
            <w:tcMar>
              <w:top w:w="80" w:type="dxa"/>
              <w:start w:w="110" w:type="dxa"/>
              <w:bottom w:w="80" w:type="dxa"/>
              <w:end w:w="110" w:type="dxa"/>
            </w:tcMar>
            <w:shd w:fill="E7EEF3"/>
            <w:vAlign w:val="center"/>
          </w:tcPr>
          <w:p>
            <w:pPr>
              <w:spacing w:after="0"/>
              <w:ind w:firstLine="0"/>
              <w:jc w:val="center"/>
            </w:pPr>
            <w:r/>
            <w:r>
              <w:rPr>
                <w:rFonts w:ascii="Times New Roman" w:hAnsi="Times New Roman" w:eastAsia="SimHei"/>
                <w:b/>
                <w:i w:val="0"/>
                <w:color w:val="000000"/>
                <w:sz w:val="17"/>
              </w:rPr>
              <w:t>结论</w:t>
            </w:r>
          </w:p>
        </w:tc>
      </w:tr>
      <w:tr>
        <w:tc>
          <w:tcPr>
            <w:tcW w:type="dxa" w:w="141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0A+56B</w:t>
            </w:r>
          </w:p>
        </w:tc>
        <w:tc>
          <w:tcPr>
            <w:tcW w:type="dxa" w:w="141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0.093829</w:t>
            </w:r>
          </w:p>
        </w:tc>
        <w:tc>
          <w:tcPr>
            <w:tcW w:type="dxa" w:w="170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0.898331</w:t>
            </w:r>
          </w:p>
        </w:tc>
        <w:tc>
          <w:tcPr>
            <w:tcW w:type="dxa" w:w="170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0.898431</w:t>
            </w:r>
          </w:p>
        </w:tc>
        <w:tc>
          <w:tcPr>
            <w:tcW w:type="dxa" w:w="2948"/>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更便宜，不可行</w:t>
            </w:r>
          </w:p>
        </w:tc>
      </w:tr>
      <w:tr>
        <w:tc>
          <w:tcPr>
            <w:tcW w:type="dxa" w:w="141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1A+48B</w:t>
            </w:r>
          </w:p>
        </w:tc>
        <w:tc>
          <w:tcPr>
            <w:tcW w:type="dxa" w:w="141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0.095269</w:t>
            </w:r>
          </w:p>
        </w:tc>
        <w:tc>
          <w:tcPr>
            <w:tcW w:type="dxa" w:w="170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0.894963</w:t>
            </w:r>
          </w:p>
        </w:tc>
        <w:tc>
          <w:tcPr>
            <w:tcW w:type="dxa" w:w="170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0.895039</w:t>
            </w:r>
          </w:p>
        </w:tc>
        <w:tc>
          <w:tcPr>
            <w:tcW w:type="dxa" w:w="2948"/>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更便宜，不可行</w:t>
            </w:r>
          </w:p>
        </w:tc>
      </w:tr>
      <w:tr>
        <w:tc>
          <w:tcPr>
            <w:tcW w:type="dxa" w:w="141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2A+39B</w:t>
            </w:r>
          </w:p>
        </w:tc>
        <w:tc>
          <w:tcPr>
            <w:tcW w:type="dxa" w:w="141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0.095033</w:t>
            </w:r>
          </w:p>
        </w:tc>
        <w:tc>
          <w:tcPr>
            <w:tcW w:type="dxa" w:w="170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0.886962</w:t>
            </w:r>
          </w:p>
        </w:tc>
        <w:tc>
          <w:tcPr>
            <w:tcW w:type="dxa" w:w="170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0.887015</w:t>
            </w:r>
          </w:p>
        </w:tc>
        <w:tc>
          <w:tcPr>
            <w:tcW w:type="dxa" w:w="2948"/>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更便宜，不可行</w:t>
            </w:r>
          </w:p>
        </w:tc>
      </w:tr>
      <w:tr>
        <w:tc>
          <w:tcPr>
            <w:tcW w:type="dxa" w:w="141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3A+30B</w:t>
            </w:r>
          </w:p>
        </w:tc>
        <w:tc>
          <w:tcPr>
            <w:tcW w:type="dxa" w:w="141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0.094798</w:t>
            </w:r>
          </w:p>
        </w:tc>
        <w:tc>
          <w:tcPr>
            <w:tcW w:type="dxa" w:w="170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0.878351</w:t>
            </w:r>
          </w:p>
        </w:tc>
        <w:tc>
          <w:tcPr>
            <w:tcW w:type="dxa" w:w="170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0.878385</w:t>
            </w:r>
          </w:p>
        </w:tc>
        <w:tc>
          <w:tcPr>
            <w:tcW w:type="dxa" w:w="2948"/>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更便宜，不可行</w:t>
            </w:r>
          </w:p>
        </w:tc>
      </w:tr>
      <w:tr>
        <w:tc>
          <w:tcPr>
            <w:tcW w:type="dxa" w:w="141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4A+21B</w:t>
            </w:r>
          </w:p>
        </w:tc>
        <w:tc>
          <w:tcPr>
            <w:tcW w:type="dxa" w:w="141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0.094562</w:t>
            </w:r>
          </w:p>
        </w:tc>
        <w:tc>
          <w:tcPr>
            <w:tcW w:type="dxa" w:w="170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0.869084</w:t>
            </w:r>
          </w:p>
        </w:tc>
        <w:tc>
          <w:tcPr>
            <w:tcW w:type="dxa" w:w="170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0.869104</w:t>
            </w:r>
          </w:p>
        </w:tc>
        <w:tc>
          <w:tcPr>
            <w:tcW w:type="dxa" w:w="2948"/>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更便宜，不可行</w:t>
            </w:r>
          </w:p>
        </w:tc>
      </w:tr>
      <w:tr>
        <w:tc>
          <w:tcPr>
            <w:tcW w:type="dxa" w:w="141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5A+12B</w:t>
            </w:r>
          </w:p>
        </w:tc>
        <w:tc>
          <w:tcPr>
            <w:tcW w:type="dxa" w:w="141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0.094326</w:t>
            </w:r>
          </w:p>
        </w:tc>
        <w:tc>
          <w:tcPr>
            <w:tcW w:type="dxa" w:w="170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0.859112</w:t>
            </w:r>
          </w:p>
        </w:tc>
        <w:tc>
          <w:tcPr>
            <w:tcW w:type="dxa" w:w="170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0.859121</w:t>
            </w:r>
          </w:p>
        </w:tc>
        <w:tc>
          <w:tcPr>
            <w:tcW w:type="dxa" w:w="2948"/>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更便宜，不可行</w:t>
            </w:r>
          </w:p>
        </w:tc>
      </w:tr>
      <w:tr>
        <w:tc>
          <w:tcPr>
            <w:tcW w:type="dxa" w:w="141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6A+3B</w:t>
            </w:r>
          </w:p>
        </w:tc>
        <w:tc>
          <w:tcPr>
            <w:tcW w:type="dxa" w:w="141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0.094091</w:t>
            </w:r>
          </w:p>
        </w:tc>
        <w:tc>
          <w:tcPr>
            <w:tcW w:type="dxa" w:w="170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0.848380</w:t>
            </w:r>
          </w:p>
        </w:tc>
        <w:tc>
          <w:tcPr>
            <w:tcW w:type="dxa" w:w="170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0.848382</w:t>
            </w:r>
          </w:p>
        </w:tc>
        <w:tc>
          <w:tcPr>
            <w:tcW w:type="dxa" w:w="2948"/>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更便宜，不可行</w:t>
            </w:r>
          </w:p>
        </w:tc>
      </w:tr>
      <w:tr>
        <w:tc>
          <w:tcPr>
            <w:tcW w:type="dxa" w:w="141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0A+57B</w:t>
            </w:r>
          </w:p>
        </w:tc>
        <w:tc>
          <w:tcPr>
            <w:tcW w:type="dxa" w:w="141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0.095504</w:t>
            </w:r>
          </w:p>
        </w:tc>
        <w:tc>
          <w:tcPr>
            <w:tcW w:type="dxa" w:w="170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0.902398</w:t>
            </w:r>
          </w:p>
        </w:tc>
        <w:tc>
          <w:tcPr>
            <w:tcW w:type="dxa" w:w="170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w:t>
            </w:r>
          </w:p>
        </w:tc>
        <w:tc>
          <w:tcPr>
            <w:tcW w:type="dxa" w:w="2948"/>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非负整数域最优</w:t>
            </w:r>
          </w:p>
        </w:tc>
      </w:tr>
      <w:tr>
        <w:tc>
          <w:tcPr>
            <w:tcW w:type="dxa" w:w="141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1A+50B</w:t>
            </w:r>
          </w:p>
        </w:tc>
        <w:tc>
          <w:tcPr>
            <w:tcW w:type="dxa" w:w="1417"/>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0.098620</w:t>
            </w:r>
          </w:p>
        </w:tc>
        <w:tc>
          <w:tcPr>
            <w:tcW w:type="dxa" w:w="170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0.903198</w:t>
            </w:r>
          </w:p>
        </w:tc>
        <w:tc>
          <w:tcPr>
            <w:tcW w:type="dxa" w:w="170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w:t>
            </w:r>
          </w:p>
        </w:tc>
        <w:tc>
          <w:tcPr>
            <w:tcW w:type="dxa" w:w="2948"/>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正混合域最优</w:t>
            </w:r>
          </w:p>
        </w:tc>
      </w:tr>
    </w:tbl>
    <w:p>
      <w:pPr>
        <w:spacing w:after="20"/>
        <w:ind w:firstLine="0"/>
      </w:pPr>
    </w:p>
    <w:p>
      <w:pPr>
        <w:keepNext/>
        <w:spacing w:before="80" w:after="20"/>
        <w:ind w:firstLine="0"/>
        <w:jc w:val="center"/>
      </w:pPr>
      <w:r>
        <w:drawing>
          <wp:inline xmlns:a="http://schemas.openxmlformats.org/drawingml/2006/main" xmlns:pic="http://schemas.openxmlformats.org/drawingml/2006/picture">
            <wp:extent cx="5508000" cy="3404418"/>
            <wp:docPr id="11" name="Picture 11" title="图11 Q4成本—概率界前沿与候选解证书" descr="Q4成本—概率界前沿与候选解证书"/>
            <wp:cNvGraphicFramePr>
              <a:graphicFrameLocks noChangeAspect="1"/>
            </wp:cNvGraphicFramePr>
            <a:graphic>
              <a:graphicData uri="http://schemas.openxmlformats.org/drawingml/2006/picture">
                <pic:pic>
                  <pic:nvPicPr>
                    <pic:cNvPr id="0" name="C08_q4_cost_frontier.png"/>
                    <pic:cNvPicPr/>
                  </pic:nvPicPr>
                  <pic:blipFill>
                    <a:blip r:embed="rId20"/>
                    <a:stretch>
                      <a:fillRect/>
                    </a:stretch>
                  </pic:blipFill>
                  <pic:spPr>
                    <a:xfrm>
                      <a:off x="0" y="0"/>
                      <a:ext cx="5508000" cy="3404418"/>
                    </a:xfrm>
                    <a:prstGeom prst="rect"/>
                  </pic:spPr>
                </pic:pic>
              </a:graphicData>
            </a:graphic>
          </wp:inline>
        </w:drawing>
      </w:r>
    </w:p>
    <w:p>
      <w:pPr>
        <w:pStyle w:val="FigureCaption"/>
        <w:keepLines/>
      </w:pPr>
      <w:r>
        <w:rPr>
          <w:rFonts w:ascii="Times New Roman" w:hAnsi="Times New Roman" w:eastAsia="SimSun"/>
          <w:b w:val="0"/>
          <w:i w:val="0"/>
          <w:color w:val="000000"/>
          <w:sz w:val="20"/>
        </w:rPr>
        <w:t>图11  Q4成本—概率界前沿与候选解证书</w:t>
      </w:r>
    </w:p>
    <w:p>
      <w:pPr>
        <w:pStyle w:val="Heading2"/>
      </w:pPr>
      <w:r>
        <w:rPr>
          <w:rFonts w:ascii="Times New Roman" w:hAnsi="Times New Roman" w:eastAsia="SimHei"/>
          <w:b/>
          <w:i w:val="0"/>
          <w:color w:val="000000"/>
          <w:sz w:val="26"/>
        </w:rPr>
        <w:t>7.4  成本效率解释</w:t>
      </w:r>
    </w:p>
    <w:p>
      <w:pPr>
        <w:keepNext w:val="0"/>
        <w:spacing w:after="60" w:line="293" w:lineRule="auto"/>
        <w:ind w:firstLine="420"/>
        <w:jc w:val="both"/>
      </w:pPr>
      <w:r>
        <w:rPr>
          <w:rFonts w:ascii="Times New Roman" w:hAnsi="Times New Roman" w:eastAsia="SimSun"/>
          <w:b w:val="0"/>
          <w:i w:val="0"/>
          <w:color w:val="000000"/>
          <w:sz w:val="23"/>
        </w:rPr>
        <w:t>A单体直接贯通概率高，但单体成本约为B的8.86倍；B虽需要更多数量，却具有更高的单位成本概率收益，因此非负整数域最优点落在纯B边界。强制两类均出现时，加入1根A可以减少7个B，形成1A+50B的正混合最优点。该解释只针对本题给定价格和尺寸，若B单价上升或半径改变，整数前沿会发生跳变。</w:t>
      </w:r>
    </w:p>
    <w:p>
      <w:pPr>
        <w:pStyle w:val="Heading1"/>
      </w:pPr>
      <w:r>
        <w:rPr>
          <w:rFonts w:ascii="Times New Roman" w:hAnsi="Times New Roman" w:eastAsia="SimHei"/>
          <w:b/>
          <w:i w:val="0"/>
          <w:color w:val="000000"/>
          <w:sz w:val="30"/>
        </w:rPr>
        <w:t>8  模型检验、灵敏度与稳健性</w:t>
      </w:r>
    </w:p>
    <w:p>
      <w:pPr>
        <w:pStyle w:val="Heading2"/>
      </w:pPr>
      <w:r>
        <w:rPr>
          <w:rFonts w:ascii="Times New Roman" w:hAnsi="Times New Roman" w:eastAsia="SimHei"/>
          <w:b/>
          <w:i w:val="0"/>
          <w:color w:val="000000"/>
          <w:sz w:val="26"/>
        </w:rPr>
        <w:t>8.1  几何算法检验</w:t>
      </w:r>
    </w:p>
    <w:p>
      <w:pPr>
        <w:keepNext w:val="0"/>
        <w:spacing w:after="60" w:line="293" w:lineRule="auto"/>
        <w:ind w:firstLine="420"/>
        <w:jc w:val="both"/>
      </w:pPr>
      <w:r>
        <w:rPr>
          <w:rFonts w:ascii="Times New Roman" w:hAnsi="Times New Roman" w:eastAsia="SimSun"/>
          <w:b w:val="0"/>
          <w:i w:val="0"/>
          <w:color w:val="000000"/>
          <w:sz w:val="23"/>
        </w:rPr>
        <w:t>几何测试覆盖平行、相交、端点最近、轴段换序和多对批量计算等情形；对附件三组数据，全对全枚举与KD树广相位得到相同的连通结论和边数。正例路径逐边检查s,t与轴距，负例则利用胶囊超集反证。当前测试共16项通过，其中新增测试明确区分无条件电极接触层a_i+g与非越界剩余薄壳g，防止把g/L误写成无条件接触概率。</w:t>
      </w:r>
    </w:p>
    <w:p>
      <w:pPr>
        <w:pStyle w:val="Heading2"/>
      </w:pPr>
      <w:r>
        <w:rPr>
          <w:rFonts w:ascii="Times New Roman" w:hAnsi="Times New Roman" w:eastAsia="SimHei"/>
          <w:b/>
          <w:i w:val="0"/>
          <w:color w:val="000000"/>
          <w:sz w:val="26"/>
        </w:rPr>
        <w:t>8.2  概率与整数域复核</w:t>
      </w:r>
    </w:p>
    <w:p>
      <w:pPr>
        <w:keepNext w:val="0"/>
        <w:spacing w:after="60" w:line="293" w:lineRule="auto"/>
        <w:ind w:firstLine="420"/>
        <w:jc w:val="both"/>
      </w:pPr>
      <w:r>
        <w:rPr>
          <w:rFonts w:ascii="Times New Roman" w:hAnsi="Times New Roman" w:eastAsia="SimSun"/>
          <w:b w:val="0"/>
          <w:i w:val="0"/>
          <w:color w:val="000000"/>
          <w:sz w:val="23"/>
        </w:rPr>
        <w:t>q_A由方向积分解析得到，q_B由球的边界层宽度直接得到；Q3分别重算7根上界与8根下界。Q4不是只比较表7中的前沿点，而是完整枚举成本严格低于候选的所有整数点，再取其总导通上界最大者。因此216和164是搜索域内实际候选数，不是抽样规模。</w:t>
      </w:r>
    </w:p>
    <w:p>
      <w:pPr>
        <w:pStyle w:val="Heading2"/>
      </w:pPr>
      <w:r>
        <w:rPr>
          <w:rFonts w:ascii="Times New Roman" w:hAnsi="Times New Roman" w:eastAsia="SimHei"/>
          <w:b/>
          <w:i w:val="0"/>
          <w:color w:val="000000"/>
          <w:sz w:val="26"/>
        </w:rPr>
        <w:t>8.3  几何参数灵敏度</w:t>
      </w:r>
    </w:p>
    <w:p>
      <w:pPr>
        <w:keepNext w:val="0"/>
        <w:spacing w:after="60" w:line="293" w:lineRule="auto"/>
        <w:ind w:firstLine="420"/>
        <w:jc w:val="both"/>
      </w:pPr>
      <w:r>
        <w:rPr>
          <w:rFonts w:ascii="Times New Roman" w:hAnsi="Times New Roman" w:eastAsia="SimSun"/>
          <w:b w:val="0"/>
          <w:i w:val="0"/>
          <w:color w:val="000000"/>
          <w:sz w:val="23"/>
        </w:rPr>
        <w:t>为考察结构敏感性，在保持其余条件不变的设计情景中令A高度H取3500-6500 nm、B半径r_B取120-280 nm。该范围不是实测误差或制造分布，只用于观察解析阈值的整数跳变。H增大时q_A线性增大，达到90%所需A数量呈阶梯下降；B半径增大时q_B=2r_B/L增大，所需B数量下降。题设基准H=5000 nm对应8根A，r_B=200 nm对应57个B。</w:t>
      </w:r>
    </w:p>
    <w:p>
      <w:pPr>
        <w:keepNext/>
        <w:spacing w:before="80" w:after="20"/>
        <w:ind w:firstLine="0"/>
        <w:jc w:val="center"/>
      </w:pPr>
      <w:r>
        <w:drawing>
          <wp:inline xmlns:a="http://schemas.openxmlformats.org/drawingml/2006/main" xmlns:pic="http://schemas.openxmlformats.org/drawingml/2006/picture">
            <wp:extent cx="5508000" cy="2332612"/>
            <wp:docPr id="12" name="Picture 12" title="图12 设计情景下几何尺寸对90%充分数量的影响" descr="设计情景下几何尺寸对90%充分数量的影响"/>
            <wp:cNvGraphicFramePr>
              <a:graphicFrameLocks noChangeAspect="1"/>
            </wp:cNvGraphicFramePr>
            <a:graphic>
              <a:graphicData uri="http://schemas.openxmlformats.org/drawingml/2006/picture">
                <pic:pic>
                  <pic:nvPicPr>
                    <pic:cNvPr id="0" name="C09_sensitivity_threshold_counts.png"/>
                    <pic:cNvPicPr/>
                  </pic:nvPicPr>
                  <pic:blipFill>
                    <a:blip r:embed="rId21"/>
                    <a:stretch>
                      <a:fillRect/>
                    </a:stretch>
                  </pic:blipFill>
                  <pic:spPr>
                    <a:xfrm>
                      <a:off x="0" y="0"/>
                      <a:ext cx="5508000" cy="2332612"/>
                    </a:xfrm>
                    <a:prstGeom prst="rect"/>
                  </pic:spPr>
                </pic:pic>
              </a:graphicData>
            </a:graphic>
          </wp:inline>
        </w:drawing>
      </w:r>
    </w:p>
    <w:p>
      <w:pPr>
        <w:pStyle w:val="FigureCaption"/>
        <w:keepLines/>
      </w:pPr>
      <w:r>
        <w:rPr>
          <w:rFonts w:ascii="Times New Roman" w:hAnsi="Times New Roman" w:eastAsia="SimSun"/>
          <w:b w:val="0"/>
          <w:i w:val="0"/>
          <w:color w:val="000000"/>
          <w:sz w:val="20"/>
        </w:rPr>
        <w:t>图12  设计情景下几何尺寸对90%充分数量的影响</w:t>
      </w:r>
    </w:p>
    <w:p>
      <w:pPr>
        <w:pStyle w:val="Heading2"/>
      </w:pPr>
      <w:r>
        <w:rPr>
          <w:rFonts w:ascii="Times New Roman" w:hAnsi="Times New Roman" w:eastAsia="SimHei"/>
          <w:b/>
          <w:i w:val="0"/>
          <w:color w:val="000000"/>
          <w:sz w:val="26"/>
        </w:rPr>
        <w:t>8.4  假设敏感性与失效情形</w:t>
      </w:r>
    </w:p>
    <w:p>
      <w:pPr>
        <w:pStyle w:val="FigureCaption"/>
        <w:keepNext/>
        <w:spacing w:before="80" w:after="40"/>
      </w:pPr>
      <w:r>
        <w:rPr>
          <w:rFonts w:ascii="Times New Roman" w:hAnsi="Times New Roman" w:eastAsia="SimSun"/>
          <w:b w:val="0"/>
          <w:i w:val="0"/>
          <w:color w:val="000000"/>
          <w:sz w:val="20"/>
        </w:rPr>
        <w:t>表8  关键假设变化对结论的影响</w:t>
      </w:r>
    </w:p>
    <w:tbl>
      <w:tblPr>
        <w:tblStyle w:val="TableGrid"/>
        <w:tblW w:type="dxa" w:w="9184"/>
        <w:jc w:val="center"/>
        <w:tblLayout w:type="fixed"/>
        <w:tblLook w:firstColumn="1" w:firstRow="1" w:lastColumn="0" w:lastRow="0" w:noHBand="0" w:noVBand="1" w:val="04A0"/>
      </w:tblPr>
      <w:tblGrid>
        <w:gridCol w:w="1700"/>
        <w:gridCol w:w="2267"/>
        <w:gridCol w:w="2607"/>
        <w:gridCol w:w="2607"/>
      </w:tblGrid>
      <w:tr>
        <w:trPr>
          <w:tblHeader w:val="true"/>
        </w:trPr>
        <w:tc>
          <w:tcPr>
            <w:tcW w:type="dxa" w:w="1701"/>
            <w:tcMar>
              <w:top w:w="80" w:type="dxa"/>
              <w:start w:w="110" w:type="dxa"/>
              <w:bottom w:w="80" w:type="dxa"/>
              <w:end w:w="110" w:type="dxa"/>
            </w:tcMar>
            <w:shd w:fill="E7EEF3"/>
            <w:vAlign w:val="center"/>
          </w:tcPr>
          <w:p>
            <w:pPr>
              <w:spacing w:after="0"/>
              <w:ind w:firstLine="0"/>
              <w:jc w:val="center"/>
            </w:pPr>
            <w:r/>
            <w:r>
              <w:rPr>
                <w:rFonts w:ascii="Times New Roman" w:hAnsi="Times New Roman" w:eastAsia="SimHei"/>
                <w:b/>
                <w:i w:val="0"/>
                <w:color w:val="000000"/>
                <w:sz w:val="17"/>
              </w:rPr>
              <w:t>变化</w:t>
            </w:r>
          </w:p>
        </w:tc>
        <w:tc>
          <w:tcPr>
            <w:tcW w:type="dxa" w:w="2268"/>
            <w:tcMar>
              <w:top w:w="80" w:type="dxa"/>
              <w:start w:w="110" w:type="dxa"/>
              <w:bottom w:w="80" w:type="dxa"/>
              <w:end w:w="110" w:type="dxa"/>
            </w:tcMar>
            <w:shd w:fill="E7EEF3"/>
            <w:vAlign w:val="center"/>
          </w:tcPr>
          <w:p>
            <w:pPr>
              <w:spacing w:after="0"/>
              <w:ind w:firstLine="0"/>
              <w:jc w:val="center"/>
            </w:pPr>
            <w:r/>
            <w:r>
              <w:rPr>
                <w:rFonts w:ascii="Times New Roman" w:hAnsi="Times New Roman" w:eastAsia="SimHei"/>
                <w:b/>
                <w:i w:val="0"/>
                <w:color w:val="000000"/>
                <w:sz w:val="17"/>
              </w:rPr>
              <w:t>直接影响</w:t>
            </w:r>
          </w:p>
        </w:tc>
        <w:tc>
          <w:tcPr>
            <w:tcW w:type="dxa" w:w="2608"/>
            <w:tcMar>
              <w:top w:w="80" w:type="dxa"/>
              <w:start w:w="110" w:type="dxa"/>
              <w:bottom w:w="80" w:type="dxa"/>
              <w:end w:w="110" w:type="dxa"/>
            </w:tcMar>
            <w:shd w:fill="E7EEF3"/>
            <w:vAlign w:val="center"/>
          </w:tcPr>
          <w:p>
            <w:pPr>
              <w:spacing w:after="0"/>
              <w:ind w:firstLine="0"/>
              <w:jc w:val="center"/>
            </w:pPr>
            <w:r/>
            <w:r>
              <w:rPr>
                <w:rFonts w:ascii="Times New Roman" w:hAnsi="Times New Roman" w:eastAsia="SimHei"/>
                <w:b/>
                <w:i w:val="0"/>
                <w:color w:val="000000"/>
                <w:sz w:val="17"/>
              </w:rPr>
              <w:t>最可能受影响的结论</w:t>
            </w:r>
          </w:p>
        </w:tc>
        <w:tc>
          <w:tcPr>
            <w:tcW w:type="dxa" w:w="2608"/>
            <w:tcMar>
              <w:top w:w="80" w:type="dxa"/>
              <w:start w:w="110" w:type="dxa"/>
              <w:bottom w:w="80" w:type="dxa"/>
              <w:end w:w="110" w:type="dxa"/>
            </w:tcMar>
            <w:shd w:fill="E7EEF3"/>
            <w:vAlign w:val="center"/>
          </w:tcPr>
          <w:p>
            <w:pPr>
              <w:spacing w:after="0"/>
              <w:ind w:firstLine="0"/>
              <w:jc w:val="center"/>
            </w:pPr>
            <w:r/>
            <w:r>
              <w:rPr>
                <w:rFonts w:ascii="Times New Roman" w:hAnsi="Times New Roman" w:eastAsia="SimHei"/>
                <w:b/>
                <w:i w:val="0"/>
                <w:color w:val="000000"/>
                <w:sz w:val="17"/>
              </w:rPr>
              <w:t>建议改进</w:t>
            </w:r>
          </w:p>
        </w:tc>
      </w:tr>
      <w:tr>
        <w:tc>
          <w:tcPr>
            <w:tcW w:type="dxa" w:w="170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A取向偏向x轴</w:t>
            </w:r>
          </w:p>
        </w:tc>
        <w:tc>
          <w:tcPr>
            <w:tcW w:type="dxa" w:w="2268"/>
            <w:vAlign w:val="center"/>
            <w:tcMar>
              <w:top w:w="80" w:type="dxa"/>
              <w:start w:w="110" w:type="dxa"/>
              <w:bottom w:w="80" w:type="dxa"/>
              <w:end w:w="110" w:type="dxa"/>
            </w:tcMar>
          </w:tcPr>
          <w:p>
            <w:pPr>
              <w:spacing w:after="0" w:line="252" w:lineRule="auto"/>
              <w:ind w:firstLine="0"/>
              <w:jc w:val="left"/>
            </w:pPr>
            <w:r/>
            <w:r>
              <w:rPr>
                <w:rFonts w:ascii="Times New Roman" w:hAnsi="Times New Roman" w:eastAsia="SimSun"/>
                <w:b w:val="0"/>
                <w:i w:val="0"/>
                <w:color w:val="000000"/>
                <w:sz w:val="17"/>
              </w:rPr>
              <w:t>q_A增大</w:t>
            </w:r>
          </w:p>
        </w:tc>
        <w:tc>
          <w:tcPr>
            <w:tcW w:type="dxa" w:w="2608"/>
            <w:vAlign w:val="center"/>
            <w:tcMar>
              <w:top w:w="80" w:type="dxa"/>
              <w:start w:w="110" w:type="dxa"/>
              <w:bottom w:w="80" w:type="dxa"/>
              <w:end w:w="110" w:type="dxa"/>
            </w:tcMar>
          </w:tcPr>
          <w:p>
            <w:pPr>
              <w:spacing w:after="0" w:line="252" w:lineRule="auto"/>
              <w:ind w:firstLine="0"/>
              <w:jc w:val="left"/>
            </w:pPr>
            <w:r/>
            <w:r>
              <w:rPr>
                <w:rFonts w:ascii="Times New Roman" w:hAnsi="Times New Roman" w:eastAsia="SimSun"/>
                <w:b w:val="0"/>
                <w:i w:val="0"/>
                <w:color w:val="000000"/>
                <w:sz w:val="17"/>
              </w:rPr>
              <w:t>Q3阈值下降，Q4更偏向A</w:t>
            </w:r>
          </w:p>
        </w:tc>
        <w:tc>
          <w:tcPr>
            <w:tcW w:type="dxa" w:w="2608"/>
            <w:vAlign w:val="center"/>
            <w:tcMar>
              <w:top w:w="80" w:type="dxa"/>
              <w:start w:w="110" w:type="dxa"/>
              <w:bottom w:w="80" w:type="dxa"/>
              <w:end w:w="110" w:type="dxa"/>
            </w:tcMar>
          </w:tcPr>
          <w:p>
            <w:pPr>
              <w:spacing w:after="0" w:line="252" w:lineRule="auto"/>
              <w:ind w:firstLine="0"/>
              <w:jc w:val="left"/>
            </w:pPr>
            <w:r/>
            <w:r>
              <w:rPr>
                <w:rFonts w:ascii="Times New Roman" w:hAnsi="Times New Roman" w:eastAsia="SimSun"/>
                <w:b w:val="0"/>
                <w:i w:val="0"/>
                <w:color w:val="000000"/>
                <w:sz w:val="17"/>
              </w:rPr>
              <w:t>用实测取向分布替代各向同性积分</w:t>
            </w:r>
          </w:p>
        </w:tc>
      </w:tr>
      <w:tr>
        <w:tc>
          <w:tcPr>
            <w:tcW w:type="dxa" w:w="170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粒子不可重叠</w:t>
            </w:r>
          </w:p>
        </w:tc>
        <w:tc>
          <w:tcPr>
            <w:tcW w:type="dxa" w:w="2268"/>
            <w:vAlign w:val="center"/>
            <w:tcMar>
              <w:top w:w="80" w:type="dxa"/>
              <w:start w:w="110" w:type="dxa"/>
              <w:bottom w:w="80" w:type="dxa"/>
              <w:end w:w="110" w:type="dxa"/>
            </w:tcMar>
          </w:tcPr>
          <w:p>
            <w:pPr>
              <w:spacing w:after="0" w:line="252" w:lineRule="auto"/>
              <w:ind w:firstLine="0"/>
              <w:jc w:val="left"/>
            </w:pPr>
            <w:r/>
            <w:r>
              <w:rPr>
                <w:rFonts w:ascii="Times New Roman" w:hAnsi="Times New Roman" w:eastAsia="SimSun"/>
                <w:b w:val="0"/>
                <w:i w:val="0"/>
                <w:color w:val="000000"/>
                <w:sz w:val="17"/>
              </w:rPr>
              <w:t>位置不再独立</w:t>
            </w:r>
          </w:p>
        </w:tc>
        <w:tc>
          <w:tcPr>
            <w:tcW w:type="dxa" w:w="2608"/>
            <w:vAlign w:val="center"/>
            <w:tcMar>
              <w:top w:w="80" w:type="dxa"/>
              <w:start w:w="110" w:type="dxa"/>
              <w:bottom w:w="80" w:type="dxa"/>
              <w:end w:w="110" w:type="dxa"/>
            </w:tcMar>
          </w:tcPr>
          <w:p>
            <w:pPr>
              <w:spacing w:after="0" w:line="252" w:lineRule="auto"/>
              <w:ind w:firstLine="0"/>
              <w:jc w:val="left"/>
            </w:pPr>
            <w:r/>
            <w:r>
              <w:rPr>
                <w:rFonts w:ascii="Times New Roman" w:hAnsi="Times New Roman" w:eastAsia="SimSun"/>
                <w:b w:val="0"/>
                <w:i w:val="0"/>
                <w:color w:val="000000"/>
                <w:sz w:val="17"/>
              </w:rPr>
              <w:t>Q2-Q4乘积式和联合界需重建</w:t>
            </w:r>
          </w:p>
        </w:tc>
        <w:tc>
          <w:tcPr>
            <w:tcW w:type="dxa" w:w="2608"/>
            <w:vAlign w:val="center"/>
            <w:tcMar>
              <w:top w:w="80" w:type="dxa"/>
              <w:start w:w="110" w:type="dxa"/>
              <w:bottom w:w="80" w:type="dxa"/>
              <w:end w:w="110" w:type="dxa"/>
            </w:tcMar>
          </w:tcPr>
          <w:p>
            <w:pPr>
              <w:spacing w:after="0" w:line="252" w:lineRule="auto"/>
              <w:ind w:firstLine="0"/>
              <w:jc w:val="left"/>
            </w:pPr>
            <w:r/>
            <w:r>
              <w:rPr>
                <w:rFonts w:ascii="Times New Roman" w:hAnsi="Times New Roman" w:eastAsia="SimSun"/>
                <w:b w:val="0"/>
                <w:i w:val="0"/>
                <w:color w:val="000000"/>
                <w:sz w:val="17"/>
              </w:rPr>
              <w:t>随机序列吸附或排斥点过程模拟</w:t>
            </w:r>
          </w:p>
        </w:tc>
      </w:tr>
      <w:tr>
        <w:tc>
          <w:tcPr>
            <w:tcW w:type="dxa" w:w="170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粒子团聚</w:t>
            </w:r>
          </w:p>
        </w:tc>
        <w:tc>
          <w:tcPr>
            <w:tcW w:type="dxa" w:w="2268"/>
            <w:vAlign w:val="center"/>
            <w:tcMar>
              <w:top w:w="80" w:type="dxa"/>
              <w:start w:w="110" w:type="dxa"/>
              <w:bottom w:w="80" w:type="dxa"/>
              <w:end w:w="110" w:type="dxa"/>
            </w:tcMar>
          </w:tcPr>
          <w:p>
            <w:pPr>
              <w:spacing w:after="0" w:line="252" w:lineRule="auto"/>
              <w:ind w:firstLine="0"/>
              <w:jc w:val="left"/>
            </w:pPr>
            <w:r/>
            <w:r>
              <w:rPr>
                <w:rFonts w:ascii="Times New Roman" w:hAnsi="Times New Roman" w:eastAsia="SimSun"/>
                <w:b w:val="0"/>
                <w:i w:val="0"/>
                <w:color w:val="000000"/>
                <w:sz w:val="17"/>
              </w:rPr>
              <w:t>局部连接增强但边界分布改变</w:t>
            </w:r>
          </w:p>
        </w:tc>
        <w:tc>
          <w:tcPr>
            <w:tcW w:type="dxa" w:w="2608"/>
            <w:vAlign w:val="center"/>
            <w:tcMar>
              <w:top w:w="80" w:type="dxa"/>
              <w:start w:w="110" w:type="dxa"/>
              <w:bottom w:w="80" w:type="dxa"/>
              <w:end w:w="110" w:type="dxa"/>
            </w:tcMar>
          </w:tcPr>
          <w:p>
            <w:pPr>
              <w:spacing w:after="0" w:line="252" w:lineRule="auto"/>
              <w:ind w:firstLine="0"/>
              <w:jc w:val="left"/>
            </w:pPr>
            <w:r/>
            <w:r>
              <w:rPr>
                <w:rFonts w:ascii="Times New Roman" w:hAnsi="Times New Roman" w:eastAsia="SimSun"/>
                <w:b w:val="0"/>
                <w:i w:val="0"/>
                <w:color w:val="000000"/>
                <w:sz w:val="17"/>
              </w:rPr>
              <w:t>总概率与解析界间隙增大</w:t>
            </w:r>
          </w:p>
        </w:tc>
        <w:tc>
          <w:tcPr>
            <w:tcW w:type="dxa" w:w="2608"/>
            <w:vAlign w:val="center"/>
            <w:tcMar>
              <w:top w:w="80" w:type="dxa"/>
              <w:start w:w="110" w:type="dxa"/>
              <w:bottom w:w="80" w:type="dxa"/>
              <w:end w:w="110" w:type="dxa"/>
            </w:tcMar>
          </w:tcPr>
          <w:p>
            <w:pPr>
              <w:spacing w:after="0" w:line="252" w:lineRule="auto"/>
              <w:ind w:firstLine="0"/>
              <w:jc w:val="left"/>
            </w:pPr>
            <w:r/>
            <w:r>
              <w:rPr>
                <w:rFonts w:ascii="Times New Roman" w:hAnsi="Times New Roman" w:eastAsia="SimSun"/>
                <w:b w:val="0"/>
                <w:i w:val="0"/>
                <w:color w:val="000000"/>
                <w:sz w:val="17"/>
              </w:rPr>
              <w:t>相关随机几何图与蒙特卡洛校准</w:t>
            </w:r>
          </w:p>
        </w:tc>
      </w:tr>
      <w:tr>
        <w:tc>
          <w:tcPr>
            <w:tcW w:type="dxa" w:w="170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周期片段不保持导体身份</w:t>
            </w:r>
          </w:p>
        </w:tc>
        <w:tc>
          <w:tcPr>
            <w:tcW w:type="dxa" w:w="2268"/>
            <w:vAlign w:val="center"/>
            <w:tcMar>
              <w:top w:w="80" w:type="dxa"/>
              <w:start w:w="110" w:type="dxa"/>
              <w:bottom w:w="80" w:type="dxa"/>
              <w:end w:w="110" w:type="dxa"/>
            </w:tcMar>
          </w:tcPr>
          <w:p>
            <w:pPr>
              <w:spacing w:after="0" w:line="252" w:lineRule="auto"/>
              <w:ind w:firstLine="0"/>
              <w:jc w:val="left"/>
            </w:pPr>
            <w:r/>
            <w:r>
              <w:rPr>
                <w:rFonts w:ascii="Times New Roman" w:hAnsi="Times New Roman" w:eastAsia="SimSun"/>
                <w:b w:val="0"/>
                <w:i w:val="0"/>
                <w:color w:val="000000"/>
                <w:sz w:val="17"/>
              </w:rPr>
              <w:t>直接贯通事件失效</w:t>
            </w:r>
          </w:p>
        </w:tc>
        <w:tc>
          <w:tcPr>
            <w:tcW w:type="dxa" w:w="2608"/>
            <w:vAlign w:val="center"/>
            <w:tcMar>
              <w:top w:w="80" w:type="dxa"/>
              <w:start w:w="110" w:type="dxa"/>
              <w:bottom w:w="80" w:type="dxa"/>
              <w:end w:w="110" w:type="dxa"/>
            </w:tcMar>
          </w:tcPr>
          <w:p>
            <w:pPr>
              <w:spacing w:after="0" w:line="252" w:lineRule="auto"/>
              <w:ind w:firstLine="0"/>
              <w:jc w:val="left"/>
            </w:pPr>
            <w:r/>
            <w:r>
              <w:rPr>
                <w:rFonts w:ascii="Times New Roman" w:hAnsi="Times New Roman" w:eastAsia="SimSun"/>
                <w:b w:val="0"/>
                <w:i w:val="0"/>
                <w:color w:val="000000"/>
                <w:sz w:val="17"/>
              </w:rPr>
              <w:t>Q2-Q4全部数值失效</w:t>
            </w:r>
          </w:p>
        </w:tc>
        <w:tc>
          <w:tcPr>
            <w:tcW w:type="dxa" w:w="2608"/>
            <w:vAlign w:val="center"/>
            <w:tcMar>
              <w:top w:w="80" w:type="dxa"/>
              <w:start w:w="110" w:type="dxa"/>
              <w:bottom w:w="80" w:type="dxa"/>
              <w:end w:w="110" w:type="dxa"/>
            </w:tcMar>
          </w:tcPr>
          <w:p>
            <w:pPr>
              <w:spacing w:after="0" w:line="252" w:lineRule="auto"/>
              <w:ind w:firstLine="0"/>
              <w:jc w:val="left"/>
            </w:pPr>
            <w:r/>
            <w:r>
              <w:rPr>
                <w:rFonts w:ascii="Times New Roman" w:hAnsi="Times New Roman" w:eastAsia="SimSun"/>
                <w:b w:val="0"/>
                <w:i w:val="0"/>
                <w:color w:val="000000"/>
                <w:sz w:val="17"/>
              </w:rPr>
              <w:t>按新边界物理重新定义连接图</w:t>
            </w:r>
          </w:p>
        </w:tc>
      </w:tr>
      <w:tr>
        <w:tc>
          <w:tcPr>
            <w:tcW w:type="dxa" w:w="1701"/>
            <w:vAlign w:val="center"/>
            <w:tcMar>
              <w:top w:w="80" w:type="dxa"/>
              <w:start w:w="110" w:type="dxa"/>
              <w:bottom w:w="80" w:type="dxa"/>
              <w:end w:w="110" w:type="dxa"/>
            </w:tcMar>
          </w:tcPr>
          <w:p>
            <w:pPr>
              <w:spacing w:after="0" w:line="252" w:lineRule="auto"/>
              <w:ind w:firstLine="0"/>
              <w:jc w:val="center"/>
            </w:pPr>
            <w:r/>
            <w:r>
              <w:rPr>
                <w:rFonts w:ascii="Times New Roman" w:hAnsi="Times New Roman" w:eastAsia="SimSun"/>
                <w:b w:val="0"/>
                <w:i w:val="0"/>
                <w:color w:val="000000"/>
                <w:sz w:val="17"/>
              </w:rPr>
              <w:t>要求A、B均出现</w:t>
            </w:r>
          </w:p>
        </w:tc>
        <w:tc>
          <w:tcPr>
            <w:tcW w:type="dxa" w:w="2268"/>
            <w:vAlign w:val="center"/>
            <w:tcMar>
              <w:top w:w="80" w:type="dxa"/>
              <w:start w:w="110" w:type="dxa"/>
              <w:bottom w:w="80" w:type="dxa"/>
              <w:end w:w="110" w:type="dxa"/>
            </w:tcMar>
          </w:tcPr>
          <w:p>
            <w:pPr>
              <w:spacing w:after="0" w:line="252" w:lineRule="auto"/>
              <w:ind w:firstLine="0"/>
              <w:jc w:val="left"/>
            </w:pPr>
            <w:r/>
            <w:r>
              <w:rPr>
                <w:rFonts w:ascii="Times New Roman" w:hAnsi="Times New Roman" w:eastAsia="SimSun"/>
                <w:b w:val="0"/>
                <w:i w:val="0"/>
                <w:color w:val="000000"/>
                <w:sz w:val="17"/>
              </w:rPr>
              <w:t>可行域删去坐标轴</w:t>
            </w:r>
          </w:p>
        </w:tc>
        <w:tc>
          <w:tcPr>
            <w:tcW w:type="dxa" w:w="2608"/>
            <w:vAlign w:val="center"/>
            <w:tcMar>
              <w:top w:w="80" w:type="dxa"/>
              <w:start w:w="110" w:type="dxa"/>
              <w:bottom w:w="80" w:type="dxa"/>
              <w:end w:w="110" w:type="dxa"/>
            </w:tcMar>
          </w:tcPr>
          <w:p>
            <w:pPr>
              <w:spacing w:after="0" w:line="252" w:lineRule="auto"/>
              <w:ind w:firstLine="0"/>
              <w:jc w:val="left"/>
            </w:pPr>
            <w:r/>
            <w:r>
              <w:rPr>
                <w:rFonts w:ascii="Times New Roman" w:hAnsi="Times New Roman" w:eastAsia="SimSun"/>
                <w:b w:val="0"/>
                <w:i w:val="0"/>
                <w:color w:val="000000"/>
                <w:sz w:val="17"/>
              </w:rPr>
              <w:t>Q4主答案变为1A+50B</w:t>
            </w:r>
          </w:p>
        </w:tc>
        <w:tc>
          <w:tcPr>
            <w:tcW w:type="dxa" w:w="2608"/>
            <w:vAlign w:val="center"/>
            <w:tcMar>
              <w:top w:w="80" w:type="dxa"/>
              <w:start w:w="110" w:type="dxa"/>
              <w:bottom w:w="80" w:type="dxa"/>
              <w:end w:w="110" w:type="dxa"/>
            </w:tcMar>
          </w:tcPr>
          <w:p>
            <w:pPr>
              <w:spacing w:after="0" w:line="252" w:lineRule="auto"/>
              <w:ind w:firstLine="0"/>
              <w:jc w:val="left"/>
            </w:pPr>
            <w:r/>
            <w:r>
              <w:rPr>
                <w:rFonts w:ascii="Times New Roman" w:hAnsi="Times New Roman" w:eastAsia="SimSun"/>
                <w:b w:val="0"/>
                <w:i w:val="0"/>
                <w:color w:val="000000"/>
                <w:sz w:val="17"/>
              </w:rPr>
              <w:t>论文同时报告两种口径</w:t>
            </w:r>
          </w:p>
        </w:tc>
      </w:tr>
    </w:tbl>
    <w:p>
      <w:pPr>
        <w:spacing w:after="20"/>
        <w:ind w:firstLine="0"/>
      </w:pPr>
    </w:p>
    <w:p>
      <w:pPr>
        <w:pStyle w:val="Heading2"/>
      </w:pPr>
      <w:r>
        <w:rPr>
          <w:rFonts w:ascii="Times New Roman" w:hAnsi="Times New Roman" w:eastAsia="SimHei"/>
          <w:b/>
          <w:i w:val="0"/>
          <w:color w:val="000000"/>
          <w:sz w:val="26"/>
        </w:rPr>
        <w:t>8.5  取向分布极端情景</w:t>
      </w:r>
    </w:p>
    <w:p>
      <w:pPr>
        <w:keepNext w:val="0"/>
        <w:spacing w:after="60" w:line="293" w:lineRule="auto"/>
        <w:ind w:firstLine="420"/>
        <w:jc w:val="both"/>
      </w:pPr>
      <w:r>
        <w:rPr>
          <w:rFonts w:ascii="Times New Roman" w:hAnsi="Times New Roman" w:eastAsia="SimSun"/>
          <w:b w:val="0"/>
          <w:i w:val="0"/>
          <w:color w:val="000000"/>
          <w:sz w:val="23"/>
        </w:rPr>
        <w:t>各向同性不是题面给定事实，而是把“任意方向”转化为概率的补充模型。若所有A都与x轴平行，则单根直接贯通概率q_A=H/L=0.500；若所有轴都限制在yz平面，则仅端面圆盘在x方向提供支撑，q_A=2r_A/L=0.006。二者相差两个数量级，说明取向分布会直接改变Q2的风险数量级以及Q3、Q4的整数阈值。故0.25471239应理解为各向同性方向平均，而非所有取向都成立的材料常数。</w:t>
      </w:r>
    </w:p>
    <w:p>
      <w:pPr>
        <w:pStyle w:val="Heading1"/>
      </w:pPr>
      <w:r>
        <w:rPr>
          <w:rFonts w:ascii="Times New Roman" w:hAnsi="Times New Roman" w:eastAsia="SimHei"/>
          <w:b/>
          <w:i w:val="0"/>
          <w:color w:val="000000"/>
          <w:sz w:val="30"/>
        </w:rPr>
        <w:t>9  模型评价与改进</w:t>
      </w:r>
    </w:p>
    <w:p>
      <w:pPr>
        <w:pStyle w:val="Heading2"/>
      </w:pPr>
      <w:r>
        <w:rPr>
          <w:rFonts w:ascii="Times New Roman" w:hAnsi="Times New Roman" w:eastAsia="SimHei"/>
          <w:b/>
          <w:i w:val="0"/>
          <w:color w:val="000000"/>
          <w:sz w:val="26"/>
        </w:rPr>
        <w:t>9.1  模型优点</w:t>
      </w:r>
    </w:p>
    <w:p>
      <w:pPr>
        <w:keepNext w:val="0"/>
        <w:spacing w:after="60" w:line="293" w:lineRule="auto"/>
        <w:ind w:firstLine="420"/>
        <w:jc w:val="both"/>
      </w:pPr>
      <w:r>
        <w:rPr>
          <w:rFonts w:ascii="Times New Roman" w:hAnsi="Times New Roman" w:eastAsia="SimSun"/>
          <w:b w:val="0"/>
          <w:i w:val="0"/>
          <w:color w:val="000000"/>
          <w:sz w:val="23"/>
        </w:rPr>
        <w:t>第一，Q1采用路径证书而非只给程序布尔值，负例和正例分别由超集反证与侧面充分证书支撑。第二，Q2-Q4明确区分精确直接贯通概率、总导通下界和总导通上界，避免把蒙特卡洛频率或下界误当作真实概率。第三，Q4对候选成本以下的有限整数域完整枚举，最优性证据可逐点复算。第四，所有关键数值集中写入结构化结果文件并由测试检查，论文图表直接从附件和结果文件生成。</w:t>
      </w:r>
    </w:p>
    <w:p>
      <w:pPr>
        <w:pStyle w:val="Heading2"/>
      </w:pPr>
      <w:r>
        <w:rPr>
          <w:rFonts w:ascii="Times New Roman" w:hAnsi="Times New Roman" w:eastAsia="SimHei"/>
          <w:b/>
          <w:i w:val="0"/>
          <w:color w:val="000000"/>
          <w:sz w:val="26"/>
        </w:rPr>
        <w:t>9.2  模型局限</w:t>
      </w:r>
    </w:p>
    <w:p>
      <w:pPr>
        <w:keepNext w:val="0"/>
        <w:spacing w:after="60" w:line="293" w:lineRule="auto"/>
        <w:ind w:firstLine="420"/>
        <w:jc w:val="both"/>
      </w:pPr>
      <w:r>
        <w:rPr>
          <w:rFonts w:ascii="Times New Roman" w:hAnsi="Times New Roman" w:eastAsia="SimSun"/>
          <w:b w:val="0"/>
          <w:i w:val="0"/>
          <w:color w:val="000000"/>
          <w:sz w:val="23"/>
        </w:rPr>
        <w:t>随机模型的主要局限是题面未唯一指定概率测度，独立均匀、各向同性以及周期片段保持母体电学身份均需作为条件列明；允许重叠则来自题面。非直接通路联合上界只适合做不足性证明，不能精确刻画粒子间簇连通。Q1的路径核验只服务于所给附件结论，不代表候选图中的所有端部边都已完成通用平端圆柱实体距离分类。</w:t>
      </w:r>
    </w:p>
    <w:p>
      <w:pPr>
        <w:pStyle w:val="Heading2"/>
      </w:pPr>
      <w:r>
        <w:rPr>
          <w:rFonts w:ascii="Times New Roman" w:hAnsi="Times New Roman" w:eastAsia="SimHei"/>
          <w:b/>
          <w:i w:val="0"/>
          <w:color w:val="000000"/>
          <w:sz w:val="26"/>
        </w:rPr>
        <w:t>9.3  后续改进</w:t>
      </w:r>
    </w:p>
    <w:p>
      <w:pPr>
        <w:keepNext w:val="0"/>
        <w:spacing w:after="60" w:line="293" w:lineRule="auto"/>
        <w:ind w:firstLine="420"/>
        <w:jc w:val="both"/>
      </w:pPr>
      <w:r>
        <w:rPr>
          <w:rFonts w:ascii="Times New Roman" w:hAnsi="Times New Roman" w:eastAsia="SimSun"/>
          <w:b w:val="0"/>
          <w:i w:val="0"/>
          <w:color w:val="000000"/>
          <w:sz w:val="23"/>
        </w:rPr>
        <w:t>后续可在三方面扩展：其一，实现平端圆柱—圆柱、圆柱—球的完整最近距离求解器，替代胶囊候选超图；其二，引入不可重叠随机序列吸附、取向偏置或团聚点过程，并用方差缩减蒙特卡洛估计真实导通概率；其三，在解析界与模拟之间建立校准区间，使模型既能证明阈值，又能给出阈值以外更精细的工程概率估计。</w:t>
      </w:r>
    </w:p>
    <w:p>
      <w:pPr>
        <w:pStyle w:val="Heading1"/>
      </w:pPr>
      <w:r>
        <w:rPr>
          <w:rFonts w:ascii="Times New Roman" w:hAnsi="Times New Roman" w:eastAsia="SimHei"/>
          <w:b/>
          <w:i w:val="0"/>
          <w:color w:val="000000"/>
          <w:sz w:val="30"/>
        </w:rPr>
        <w:t>10  结论</w:t>
      </w:r>
    </w:p>
    <w:p>
      <w:pPr>
        <w:keepNext w:val="0"/>
        <w:spacing w:after="60" w:line="293" w:lineRule="auto"/>
        <w:ind w:firstLine="0"/>
        <w:jc w:val="both"/>
      </w:pPr>
      <w:r>
        <w:rPr>
          <w:rFonts w:ascii="Times New Roman" w:hAnsi="Times New Roman" w:eastAsia="SimSun"/>
          <w:b w:val="0"/>
          <w:i w:val="0"/>
          <w:color w:val="000000"/>
          <w:sz w:val="23"/>
        </w:rPr>
        <w:t>(1) 附件组1不导通，组2和组3导通；组2显式路径为左面-2-12-24-39-右面，组3为左面-63-264-216-351-右面。所有正例介质间边均具有轴段内部最短点证书。</w:t>
      </w:r>
    </w:p>
    <w:p>
      <w:pPr>
        <w:keepNext w:val="0"/>
        <w:spacing w:after="60" w:line="293" w:lineRule="auto"/>
        <w:ind w:firstLine="0"/>
        <w:jc w:val="both"/>
      </w:pPr>
      <w:r>
        <w:rPr>
          <w:rFonts w:ascii="Times New Roman" w:hAnsi="Times New Roman" w:eastAsia="SimSun"/>
          <w:b w:val="0"/>
          <w:i w:val="0"/>
          <w:color w:val="000000"/>
          <w:sz w:val="23"/>
        </w:rPr>
        <w:t>(2) 在独立均匀中心、独立各向同性取向及周期片段保持母体电学身份的条件下，A体积分数0.50%、0.60%、0.70%和1.00%对应354、424、495和707根A；总不导通概率分别不超过10^-45.20、10^-54.13、10^-63.20和10^-90.27量级。</w:t>
      </w:r>
    </w:p>
    <w:p>
      <w:pPr>
        <w:keepNext w:val="0"/>
        <w:spacing w:after="60" w:line="293" w:lineRule="auto"/>
        <w:ind w:firstLine="0"/>
        <w:jc w:val="both"/>
      </w:pPr>
      <w:r>
        <w:rPr>
          <w:rFonts w:ascii="Times New Roman" w:hAnsi="Times New Roman" w:eastAsia="SimSun"/>
          <w:b w:val="0"/>
          <w:i w:val="0"/>
          <w:color w:val="000000"/>
          <w:sz w:val="23"/>
        </w:rPr>
        <w:t>(3) 在同一概率模型条件下，仅填充A时，7根的总导通上界0.872279低于90%，8根的直接贯通下界0.904810高于90%，故最小数量为8根；体积分数为0.01131%，按百分号后两位报告为0.01%。</w:t>
      </w:r>
    </w:p>
    <w:p>
      <w:pPr>
        <w:keepNext w:val="0"/>
        <w:spacing w:after="60" w:line="293" w:lineRule="auto"/>
        <w:ind w:firstLine="0"/>
        <w:jc w:val="both"/>
      </w:pPr>
      <w:r>
        <w:rPr>
          <w:rFonts w:ascii="Times New Roman" w:hAnsi="Times New Roman" w:eastAsia="SimSun"/>
          <w:b w:val="0"/>
          <w:i w:val="0"/>
          <w:color w:val="000000"/>
          <w:sz w:val="23"/>
        </w:rPr>
        <w:t>(4) 按“同时填充”要求A、B均出现时，主答案为1A+50B，成本0.09862元；若放宽为非负整数域，边界解为0A+57B，成本0.09550元。两者都受上述概率模型条件限制。</w:t>
      </w:r>
    </w:p>
    <w:p>
      <w:pPr>
        <w:pStyle w:val="Heading1"/>
      </w:pPr>
      <w:r>
        <w:rPr>
          <w:rFonts w:ascii="Times New Roman" w:hAnsi="Times New Roman" w:eastAsia="SimHei"/>
          <w:b/>
          <w:i w:val="0"/>
          <w:color w:val="000000"/>
          <w:sz w:val="30"/>
        </w:rPr>
        <w:t>参考文献</w:t>
      </w:r>
    </w:p>
    <w:p>
      <w:pPr>
        <w:keepNext w:val="0"/>
        <w:spacing w:after="40" w:line="293" w:lineRule="auto"/>
        <w:ind w:firstLine="0"/>
        <w:jc w:val="both"/>
      </w:pPr>
      <w:r>
        <w:rPr>
          <w:rFonts w:ascii="Times New Roman" w:hAnsi="Times New Roman" w:eastAsia="SimSun"/>
          <w:b w:val="0"/>
          <w:i w:val="0"/>
          <w:color w:val="000000"/>
          <w:sz w:val="21"/>
        </w:rPr>
        <w:t>[1] 华数杯大学生数学建模竞赛组委会，2026年第七届华数杯大学生数学建模竞赛A题：微构体中填充导电介质的仿真优化，2026。</w:t>
      </w:r>
    </w:p>
    <w:p>
      <w:pPr>
        <w:keepNext w:val="0"/>
        <w:spacing w:after="40" w:line="293" w:lineRule="auto"/>
        <w:ind w:firstLine="0"/>
        <w:jc w:val="both"/>
      </w:pPr>
      <w:r>
        <w:rPr>
          <w:rFonts w:ascii="Times New Roman" w:hAnsi="Times New Roman" w:eastAsia="SimSun"/>
          <w:b w:val="0"/>
          <w:i w:val="0"/>
          <w:color w:val="000000"/>
          <w:sz w:val="21"/>
        </w:rPr>
        <w:t>[2] 华数杯大学生数学建模竞赛组委会，2026年华数杯数学建模竞赛论文格式规范与提交说明，https://m.saikr.com/chinamcm26，访问日期：2026-08-13。</w:t>
      </w:r>
    </w:p>
    <w:p>
      <w:pPr>
        <w:keepNext w:val="0"/>
        <w:spacing w:after="40" w:line="293" w:lineRule="auto"/>
        <w:ind w:firstLine="0"/>
        <w:jc w:val="both"/>
      </w:pPr>
      <w:r>
        <w:rPr>
          <w:rFonts w:ascii="Times New Roman" w:hAnsi="Times New Roman" w:eastAsia="SimSun"/>
          <w:b w:val="0"/>
          <w:i w:val="0"/>
          <w:color w:val="000000"/>
          <w:sz w:val="21"/>
        </w:rPr>
        <w:t>[3] Feller W. An Introduction to Probability Theory and Its Applications, Vol. 1. New York: Wiley, 1968.</w:t>
      </w:r>
    </w:p>
    <w:p>
      <w:pPr>
        <w:keepNext w:val="0"/>
        <w:spacing w:after="40" w:line="293" w:lineRule="auto"/>
        <w:ind w:firstLine="0"/>
        <w:jc w:val="both"/>
      </w:pPr>
      <w:r>
        <w:rPr>
          <w:rFonts w:ascii="Times New Roman" w:hAnsi="Times New Roman" w:eastAsia="SimSun"/>
          <w:b w:val="0"/>
          <w:i w:val="0"/>
          <w:color w:val="000000"/>
          <w:sz w:val="21"/>
        </w:rPr>
        <w:t>[4] Ericson C. Real-Time Collision Detection. Boca Raton: CRC Press, 2005.</w:t>
      </w:r>
    </w:p>
    <w:p>
      <w:pPr>
        <w:keepNext w:val="0"/>
        <w:spacing w:after="40" w:line="293" w:lineRule="auto"/>
        <w:ind w:firstLine="0"/>
        <w:jc w:val="both"/>
      </w:pPr>
      <w:r>
        <w:rPr>
          <w:rFonts w:ascii="Times New Roman" w:hAnsi="Times New Roman" w:eastAsia="SimSun"/>
          <w:b w:val="0"/>
          <w:i w:val="0"/>
          <w:color w:val="000000"/>
          <w:sz w:val="21"/>
        </w:rPr>
        <w:t>[5] Meester R, Roy R. Continuum Percolation. Cambridge: Cambridge University Press, 1996.</w:t>
      </w:r>
    </w:p>
    <w:p>
      <w:pPr>
        <w:keepNext w:val="0"/>
        <w:spacing w:after="40" w:line="293" w:lineRule="auto"/>
        <w:ind w:firstLine="0"/>
        <w:jc w:val="both"/>
      </w:pPr>
      <w:r>
        <w:rPr>
          <w:rFonts w:ascii="Times New Roman" w:hAnsi="Times New Roman" w:eastAsia="SimSun"/>
          <w:b w:val="0"/>
          <w:i w:val="0"/>
          <w:color w:val="000000"/>
          <w:sz w:val="21"/>
        </w:rPr>
        <w:t>[6] Balberg I, Anderson C H, Alexander S, et al. Excluded volume and its relation to the onset of percolation. Physical Review B, 1984, 30(7): 3933. DOI: 10.1103/PhysRevB.30.3933.</w:t>
      </w:r>
    </w:p>
    <w:p>
      <w:pPr>
        <w:keepNext w:val="0"/>
        <w:spacing w:after="40" w:line="293" w:lineRule="auto"/>
        <w:ind w:firstLine="0"/>
        <w:jc w:val="both"/>
      </w:pPr>
      <w:r>
        <w:rPr>
          <w:rFonts w:ascii="Times New Roman" w:hAnsi="Times New Roman" w:eastAsia="SimSun"/>
          <w:b w:val="0"/>
          <w:i w:val="0"/>
          <w:color w:val="000000"/>
          <w:sz w:val="21"/>
        </w:rPr>
        <w:t>[7] Foygel M, Morris R D, Anez D, et al. Theoretical and computational studies of carbon nanotube composites and suspensions: Electrical and thermal conductivity. Physical Review B, 2005, 71: 104201. DOI: 10.1103/PhysRevB.71.104201.</w:t>
      </w:r>
    </w:p>
    <w:p>
      <w:pPr>
        <w:keepNext w:val="0"/>
        <w:spacing w:after="40" w:line="293" w:lineRule="auto"/>
        <w:ind w:firstLine="0"/>
        <w:jc w:val="both"/>
      </w:pPr>
      <w:r>
        <w:rPr>
          <w:rFonts w:ascii="Times New Roman" w:hAnsi="Times New Roman" w:eastAsia="SimSun"/>
          <w:b w:val="0"/>
          <w:i w:val="0"/>
          <w:color w:val="000000"/>
          <w:sz w:val="21"/>
        </w:rPr>
        <w:t>[8] Otten R H J, van der Schoot P. Connectivity percolation of polydisperse anisotropic nanofillers. Journal of Chemical Physics, 2011, 134: 094902. DOI: 10.1063/1.3559004.</w:t>
      </w:r>
    </w:p>
    <w:p>
      <w:r>
        <w:br w:type="page"/>
      </w:r>
    </w:p>
    <w:p>
      <w:pPr>
        <w:pStyle w:val="Heading1"/>
      </w:pPr>
      <w:r>
        <w:rPr>
          <w:rFonts w:ascii="Times New Roman" w:hAnsi="Times New Roman" w:eastAsia="SimHei"/>
          <w:b/>
          <w:i w:val="0"/>
          <w:color w:val="000000"/>
          <w:sz w:val="30"/>
        </w:rPr>
        <w:t>附录A  复现环境与命令</w:t>
      </w:r>
    </w:p>
    <w:p>
      <w:pPr>
        <w:keepNext w:val="0"/>
        <w:spacing w:after="60" w:line="293" w:lineRule="auto"/>
        <w:ind w:firstLine="0"/>
        <w:jc w:val="both"/>
      </w:pPr>
      <w:r>
        <w:rPr>
          <w:rFonts w:ascii="Times New Roman" w:hAnsi="Times New Roman" w:eastAsia="SimSun"/>
          <w:b w:val="0"/>
          <w:i w:val="0"/>
          <w:color w:val="000000"/>
          <w:sz w:val="23"/>
        </w:rPr>
        <w:t>软件环境：Python 3.13；numpy 2.2.6；pandas 3.0.3；openpyxl 3.1.5；scipy 1.16.3；pytest 9.1.0。图表和文档生成使用工作区绑定运行时。</w:t>
      </w:r>
    </w:p>
    <w:p>
      <w:pPr>
        <w:spacing w:after="0" w:line="240" w:lineRule="auto"/>
        <w:ind w:firstLine="0"/>
      </w:pPr>
      <w:r>
        <w:rPr>
          <w:rFonts w:ascii="Consolas" w:hAnsi="Consolas" w:eastAsia="Microsoft YaHei"/>
          <w:b w:val="0"/>
          <w:i w:val="0"/>
          <w:color w:val="000000"/>
          <w:sz w:val="14"/>
        </w:rPr>
        <w:t>cd mathmodel/runs/huashubei-2026-final-001</w:t>
      </w:r>
    </w:p>
    <w:p>
      <w:pPr>
        <w:spacing w:after="0" w:line="240" w:lineRule="auto"/>
        <w:ind w:firstLine="0"/>
      </w:pPr>
      <w:r>
        <w:rPr>
          <w:rFonts w:ascii="Consolas" w:hAnsi="Consolas" w:eastAsia="Microsoft YaHei"/>
          <w:b w:val="0"/>
          <w:i w:val="0"/>
          <w:color w:val="000000"/>
          <w:sz w:val="14"/>
        </w:rPr>
        <w:t>python -m pip install -r requirements.txt</w:t>
      </w:r>
    </w:p>
    <w:p>
      <w:pPr>
        <w:spacing w:after="0" w:line="240" w:lineRule="auto"/>
        <w:ind w:firstLine="0"/>
      </w:pPr>
      <w:r>
        <w:rPr>
          <w:rFonts w:ascii="Consolas" w:hAnsi="Consolas" w:eastAsia="Microsoft YaHei"/>
          <w:b w:val="0"/>
          <w:i w:val="0"/>
          <w:color w:val="000000"/>
          <w:sz w:val="14"/>
        </w:rPr>
        <w:t>python src/a/build_corrected_results.py</w:t>
      </w:r>
    </w:p>
    <w:p>
      <w:pPr>
        <w:spacing w:after="0" w:line="240" w:lineRule="auto"/>
        <w:ind w:firstLine="0"/>
      </w:pPr>
      <w:r>
        <w:rPr>
          <w:rFonts w:ascii="Consolas" w:hAnsi="Consolas" w:eastAsia="Microsoft YaHei"/>
          <w:b w:val="0"/>
          <w:i w:val="0"/>
          <w:color w:val="000000"/>
          <w:sz w:val="14"/>
        </w:rPr>
        <w:t>python src/a/build_final_artifacts.py</w:t>
      </w:r>
    </w:p>
    <w:p>
      <w:pPr>
        <w:spacing w:after="0" w:line="240" w:lineRule="auto"/>
        <w:ind w:firstLine="0"/>
      </w:pPr>
      <w:r>
        <w:rPr>
          <w:rFonts w:ascii="Consolas" w:hAnsi="Consolas" w:eastAsia="Microsoft YaHei"/>
          <w:b w:val="0"/>
          <w:i w:val="0"/>
          <w:color w:val="000000"/>
          <w:sz w:val="14"/>
        </w:rPr>
        <w:t>python -m pytest tests -q</w:t>
      </w:r>
    </w:p>
    <w:p>
      <w:pPr>
        <w:keepNext w:val="0"/>
        <w:spacing w:after="60" w:line="293" w:lineRule="auto"/>
        <w:ind w:firstLine="0"/>
        <w:jc w:val="both"/>
      </w:pPr>
      <w:r>
        <w:rPr>
          <w:rFonts w:ascii="Times New Roman" w:hAnsi="Times New Roman" w:eastAsia="SimSun"/>
          <w:b w:val="0"/>
          <w:i w:val="0"/>
          <w:color w:val="000000"/>
          <w:sz w:val="23"/>
        </w:rPr>
        <w:t>当前仓库完整测试共46项通过，项目证据登记表与论文正文哈希可由随附脚本重建和复核。</w:t>
      </w:r>
    </w:p>
    <w:p>
      <w:pPr>
        <w:pStyle w:val="Heading1"/>
      </w:pPr>
      <w:r>
        <w:rPr>
          <w:rFonts w:ascii="Times New Roman" w:hAnsi="Times New Roman" w:eastAsia="SimHei"/>
          <w:b/>
          <w:i w:val="0"/>
          <w:color w:val="000000"/>
          <w:sz w:val="30"/>
        </w:rPr>
        <w:t>附录B  证据文件索引</w:t>
      </w:r>
    </w:p>
    <w:p>
      <w:pPr>
        <w:keepNext w:val="0"/>
        <w:spacing w:after="60" w:line="293" w:lineRule="auto"/>
        <w:ind w:firstLine="0"/>
        <w:jc w:val="both"/>
      </w:pPr>
      <w:r>
        <w:rPr>
          <w:rFonts w:ascii="Times New Roman" w:hAnsi="Times New Roman" w:eastAsia="SimSun"/>
          <w:b w:val="0"/>
          <w:i w:val="0"/>
          <w:color w:val="000000"/>
          <w:sz w:val="23"/>
        </w:rPr>
        <w:t>机器可读结果位于outputs/data/final_results.json；核心算法位于src/a/analytic_bounds.py、src/a/geometry.py和src/a/build_corrected_results.py；全部候选图与入选理由位于outputs/figure_candidates和evidence/research_figure_upgrade.md。为控制论文篇幅，完整源代码不再嵌入正文，而随附件包一并提交。</w:t>
      </w:r>
    </w:p>
    <w:sectPr w:rsidR="00FC693F" w:rsidRPr="0006063C" w:rsidSect="00034616">
      <w:footerReference w:type="default" r:id="rId9"/>
      <w:pgSz w:w="11906" w:h="16838"/>
      <w:pgMar w:top="1332" w:right="1332" w:bottom="1276" w:left="1389" w:header="680"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SimSun"/>
        <w:b w:val="0"/>
        <w:i w:val="0"/>
        <w:color w:val="000000"/>
        <w:sz w:val="20"/>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93" w:lineRule="auto"/>
      <w:ind w:firstLine="420"/>
      <w:jc w:val="both"/>
    </w:pPr>
    <w:rPr>
      <w:rFonts w:ascii="Times New Roman" w:hAnsi="Times New Roman" w:eastAsia="SimSu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ind w:firstLine="0"/>
      <w:outlineLvl w:val="0"/>
    </w:pPr>
    <w:rPr>
      <w:rFonts w:asciiTheme="majorHAnsi" w:eastAsiaTheme="majorEastAsia" w:hAnsiTheme="majorHAnsi" w:cstheme="majorBidi" w:ascii="Times New Roman" w:hAnsi="Times New Roman" w:eastAsia="Sim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80"/>
      <w:ind w:firstLine="0"/>
      <w:outlineLvl w:val="1"/>
    </w:pPr>
    <w:rPr>
      <w:rFonts w:asciiTheme="majorHAnsi" w:eastAsiaTheme="majorEastAsia" w:hAnsiTheme="majorHAnsi" w:cstheme="majorBidi" w:ascii="Times New Roman" w:hAnsi="Times New Roman" w:eastAsia="Sim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00" w:after="60"/>
      <w:ind w:firstLine="0"/>
      <w:outlineLvl w:val="2"/>
    </w:pPr>
    <w:rPr>
      <w:rFonts w:asciiTheme="majorHAnsi" w:eastAsiaTheme="majorEastAsia" w:hAnsiTheme="majorHAnsi" w:cstheme="majorBidi" w:ascii="Times New Roman" w:hAnsi="Times New Roman" w:eastAsia="Sim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val="0"/>
      <w:spacing w:before="40" w:after="100"/>
      <w:ind w:firstLine="0"/>
      <w:jc w:val="center"/>
    </w:pPr>
    <w:rPr>
      <w:rFonts w:ascii="Times New Roman" w:hAnsi="Times New Roman" w:eastAsia="SimSu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周期边界下导电介质填充的连通概率界与整数成本优化</dc:title>
  <dc:subject>2026华数杯A题赛后研究与复盘稿</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