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91756D" w14:textId="4F0831E5" w:rsidR="00816D21" w:rsidRDefault="00816D21" w:rsidP="007E1630">
      <w:r>
        <w:t>Title: Multivariate Direct Filter Analysis</w:t>
      </w:r>
    </w:p>
    <w:p w14:paraId="270B1B9A" w14:textId="5B8E484E" w:rsidR="00816D21" w:rsidRDefault="00816D21" w:rsidP="007E1630">
      <w:r>
        <w:t xml:space="preserve">Subtitle: About Predition </w:t>
      </w:r>
      <w:r w:rsidR="00587FDB">
        <w:t>P</w:t>
      </w:r>
      <w:r>
        <w:t xml:space="preserve">roblems and </w:t>
      </w:r>
      <w:r w:rsidR="00587FDB">
        <w:t>R</w:t>
      </w:r>
      <w:r>
        <w:t xml:space="preserve">esearch </w:t>
      </w:r>
      <w:r w:rsidR="00587FDB">
        <w:t>P</w:t>
      </w:r>
      <w:r>
        <w:t>riorities in Forecasting</w:t>
      </w:r>
    </w:p>
    <w:p w14:paraId="474D592B" w14:textId="77777777" w:rsidR="00816D21" w:rsidRDefault="00816D21" w:rsidP="007E1630"/>
    <w:p w14:paraId="20257DD5" w14:textId="0754352F" w:rsidR="00237B11" w:rsidRPr="00AC1484" w:rsidRDefault="00AC1484" w:rsidP="00AC1484">
      <w:pPr>
        <w:pStyle w:val="ListParagraph"/>
        <w:numPr>
          <w:ilvl w:val="0"/>
          <w:numId w:val="4"/>
        </w:numPr>
        <w:rPr>
          <w:b/>
          <w:bCs/>
          <w:sz w:val="32"/>
          <w:szCs w:val="32"/>
        </w:rPr>
      </w:pPr>
      <w:r w:rsidRPr="00AC1484">
        <w:rPr>
          <w:b/>
          <w:bCs/>
          <w:sz w:val="32"/>
          <w:szCs w:val="32"/>
        </w:rPr>
        <w:t>Blurb</w:t>
      </w:r>
    </w:p>
    <w:p w14:paraId="4A974B50" w14:textId="38B80561" w:rsidR="00237B11" w:rsidRDefault="00237B11" w:rsidP="007E1630">
      <w:r w:rsidRPr="00237B11">
        <w:t>This book examines forecasting within the framework of multivariate time series. It introduces a novel methodology—Multivariate Direct Filter Analysis (MDFA)—that emphasizes the structur</w:t>
      </w:r>
      <w:r w:rsidR="00AC1484">
        <w:t>e</w:t>
      </w:r>
      <w:r w:rsidRPr="00237B11">
        <w:t xml:space="preserve"> of prediction problems and the importance of aligning forecasting methods with the forecaster’s research priorities. </w:t>
      </w:r>
    </w:p>
    <w:p w14:paraId="5B0B11A0" w14:textId="77777777" w:rsidR="00237B11" w:rsidRDefault="00237B11" w:rsidP="007E1630"/>
    <w:p w14:paraId="28AE56BD" w14:textId="54134E9D" w:rsidR="00AC1484" w:rsidRDefault="00AC1484" w:rsidP="007E1630">
      <w:r w:rsidRPr="00AC1484">
        <w:t>Prediction tasks may take several forms. One may seek to forecast the next observation (one-step-ahead), predict values further into the future (multi-step-ahead), or estimate weighted combinations of future observations. The latter arises naturally in applications such as signal extraction, trend estimation, and seasonal adjustment. Because these objectives differ in structure, no single fixed criterion can adequately address them all.</w:t>
      </w:r>
    </w:p>
    <w:p w14:paraId="101B241C" w14:textId="77777777" w:rsidR="00AC1484" w:rsidRDefault="00AC1484" w:rsidP="007E1630"/>
    <w:p w14:paraId="7FA84A43" w14:textId="70665E90" w:rsidR="00AC1484" w:rsidRDefault="00AC1484" w:rsidP="007E1630">
      <w:r w:rsidRPr="00AC1484">
        <w:t>Forecasting also involves several partly competing goals: accuracy in predicting future levels, timeliness in avoiding delays or excessive anticipation, and smoothness in suppressing spurious noise. These goals form what we term the ATS trilemma: improvements in any one of the three components—Accuracy, Timeliness, and Smoothness—inevitably come at the expense of at least one of the others.</w:t>
      </w:r>
    </w:p>
    <w:p w14:paraId="7E4D7D55" w14:textId="77777777" w:rsidR="0090643E" w:rsidRDefault="0090643E" w:rsidP="007E1630"/>
    <w:p w14:paraId="48AC1D10" w14:textId="219BF4AF" w:rsidR="00AF4446" w:rsidRDefault="00AC1484" w:rsidP="007E1630">
      <w:r w:rsidRPr="00AC1484">
        <w:t>MDFA integrates these dimensions within a unified optimization framework. The criterion is tailored to the structure of the prediction problem while explicitly incorporating the ATS trade-offs that characterize forecasting practice. The approach is highly general: many classical forecasting methods can be reproduced as special cases and subsequently refined to reflect specific ATS priorities.</w:t>
      </w:r>
      <w:r w:rsidR="0056300A">
        <w:t xml:space="preserve"> </w:t>
      </w:r>
      <w:r w:rsidR="006E74DB" w:rsidRPr="006E74DB">
        <w:t>It is also interpretable in the sense that the optimization criteria follow simple, fundamental principles, yielding closed-form and uniquely determined solutions.</w:t>
      </w:r>
    </w:p>
    <w:p w14:paraId="3965756E" w14:textId="77777777" w:rsidR="006E74DB" w:rsidRDefault="006E74DB" w:rsidP="007E1630"/>
    <w:p w14:paraId="0E9B9624" w14:textId="1ECFDFF9" w:rsidR="00237B11" w:rsidRDefault="00AC1484" w:rsidP="00EA2F2C">
      <w:r w:rsidRPr="00AC1484">
        <w:t>Although the book provides a rigorous mathematical treatment, it also emphasizes practical implementation. Extensive applications, based on both simulated and real-world data, are presented as exercises using an open-source MDFA R package. These examples illustrate the methodology and benchmark its performance against established approaches.</w:t>
      </w:r>
    </w:p>
    <w:p w14:paraId="61D2243F" w14:textId="77777777" w:rsidR="00237B11" w:rsidRDefault="00237B11" w:rsidP="00EA2F2C"/>
    <w:p w14:paraId="10F24130" w14:textId="5587DCFA" w:rsidR="00AC1484" w:rsidRDefault="00AC1484">
      <w:r>
        <w:br w:type="page"/>
      </w:r>
    </w:p>
    <w:p w14:paraId="4334ED52" w14:textId="77777777" w:rsidR="00AC1484" w:rsidRPr="00AC1484" w:rsidRDefault="00AC1484" w:rsidP="00AC1484">
      <w:pPr>
        <w:rPr>
          <w:b/>
          <w:bCs/>
          <w:sz w:val="32"/>
          <w:szCs w:val="32"/>
          <w:lang w:val="en-GB"/>
        </w:rPr>
      </w:pPr>
      <w:r w:rsidRPr="00AC1484">
        <w:rPr>
          <w:b/>
          <w:bCs/>
          <w:sz w:val="32"/>
          <w:szCs w:val="32"/>
          <w:lang w:val="en-GB"/>
        </w:rPr>
        <w:lastRenderedPageBreak/>
        <w:t>2. Rationale and Scope</w:t>
      </w:r>
    </w:p>
    <w:p w14:paraId="60812852" w14:textId="77777777" w:rsidR="00AC1484" w:rsidRPr="00AC1484" w:rsidRDefault="00AC1484" w:rsidP="00AC1484">
      <w:pPr>
        <w:rPr>
          <w:lang w:val="en-GB"/>
        </w:rPr>
      </w:pPr>
      <w:r w:rsidRPr="00AC1484">
        <w:rPr>
          <w:lang w:val="en-GB"/>
        </w:rPr>
        <w:t>To provide a deeper insight into your project, please talk around these points:</w:t>
      </w:r>
    </w:p>
    <w:p w14:paraId="55F4C135" w14:textId="77777777" w:rsidR="00AC1484" w:rsidRPr="00AC1484" w:rsidRDefault="00AC1484" w:rsidP="00AC1484">
      <w:pPr>
        <w:numPr>
          <w:ilvl w:val="0"/>
          <w:numId w:val="3"/>
        </w:numPr>
      </w:pPr>
      <w:r w:rsidRPr="00AC1484">
        <w:t>What is motivating you to write this book? Why is now the right time?</w:t>
      </w:r>
    </w:p>
    <w:p w14:paraId="29A4EBEA" w14:textId="77777777" w:rsidR="00AC1484" w:rsidRPr="00AC1484" w:rsidRDefault="00AC1484" w:rsidP="00AC1484">
      <w:pPr>
        <w:numPr>
          <w:ilvl w:val="0"/>
          <w:numId w:val="3"/>
        </w:numPr>
      </w:pPr>
      <w:r w:rsidRPr="00AC1484">
        <w:t>What are the essential prerequisites that you are assuming of readers? What will your book equip readers to do?</w:t>
      </w:r>
    </w:p>
    <w:p w14:paraId="36FB4BCC" w14:textId="77777777" w:rsidR="00AC1484" w:rsidRPr="00AC1484" w:rsidRDefault="00AC1484" w:rsidP="00AC1484">
      <w:pPr>
        <w:numPr>
          <w:ilvl w:val="0"/>
          <w:numId w:val="3"/>
        </w:numPr>
      </w:pPr>
      <w:r w:rsidRPr="00AC1484">
        <w:t>Why have you taken the approach you have? Why have you chosen to include/exclude the things you have?</w:t>
      </w:r>
    </w:p>
    <w:p w14:paraId="5835438D" w14:textId="63257506" w:rsidR="00237B11" w:rsidRPr="000E66D1" w:rsidRDefault="000E66D1" w:rsidP="00EA2F2C">
      <w:pPr>
        <w:rPr>
          <w:b/>
          <w:bCs/>
          <w:sz w:val="24"/>
          <w:szCs w:val="24"/>
        </w:rPr>
      </w:pPr>
      <w:r w:rsidRPr="000E66D1">
        <w:rPr>
          <w:b/>
          <w:bCs/>
          <w:sz w:val="24"/>
          <w:szCs w:val="24"/>
        </w:rPr>
        <w:t>Motivation</w:t>
      </w:r>
    </w:p>
    <w:p w14:paraId="2D63E604" w14:textId="77777777" w:rsidR="008117D2" w:rsidRDefault="008117D2" w:rsidP="00EA2F2C"/>
    <w:p w14:paraId="6FC3AB3F" w14:textId="687D63A0" w:rsidR="0056300A" w:rsidRDefault="0010699C" w:rsidP="00EA2F2C">
      <w:r>
        <w:t>These projects emphasize real-world aspects (such as facing effective forecast uncertainty when predicting health-care costs or GDP multiple quarters ahead)</w:t>
      </w:r>
      <w:r w:rsidR="0056300A">
        <w:t xml:space="preserve"> and they emphasize outperformance (against established benchmarks) as well as interpretability. Typically, black-box (ML) approaches are  excluded either because of the project partner’s priorities or external conditions such as the regulation environment.</w:t>
      </w:r>
    </w:p>
    <w:p w14:paraId="44928BC6" w14:textId="424A5552" w:rsidR="000E66D1" w:rsidRDefault="0056300A" w:rsidP="00EA2F2C">
      <w:r>
        <w:t xml:space="preserve">Explainable outperformance assumes that problem structures are effectively mapped into  explainable optimization criteria, and that priorities faced by research partners are adequately accounted for. While a GDP nowcast may require a strong emphasis on the correct level of the estimate, a forecast might highlight an effective lead (look ahead). On the other hand, usage of noisy `high-frequency’ data into the nowcast may require a more systematic emphasis on suppression of spurious noise.   </w:t>
      </w:r>
      <w:r w:rsidR="0010699C">
        <w:t xml:space="preserve"> </w:t>
      </w:r>
    </w:p>
    <w:p w14:paraId="2954A19C" w14:textId="4E6D6CDD" w:rsidR="008117D2" w:rsidRDefault="008117D2" w:rsidP="00EA2F2C">
      <w:r w:rsidRPr="008117D2">
        <w:t>Achieving explainable outperformance requires that the structure of the prediction problem be translated into transparent optimization criteria, while explicitly reflecting the priorities of the research partner. Different applications naturally emphasize different aspects of forecasting performance. A GDP nowcast, for example, may place primary weight on accurately estimating the current level of economic activity. By contrast, a forecast further into the future may prioritize effective lead time and early detection of turning points. At the same time, the integration of noisy high-frequency indicators—often crucial for timely nowcasting—requires methods that place greater emphasis on suppressing spurious fluctuations and extracting stable signals from volatile data.</w:t>
      </w:r>
    </w:p>
    <w:p w14:paraId="3C2FA216" w14:textId="14B794C1" w:rsidR="008117D2" w:rsidRDefault="00441A1A" w:rsidP="00EA2F2C">
      <w:r w:rsidRPr="00441A1A">
        <w:t>The MDFA is uniquely suited to the task. It accommodates general prediction problems, is fully interpretable, and is numerically tractable, offering fast, closed-form, and uniquely determined solutions. Moreover, it can replace, complement, or customize existing tools to account for specific user needs. While there is always merit in introducing a novel and generalizing approach, we are particularly motivated by the current demand for interpretable, computationally efficient methods grounded in new theoretical insights — ones that directly address the specific shortcomings of existing approaches.</w:t>
      </w:r>
    </w:p>
    <w:sectPr w:rsidR="008117D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C719E8"/>
    <w:multiLevelType w:val="hybridMultilevel"/>
    <w:tmpl w:val="FAF8A5A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1" w15:restartNumberingAfterBreak="0">
    <w:nsid w:val="217F3BAD"/>
    <w:multiLevelType w:val="hybridMultilevel"/>
    <w:tmpl w:val="4B54230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58FB5E6C"/>
    <w:multiLevelType w:val="hybridMultilevel"/>
    <w:tmpl w:val="B0D68A0E"/>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6DDB49B8"/>
    <w:multiLevelType w:val="hybridMultilevel"/>
    <w:tmpl w:val="DC4E58AE"/>
    <w:lvl w:ilvl="0" w:tplc="2000000F">
      <w:start w:val="1"/>
      <w:numFmt w:val="decimal"/>
      <w:lvlText w:val="%1."/>
      <w:lvlJc w:val="left"/>
      <w:pPr>
        <w:ind w:left="360" w:hanging="360"/>
      </w:pPr>
      <w:rPr>
        <w:rFonts w:hint="default"/>
      </w:r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num w:numId="1" w16cid:durableId="1484662623">
    <w:abstractNumId w:val="1"/>
  </w:num>
  <w:num w:numId="2" w16cid:durableId="388958427">
    <w:abstractNumId w:val="2"/>
  </w:num>
  <w:num w:numId="3" w16cid:durableId="655649734">
    <w:abstractNumId w:val="0"/>
    <w:lvlOverride w:ilvl="0"/>
    <w:lvlOverride w:ilvl="1"/>
    <w:lvlOverride w:ilvl="2"/>
    <w:lvlOverride w:ilvl="3"/>
    <w:lvlOverride w:ilvl="4"/>
    <w:lvlOverride w:ilvl="5"/>
    <w:lvlOverride w:ilvl="6"/>
    <w:lvlOverride w:ilvl="7"/>
    <w:lvlOverride w:ilvl="8"/>
  </w:num>
  <w:num w:numId="4" w16cid:durableId="201629985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977"/>
    <w:rsid w:val="000E66D1"/>
    <w:rsid w:val="0010699C"/>
    <w:rsid w:val="0014679D"/>
    <w:rsid w:val="001600E1"/>
    <w:rsid w:val="00237B11"/>
    <w:rsid w:val="00303AB5"/>
    <w:rsid w:val="00441A1A"/>
    <w:rsid w:val="0056300A"/>
    <w:rsid w:val="00587FDB"/>
    <w:rsid w:val="005D158C"/>
    <w:rsid w:val="00631977"/>
    <w:rsid w:val="006E74DB"/>
    <w:rsid w:val="00756A61"/>
    <w:rsid w:val="007C2BF0"/>
    <w:rsid w:val="007D2875"/>
    <w:rsid w:val="007E1630"/>
    <w:rsid w:val="008117D2"/>
    <w:rsid w:val="00816D21"/>
    <w:rsid w:val="0090643E"/>
    <w:rsid w:val="0095365B"/>
    <w:rsid w:val="00AC1484"/>
    <w:rsid w:val="00AF4446"/>
    <w:rsid w:val="00B1725A"/>
    <w:rsid w:val="00D80284"/>
    <w:rsid w:val="00D87AAE"/>
    <w:rsid w:val="00E74AF2"/>
    <w:rsid w:val="00E77376"/>
    <w:rsid w:val="00EA2F2C"/>
  </w:rsids>
  <m:mathPr>
    <m:mathFont m:val="Cambria Math"/>
    <m:brkBin m:val="before"/>
    <m:brkBinSub m:val="--"/>
    <m:smallFrac m:val="0"/>
    <m:dispDef/>
    <m:lMargin m:val="0"/>
    <m:rMargin m:val="0"/>
    <m:defJc m:val="centerGroup"/>
    <m:wrapIndent m:val="1440"/>
    <m:intLim m:val="subSup"/>
    <m:naryLim m:val="undOvr"/>
  </m:mathPr>
  <w:themeFontLang w:val="en-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B97C38"/>
  <w15:chartTrackingRefBased/>
  <w15:docId w15:val="{06D84731-DDFB-4221-84C4-EA188B0B23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3197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3197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3197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3197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197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19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19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19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19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3197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3197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3197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3197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197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19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19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19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1977"/>
    <w:rPr>
      <w:rFonts w:eastAsiaTheme="majorEastAsia" w:cstheme="majorBidi"/>
      <w:color w:val="272727" w:themeColor="text1" w:themeTint="D8"/>
    </w:rPr>
  </w:style>
  <w:style w:type="paragraph" w:styleId="Title">
    <w:name w:val="Title"/>
    <w:basedOn w:val="Normal"/>
    <w:next w:val="Normal"/>
    <w:link w:val="TitleChar"/>
    <w:uiPriority w:val="10"/>
    <w:qFormat/>
    <w:rsid w:val="006319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19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19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19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1977"/>
    <w:pPr>
      <w:spacing w:before="160"/>
      <w:jc w:val="center"/>
    </w:pPr>
    <w:rPr>
      <w:i/>
      <w:iCs/>
      <w:color w:val="404040" w:themeColor="text1" w:themeTint="BF"/>
    </w:rPr>
  </w:style>
  <w:style w:type="character" w:customStyle="1" w:styleId="QuoteChar">
    <w:name w:val="Quote Char"/>
    <w:basedOn w:val="DefaultParagraphFont"/>
    <w:link w:val="Quote"/>
    <w:uiPriority w:val="29"/>
    <w:rsid w:val="00631977"/>
    <w:rPr>
      <w:i/>
      <w:iCs/>
      <w:color w:val="404040" w:themeColor="text1" w:themeTint="BF"/>
    </w:rPr>
  </w:style>
  <w:style w:type="paragraph" w:styleId="ListParagraph">
    <w:name w:val="List Paragraph"/>
    <w:basedOn w:val="Normal"/>
    <w:uiPriority w:val="34"/>
    <w:qFormat/>
    <w:rsid w:val="00631977"/>
    <w:pPr>
      <w:ind w:left="720"/>
      <w:contextualSpacing/>
    </w:pPr>
  </w:style>
  <w:style w:type="character" w:styleId="IntenseEmphasis">
    <w:name w:val="Intense Emphasis"/>
    <w:basedOn w:val="DefaultParagraphFont"/>
    <w:uiPriority w:val="21"/>
    <w:qFormat/>
    <w:rsid w:val="00631977"/>
    <w:rPr>
      <w:i/>
      <w:iCs/>
      <w:color w:val="0F4761" w:themeColor="accent1" w:themeShade="BF"/>
    </w:rPr>
  </w:style>
  <w:style w:type="paragraph" w:styleId="IntenseQuote">
    <w:name w:val="Intense Quote"/>
    <w:basedOn w:val="Normal"/>
    <w:next w:val="Normal"/>
    <w:link w:val="IntenseQuoteChar"/>
    <w:uiPriority w:val="30"/>
    <w:qFormat/>
    <w:rsid w:val="006319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1977"/>
    <w:rPr>
      <w:i/>
      <w:iCs/>
      <w:color w:val="0F4761" w:themeColor="accent1" w:themeShade="BF"/>
    </w:rPr>
  </w:style>
  <w:style w:type="character" w:styleId="IntenseReference">
    <w:name w:val="Intense Reference"/>
    <w:basedOn w:val="DefaultParagraphFont"/>
    <w:uiPriority w:val="32"/>
    <w:qFormat/>
    <w:rsid w:val="0063197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726</Words>
  <Characters>4143</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 wildi</dc:creator>
  <cp:keywords/>
  <dc:description/>
  <cp:lastModifiedBy>marc wildi</cp:lastModifiedBy>
  <cp:revision>6</cp:revision>
  <dcterms:created xsi:type="dcterms:W3CDTF">2026-03-13T07:48:00Z</dcterms:created>
  <dcterms:modified xsi:type="dcterms:W3CDTF">2026-03-13T08:59:00Z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b8b5d6ef-a500-41cb-84d9-0fa64bd057c6</vt:lpwstr>
  </property>
</Properties>
</file>