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r>
        <w:rPr>
          <w:b/>
          <w:color w:val="D97706"/>
          <w:sz w:val="22"/>
        </w:rPr>
        <w:t>SOMAYAR S.A.R.L. AU — EQUIPEMENTS DE CONTRÔLE &amp; DE SÉCURITÉ</w:t>
      </w:r>
    </w:p>
    <w:p>
      <w:pPr>
        <w:spacing w:before="400" w:after="200"/>
      </w:pPr>
      <w:r>
        <w:rPr>
          <w:b/>
          <w:color w:val="1B365D"/>
          <w:sz w:val="48"/>
        </w:rPr>
        <w:t>CAHIER DES CHARGES TECHNIQUE &amp; FONCTIONNEL</w:t>
      </w:r>
    </w:p>
    <w:p>
      <w:pPr>
        <w:spacing w:after="600"/>
      </w:pPr>
      <w:r>
        <w:rPr>
          <w:i/>
          <w:color w:val="4A5568"/>
          <w:sz w:val="28"/>
        </w:rPr>
        <w:t>Solution globale et intégrée de Billetterie Informatisée, Paiement Cashless, Contrôle d'Accès Haute Performance et Smart Reporting (« E-Ticket Pro / FIFA Ready »)</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F1F5F9"/>
            <w:tcMar>
              <w:top w:w="80" w:type="dxa"/>
              <w:bottom w:w="80" w:type="dxa"/>
              <w:left w:w="100" w:type="dxa"/>
              <w:right w:w="100" w:type="dxa"/>
            </w:tcMar>
          </w:tcPr>
          <w:p>
            <w:r>
              <w:rPr>
                <w:b/>
                <w:color w:val="1B365D"/>
                <w:sz w:val="19"/>
              </w:rPr>
              <w:t>Projet / Référence</w:t>
            </w:r>
          </w:p>
        </w:tc>
        <w:tc>
          <w:tcPr>
            <w:tcW w:type="dxa" w:w="6192"/>
            <w:shd w:val="clear" w:color="auto" w:fill="FFFFFF"/>
            <w:tcMar>
              <w:top w:w="80" w:type="dxa"/>
              <w:bottom w:w="80" w:type="dxa"/>
              <w:left w:w="100" w:type="dxa"/>
              <w:right w:w="100" w:type="dxa"/>
            </w:tcMar>
          </w:tcPr>
          <w:p>
            <w:r>
              <w:rPr>
                <w:sz w:val="19"/>
              </w:rPr>
              <w:t>Appel d'Offres N° 02/2026/GSC — Grand Stade de Casablanca</w:t>
            </w:r>
          </w:p>
        </w:tc>
      </w:tr>
      <w:tr>
        <w:tc>
          <w:tcPr>
            <w:tcW w:type="dxa" w:w="3168"/>
            <w:shd w:val="clear" w:color="auto" w:fill="F1F5F9"/>
            <w:tcMar>
              <w:top w:w="80" w:type="dxa"/>
              <w:bottom w:w="80" w:type="dxa"/>
              <w:left w:w="100" w:type="dxa"/>
              <w:right w:w="100" w:type="dxa"/>
            </w:tcMar>
          </w:tcPr>
          <w:p>
            <w:r>
              <w:rPr>
                <w:b/>
                <w:color w:val="1B365D"/>
                <w:sz w:val="19"/>
              </w:rPr>
              <w:t>Solution Système</w:t>
            </w:r>
          </w:p>
        </w:tc>
        <w:tc>
          <w:tcPr>
            <w:tcW w:type="dxa" w:w="6192"/>
            <w:shd w:val="clear" w:color="auto" w:fill="FFFFFF"/>
            <w:tcMar>
              <w:top w:w="80" w:type="dxa"/>
              <w:bottom w:w="80" w:type="dxa"/>
              <w:left w:w="100" w:type="dxa"/>
              <w:right w:w="100" w:type="dxa"/>
            </w:tcMar>
          </w:tcPr>
          <w:p>
            <w:r>
              <w:rPr>
                <w:sz w:val="19"/>
              </w:rPr>
              <w:t>Écosystème E-Ticket Pro (E-Ticket Pay, E-Ticket Report, Central Controller)</w:t>
            </w:r>
          </w:p>
        </w:tc>
      </w:tr>
      <w:tr>
        <w:tc>
          <w:tcPr>
            <w:tcW w:type="dxa" w:w="3168"/>
            <w:shd w:val="clear" w:color="auto" w:fill="F1F5F9"/>
            <w:tcMar>
              <w:top w:w="80" w:type="dxa"/>
              <w:bottom w:w="80" w:type="dxa"/>
              <w:left w:w="100" w:type="dxa"/>
              <w:right w:w="100" w:type="dxa"/>
            </w:tcMar>
          </w:tcPr>
          <w:p>
            <w:r>
              <w:rPr>
                <w:b/>
                <w:color w:val="1B365D"/>
                <w:sz w:val="19"/>
              </w:rPr>
              <w:t>Conformité</w:t>
            </w:r>
          </w:p>
        </w:tc>
        <w:tc>
          <w:tcPr>
            <w:tcW w:type="dxa" w:w="6192"/>
            <w:shd w:val="clear" w:color="auto" w:fill="FFFFFF"/>
            <w:tcMar>
              <w:top w:w="80" w:type="dxa"/>
              <w:bottom w:w="80" w:type="dxa"/>
              <w:left w:w="100" w:type="dxa"/>
              <w:right w:w="100" w:type="dxa"/>
            </w:tcMar>
          </w:tcPr>
          <w:p>
            <w:r>
              <w:rPr>
                <w:sz w:val="19"/>
              </w:rPr>
              <w:t>Standards FIFA Ready, ISO 27001, Mode Autonome / Offline (0,5s/validation)</w:t>
            </w:r>
          </w:p>
        </w:tc>
      </w:tr>
      <w:tr>
        <w:tc>
          <w:tcPr>
            <w:tcW w:type="dxa" w:w="3168"/>
            <w:shd w:val="clear" w:color="auto" w:fill="F1F5F9"/>
            <w:tcMar>
              <w:top w:w="80" w:type="dxa"/>
              <w:bottom w:w="80" w:type="dxa"/>
              <w:left w:w="100" w:type="dxa"/>
              <w:right w:w="100" w:type="dxa"/>
            </w:tcMar>
          </w:tcPr>
          <w:p>
            <w:r>
              <w:rPr>
                <w:b/>
                <w:color w:val="1B365D"/>
                <w:sz w:val="19"/>
              </w:rPr>
              <w:t>Auteur / Éditeur</w:t>
            </w:r>
          </w:p>
        </w:tc>
        <w:tc>
          <w:tcPr>
            <w:tcW w:type="dxa" w:w="6192"/>
            <w:shd w:val="clear" w:color="auto" w:fill="FFFFFF"/>
            <w:tcMar>
              <w:top w:w="80" w:type="dxa"/>
              <w:bottom w:w="80" w:type="dxa"/>
              <w:left w:w="100" w:type="dxa"/>
              <w:right w:w="100" w:type="dxa"/>
            </w:tcMar>
          </w:tcPr>
          <w:p>
            <w:r>
              <w:rPr>
                <w:sz w:val="19"/>
              </w:rPr>
              <w:t>SOMAYAR S.A.R.L. AU — Zone Industrielle Ain Atiq, Témara</w:t>
            </w:r>
          </w:p>
        </w:tc>
      </w:tr>
      <w:tr>
        <w:tc>
          <w:tcPr>
            <w:tcW w:type="dxa" w:w="3168"/>
            <w:shd w:val="clear" w:color="auto" w:fill="F1F5F9"/>
            <w:tcMar>
              <w:top w:w="80" w:type="dxa"/>
              <w:bottom w:w="80" w:type="dxa"/>
              <w:left w:w="100" w:type="dxa"/>
              <w:right w:w="100" w:type="dxa"/>
            </w:tcMar>
          </w:tcPr>
          <w:p>
            <w:r>
              <w:rPr>
                <w:b/>
                <w:color w:val="1B365D"/>
                <w:sz w:val="19"/>
              </w:rPr>
              <w:t>Date &amp; Version</w:t>
            </w:r>
          </w:p>
        </w:tc>
        <w:tc>
          <w:tcPr>
            <w:tcW w:type="dxa" w:w="6192"/>
            <w:shd w:val="clear" w:color="auto" w:fill="FFFFFF"/>
            <w:tcMar>
              <w:top w:w="80" w:type="dxa"/>
              <w:bottom w:w="80" w:type="dxa"/>
              <w:left w:w="100" w:type="dxa"/>
              <w:right w:w="100" w:type="dxa"/>
            </w:tcMar>
          </w:tcPr>
          <w:p>
            <w:r>
              <w:rPr>
                <w:sz w:val="19"/>
              </w:rPr>
              <w:t>Juillet 2026 — Version 1.0 Officielle</w:t>
            </w:r>
          </w:p>
        </w:tc>
      </w:tr>
    </w:tbl>
    <w:p>
      <w:r>
        <w:br w:type="page"/>
      </w:r>
    </w:p>
    <w:p>
      <w:pPr>
        <w:keepNext/>
        <w:spacing w:before="360" w:after="160"/>
      </w:pPr>
      <w:r>
        <w:rPr>
          <w:b/>
          <w:color w:val="1B365D"/>
          <w:sz w:val="32"/>
        </w:rPr>
        <w:t>1. PRÉSENTATION DU PROJET &amp; CONTEXTE OPERATIONNEL</w:t>
      </w:r>
    </w:p>
    <w:p>
      <w:pPr>
        <w:spacing w:before="0" w:after="100" w:line="276" w:lineRule="auto"/>
      </w:pPr>
      <w:r>
        <w:rPr>
          <w:i w:val="0"/>
        </w:rPr>
        <w:t>Le présent Cahier des Charges définit les exigences techniques, fonctionnelles, architecturales et opérationnelles pour le déploiement d'une solution de billetterie informatisée tout-en-un, de gestion des accès et de paiement cashless dématérialisé. Ce système est spécifiquement dimensionné pour répondre aux exigences des grands complexes sportifs et événementiels de niveau international, notamment dans le cadre des appels d'offres internationaux type Grand Stade de Casablanca (Appel d'Offres N° 02/2026/GSC).</w:t>
      </w:r>
    </w:p>
    <w:p>
      <w:pPr>
        <w:keepNext/>
        <w:spacing w:before="280" w:after="120"/>
      </w:pPr>
      <w:r>
        <w:rPr>
          <w:b/>
          <w:color w:val="D97706"/>
          <w:sz w:val="26"/>
        </w:rPr>
        <w:t>1.1 Objectifs Stratégiques</w:t>
      </w:r>
    </w:p>
    <w:p>
      <w:pPr>
        <w:pStyle w:val="ListBullet"/>
        <w:spacing w:before="0" w:after="60" w:line="276" w:lineRule="auto"/>
      </w:pPr>
      <w:r>
        <w:rPr>
          <w:b/>
          <w:color w:val="1B365D"/>
        </w:rPr>
        <w:t xml:space="preserve">Billetterie Tout-en-un : </w:t>
      </w:r>
      <w:r>
        <w:t>Assurer la gestion centralisée et sécurisée de la billetterie multi-site et multi-événement en temps réel (vente en ligne, guichets fixes, terminaux mobiles).</w:t>
      </w:r>
    </w:p>
    <w:p>
      <w:pPr>
        <w:pStyle w:val="ListBullet"/>
        <w:spacing w:before="0" w:after="60" w:line="276" w:lineRule="auto"/>
      </w:pPr>
      <w:r>
        <w:rPr>
          <w:b/>
          <w:color w:val="1B365D"/>
        </w:rPr>
        <w:t xml:space="preserve">Contrôle d'Accès Ultra-Rapide : </w:t>
      </w:r>
      <w:r>
        <w:t>Offrir une expérience fluide et sans attente aux accès avec un temps de validation de chaque titre d'accès inférieur à 0,5 seconde.</w:t>
      </w:r>
    </w:p>
    <w:p>
      <w:pPr>
        <w:pStyle w:val="ListBullet"/>
        <w:spacing w:before="0" w:after="60" w:line="276" w:lineRule="auto"/>
      </w:pPr>
      <w:r>
        <w:rPr>
          <w:b/>
          <w:color w:val="1B365D"/>
        </w:rPr>
        <w:t xml:space="preserve">Paiement Cashless &amp; E-Commerce : </w:t>
      </w:r>
      <w:r>
        <w:t>Intégrer une solution de paiement dématérialisé Cashless et d'appairage multi-supports (NFC, QR Code, Barcode 1D/2D, Apple Pay, Google Pay).</w:t>
      </w:r>
    </w:p>
    <w:p>
      <w:pPr>
        <w:pStyle w:val="ListBullet"/>
        <w:spacing w:before="0" w:after="60" w:line="276" w:lineRule="auto"/>
      </w:pPr>
      <w:r>
        <w:rPr>
          <w:b/>
          <w:color w:val="1B365D"/>
        </w:rPr>
        <w:t xml:space="preserve">Supervision &amp; Smart Reporting : </w:t>
      </w:r>
      <w:r>
        <w:t>Fournir des outils décisionnels et des tableaux de bord dynamiques (Smart-Reporting) accessibles 24/7 sur PC et appareils mobiles (Android/iOS).</w:t>
      </w:r>
    </w:p>
    <w:p>
      <w:pPr>
        <w:pStyle w:val="ListBullet"/>
        <w:spacing w:before="0" w:after="60" w:line="276" w:lineRule="auto"/>
      </w:pPr>
      <w:r>
        <w:rPr>
          <w:b/>
          <w:color w:val="1B365D"/>
        </w:rPr>
        <w:t xml:space="preserve">Conformité FIFA Ready : </w:t>
      </w:r>
      <w:r>
        <w:t>Garantir une conformité absolue aux exigences technologiques et opérationnelles des compétitions internationales FIFA Ready.</w:t>
      </w:r>
    </w:p>
    <w:p>
      <w:pPr>
        <w:keepNext/>
        <w:spacing w:before="280" w:after="120"/>
      </w:pPr>
      <w:r>
        <w:rPr>
          <w:b/>
          <w:color w:val="D97706"/>
          <w:sz w:val="26"/>
        </w:rPr>
        <w:t>1.2 Périmètre Global de la Solution</w:t>
      </w:r>
    </w:p>
    <w:p>
      <w:pPr>
        <w:spacing w:before="0" w:after="100" w:line="276" w:lineRule="auto"/>
      </w:pPr>
      <w:r>
        <w:rPr>
          <w:i w:val="0"/>
        </w:rPr>
        <w:t>L'écosystème logiciel et matériel comprend 5 modules principaux interconnectés :</w:t>
      </w:r>
    </w:p>
    <w:p>
      <w:pPr>
        <w:pStyle w:val="ListBullet"/>
        <w:spacing w:before="0" w:after="60" w:line="276" w:lineRule="auto"/>
      </w:pPr>
      <w:r>
        <w:rPr>
          <w:b/>
          <w:color w:val="1B365D"/>
        </w:rPr>
        <w:t xml:space="preserve">E-Ticket Pro (Core System) : </w:t>
      </w:r>
      <w:r>
        <w:t>Module cœur d'administration générale, création des stades, agencement 2D des tribunes/sièges, gestion des événements et des tarifs.</w:t>
      </w:r>
    </w:p>
    <w:p>
      <w:pPr>
        <w:pStyle w:val="ListBullet"/>
        <w:spacing w:before="0" w:after="60" w:line="276" w:lineRule="auto"/>
      </w:pPr>
      <w:r>
        <w:rPr>
          <w:b/>
          <w:color w:val="1B365D"/>
        </w:rPr>
        <w:t xml:space="preserve">E-Ticket Pay (Cashless &amp; Sales) : </w:t>
      </w:r>
      <w:r>
        <w:t>Plateforme de vente en ligne (e-boutique intégrée / API Cloud) et module guichets tactiles POS pour la vente physique sur site.</w:t>
      </w:r>
    </w:p>
    <w:p>
      <w:pPr>
        <w:pStyle w:val="ListBullet"/>
        <w:spacing w:before="0" w:after="60" w:line="276" w:lineRule="auto"/>
      </w:pPr>
      <w:r>
        <w:rPr>
          <w:b/>
          <w:color w:val="1B365D"/>
        </w:rPr>
        <w:t xml:space="preserve">E-Ticket Report (Smart Analytics) : </w:t>
      </w:r>
      <w:r>
        <w:t>Moteur d'analyse décisionnelle, statistiques des ventes, comportement d'achat et génération de rapports multi-formats (PDF, Excel, Word, CSV, XML).</w:t>
      </w:r>
    </w:p>
    <w:p>
      <w:pPr>
        <w:pStyle w:val="ListBullet"/>
        <w:spacing w:before="0" w:after="60" w:line="276" w:lineRule="auto"/>
      </w:pPr>
      <w:r>
        <w:rPr>
          <w:b/>
          <w:color w:val="1B365D"/>
        </w:rPr>
        <w:t xml:space="preserve">Serveur Contrôleur Central : </w:t>
      </w:r>
      <w:r>
        <w:t>Matériel serveur rackable haute disponibilité (Dell PowerEdge R360) hébergeant les bases de données et les moteurs de validation.</w:t>
      </w:r>
    </w:p>
    <w:p>
      <w:pPr>
        <w:pStyle w:val="ListBullet"/>
        <w:spacing w:before="0" w:after="60" w:line="276" w:lineRule="auto"/>
      </w:pPr>
      <w:r>
        <w:rPr>
          <w:b/>
          <w:color w:val="1B365D"/>
        </w:rPr>
        <w:t xml:space="preserve">Module d'Interopérabilité FIFA : </w:t>
      </w:r>
      <w:r>
        <w:t>Attestation de conformité, API &amp; SDK FIFA Ticketing / Ticketmaster, gestion des accréditations (VIP, Presse, Délégations) et mode déconnecté résilient.</w:t>
      </w:r>
    </w:p>
    <w:p>
      <w:pPr>
        <w:keepNext/>
        <w:spacing w:before="360" w:after="160"/>
      </w:pPr>
      <w:r>
        <w:rPr>
          <w:b/>
          <w:color w:val="1B365D"/>
          <w:sz w:val="32"/>
        </w:rPr>
        <w:t>2. ARCHITECTURE TECHNIQUE &amp; INFRASTRUCTURE RÈSEAU/MATÉRIEL</w:t>
      </w:r>
    </w:p>
    <w:p>
      <w:pPr>
        <w:spacing w:before="0" w:after="100" w:line="276" w:lineRule="auto"/>
      </w:pPr>
      <w:r>
        <w:rPr>
          <w:i w:val="0"/>
        </w:rPr>
        <w:t>L'architecture du système E-Ticket Pro repose sur une topologie hybride (Serveurs locaux de haute sécurité couplés à des serveurs Cloud synchronisés via tunnel VPN IPSEC chiffré), garantissant zéro perte de données et une résilience totale en cas de coupure réseau.</w:t>
      </w:r>
    </w:p>
    <w:p>
      <w:pPr>
        <w:keepNext/>
        <w:spacing w:before="280" w:after="120"/>
      </w:pPr>
      <w:r>
        <w:rPr>
          <w:b/>
          <w:color w:val="D97706"/>
          <w:sz w:val="26"/>
        </w:rPr>
        <w:t>2.1 Spécifications du Serveur Central de Contrôle d'Accès et Billetterie</w:t>
      </w:r>
    </w:p>
    <w:p>
      <w:pPr>
        <w:spacing w:before="0" w:after="100" w:line="276" w:lineRule="auto"/>
      </w:pPr>
      <w:r>
        <w:rPr>
          <w:i w:val="0"/>
        </w:rPr>
        <w:t>Le système s'appuie sur une infrastructure serveur Dell PowerEdge R360 (Rack 1U) certifiée entreprise, dont les caractéristiques techniques minimales requises sont récapitulées ci-dessous :</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1B365D"/>
            <w:tcMar>
              <w:top w:w="80" w:type="dxa"/>
              <w:bottom w:w="80" w:type="dxa"/>
              <w:left w:w="100" w:type="dxa"/>
              <w:right w:w="100" w:type="dxa"/>
            </w:tcMar>
          </w:tcPr>
          <w:p>
            <w:r>
              <w:rPr>
                <w:b/>
                <w:color w:val="FFFFFF"/>
              </w:rPr>
              <w:t>Composant / Caractéristique</w:t>
            </w:r>
          </w:p>
        </w:tc>
        <w:tc>
          <w:tcPr>
            <w:tcW w:type="dxa" w:w="6192"/>
            <w:shd w:val="clear" w:color="auto" w:fill="1B365D"/>
            <w:tcMar>
              <w:top w:w="80" w:type="dxa"/>
              <w:bottom w:w="80" w:type="dxa"/>
              <w:left w:w="100" w:type="dxa"/>
              <w:right w:w="100" w:type="dxa"/>
            </w:tcMar>
          </w:tcPr>
          <w:p>
            <w:r>
              <w:rPr>
                <w:b/>
                <w:color w:val="FFFFFF"/>
              </w:rPr>
              <w:t>Spécification Technique Requise (Dell PowerEdge R360)</w:t>
            </w:r>
          </w:p>
        </w:tc>
      </w:tr>
      <w:tr>
        <w:tc>
          <w:tcPr>
            <w:tcW w:type="dxa" w:w="3168"/>
            <w:shd w:val="clear" w:color="auto" w:fill="F8FAFC"/>
            <w:tcMar>
              <w:top w:w="80" w:type="dxa"/>
              <w:bottom w:w="80" w:type="dxa"/>
              <w:left w:w="100" w:type="dxa"/>
              <w:right w:w="100" w:type="dxa"/>
            </w:tcMar>
          </w:tcPr>
          <w:p>
            <w:r>
              <w:rPr>
                <w:b/>
                <w:color w:val="1B365D"/>
                <w:sz w:val="19"/>
              </w:rPr>
              <w:t>Processeur (CPU)</w:t>
            </w:r>
          </w:p>
        </w:tc>
        <w:tc>
          <w:tcPr>
            <w:tcW w:type="dxa" w:w="6192"/>
            <w:shd w:val="clear" w:color="auto" w:fill="F8FAFC"/>
            <w:tcMar>
              <w:top w:w="80" w:type="dxa"/>
              <w:bottom w:w="80" w:type="dxa"/>
              <w:left w:w="100" w:type="dxa"/>
              <w:right w:w="100" w:type="dxa"/>
            </w:tcMar>
          </w:tcPr>
          <w:p>
            <w:r>
              <w:rPr>
                <w:sz w:val="19"/>
              </w:rPr>
              <w:t>Intel® Xeon® E-2400 ou Xeon® 6300 (jusqu'à 8 cœurs) / Pentium G7400</w:t>
            </w:r>
          </w:p>
        </w:tc>
      </w:tr>
      <w:tr>
        <w:tc>
          <w:tcPr>
            <w:tcW w:type="dxa" w:w="3168"/>
            <w:shd w:val="clear" w:color="auto" w:fill="FFFFFF"/>
            <w:tcMar>
              <w:top w:w="80" w:type="dxa"/>
              <w:bottom w:w="80" w:type="dxa"/>
              <w:left w:w="100" w:type="dxa"/>
              <w:right w:w="100" w:type="dxa"/>
            </w:tcMar>
          </w:tcPr>
          <w:p>
            <w:r>
              <w:rPr>
                <w:b/>
                <w:color w:val="1B365D"/>
                <w:sz w:val="19"/>
              </w:rPr>
              <w:t>Mémoire Vive (RAM)</w:t>
            </w:r>
          </w:p>
        </w:tc>
        <w:tc>
          <w:tcPr>
            <w:tcW w:type="dxa" w:w="6192"/>
            <w:shd w:val="clear" w:color="auto" w:fill="FFFFFF"/>
            <w:tcMar>
              <w:top w:w="80" w:type="dxa"/>
              <w:bottom w:w="80" w:type="dxa"/>
              <w:left w:w="100" w:type="dxa"/>
              <w:right w:w="100" w:type="dxa"/>
            </w:tcMar>
          </w:tcPr>
          <w:p>
            <w:r>
              <w:rPr>
                <w:sz w:val="19"/>
              </w:rPr>
              <w:t>4 emplacements DDR5 DIMM, jusqu'à 128 GB max UDIMM ECC 4400 MT/s</w:t>
            </w:r>
          </w:p>
        </w:tc>
      </w:tr>
      <w:tr>
        <w:tc>
          <w:tcPr>
            <w:tcW w:type="dxa" w:w="3168"/>
            <w:shd w:val="clear" w:color="auto" w:fill="F8FAFC"/>
            <w:tcMar>
              <w:top w:w="80" w:type="dxa"/>
              <w:bottom w:w="80" w:type="dxa"/>
              <w:left w:w="100" w:type="dxa"/>
              <w:right w:w="100" w:type="dxa"/>
            </w:tcMar>
          </w:tcPr>
          <w:p>
            <w:r>
              <w:rPr>
                <w:b/>
                <w:color w:val="1B365D"/>
                <w:sz w:val="19"/>
              </w:rPr>
              <w:t>Contrôleur de Stockage</w:t>
            </w:r>
          </w:p>
        </w:tc>
        <w:tc>
          <w:tcPr>
            <w:tcW w:type="dxa" w:w="6192"/>
            <w:shd w:val="clear" w:color="auto" w:fill="F8FAFC"/>
            <w:tcMar>
              <w:top w:w="80" w:type="dxa"/>
              <w:bottom w:w="80" w:type="dxa"/>
              <w:left w:w="100" w:type="dxa"/>
              <w:right w:w="100" w:type="dxa"/>
            </w:tcMar>
          </w:tcPr>
          <w:p>
            <w:r>
              <w:rPr>
                <w:sz w:val="19"/>
              </w:rPr>
              <w:t>PERC H755 / H355 Adpt, Boot optimisé BOSS-N1 (HWRAID 2x M.2 SSD NVMe)</w:t>
            </w:r>
          </w:p>
        </w:tc>
      </w:tr>
      <w:tr>
        <w:tc>
          <w:tcPr>
            <w:tcW w:type="dxa" w:w="3168"/>
            <w:shd w:val="clear" w:color="auto" w:fill="FFFFFF"/>
            <w:tcMar>
              <w:top w:w="80" w:type="dxa"/>
              <w:bottom w:w="80" w:type="dxa"/>
              <w:left w:w="100" w:type="dxa"/>
              <w:right w:w="100" w:type="dxa"/>
            </w:tcMar>
          </w:tcPr>
          <w:p>
            <w:r>
              <w:rPr>
                <w:b/>
                <w:color w:val="1B365D"/>
                <w:sz w:val="19"/>
              </w:rPr>
              <w:t>Baies de Disques</w:t>
            </w:r>
          </w:p>
        </w:tc>
        <w:tc>
          <w:tcPr>
            <w:tcW w:type="dxa" w:w="6192"/>
            <w:shd w:val="clear" w:color="auto" w:fill="FFFFFF"/>
            <w:tcMar>
              <w:top w:w="80" w:type="dxa"/>
              <w:bottom w:w="80" w:type="dxa"/>
              <w:left w:w="100" w:type="dxa"/>
              <w:right w:w="100" w:type="dxa"/>
            </w:tcMar>
          </w:tcPr>
          <w:p>
            <w:r>
              <w:rPr>
                <w:sz w:val="19"/>
              </w:rPr>
              <w:t>Jusqu'à 4 x 3.5" SAS/SATA (max 64 TB) ou 8 x 2.5" SAS/SATA SSD (max 61.44 TB)</w:t>
            </w:r>
          </w:p>
        </w:tc>
      </w:tr>
      <w:tr>
        <w:tc>
          <w:tcPr>
            <w:tcW w:type="dxa" w:w="3168"/>
            <w:shd w:val="clear" w:color="auto" w:fill="F8FAFC"/>
            <w:tcMar>
              <w:top w:w="80" w:type="dxa"/>
              <w:bottom w:w="80" w:type="dxa"/>
              <w:left w:w="100" w:type="dxa"/>
              <w:right w:w="100" w:type="dxa"/>
            </w:tcMar>
          </w:tcPr>
          <w:p>
            <w:r>
              <w:rPr>
                <w:b/>
                <w:color w:val="1B365D"/>
                <w:sz w:val="19"/>
              </w:rPr>
              <w:t>Alimentation Réduite</w:t>
            </w:r>
          </w:p>
        </w:tc>
        <w:tc>
          <w:tcPr>
            <w:tcW w:type="dxa" w:w="6192"/>
            <w:shd w:val="clear" w:color="auto" w:fill="F8FAFC"/>
            <w:tcMar>
              <w:top w:w="80" w:type="dxa"/>
              <w:bottom w:w="80" w:type="dxa"/>
              <w:left w:w="100" w:type="dxa"/>
              <w:right w:w="100" w:type="dxa"/>
            </w:tcMar>
          </w:tcPr>
          <w:p>
            <w:r>
              <w:rPr>
                <w:sz w:val="19"/>
              </w:rPr>
              <w:t>Double alimentation redondante 600W Platinum / 700W Titanium Hot-Swap (100-240V)</w:t>
            </w:r>
          </w:p>
        </w:tc>
      </w:tr>
      <w:tr>
        <w:tc>
          <w:tcPr>
            <w:tcW w:type="dxa" w:w="3168"/>
            <w:shd w:val="clear" w:color="auto" w:fill="FFFFFF"/>
            <w:tcMar>
              <w:top w:w="80" w:type="dxa"/>
              <w:bottom w:w="80" w:type="dxa"/>
              <w:left w:w="100" w:type="dxa"/>
              <w:right w:w="100" w:type="dxa"/>
            </w:tcMar>
          </w:tcPr>
          <w:p>
            <w:r>
              <w:rPr>
                <w:b/>
                <w:color w:val="1B365D"/>
                <w:sz w:val="19"/>
              </w:rPr>
              <w:t>Gestion Embarquée</w:t>
            </w:r>
          </w:p>
        </w:tc>
        <w:tc>
          <w:tcPr>
            <w:tcW w:type="dxa" w:w="6192"/>
            <w:shd w:val="clear" w:color="auto" w:fill="FFFFFF"/>
            <w:tcMar>
              <w:top w:w="80" w:type="dxa"/>
              <w:bottom w:w="80" w:type="dxa"/>
              <w:left w:w="100" w:type="dxa"/>
              <w:right w:w="100" w:type="dxa"/>
            </w:tcMar>
          </w:tcPr>
          <w:p>
            <w:r>
              <w:rPr>
                <w:sz w:val="19"/>
              </w:rPr>
              <w:t>iDRAC9 Enterprise, iDRAC Direct, RESTful API Redfish, Service Manual</w:t>
            </w:r>
          </w:p>
        </w:tc>
      </w:tr>
      <w:tr>
        <w:tc>
          <w:tcPr>
            <w:tcW w:type="dxa" w:w="3168"/>
            <w:shd w:val="clear" w:color="auto" w:fill="F8FAFC"/>
            <w:tcMar>
              <w:top w:w="80" w:type="dxa"/>
              <w:bottom w:w="80" w:type="dxa"/>
              <w:left w:w="100" w:type="dxa"/>
              <w:right w:w="100" w:type="dxa"/>
            </w:tcMar>
          </w:tcPr>
          <w:p>
            <w:r>
              <w:rPr>
                <w:b/>
                <w:color w:val="1B365D"/>
                <w:sz w:val="19"/>
              </w:rPr>
              <w:t>Réseau &amp; Connectivity</w:t>
            </w:r>
          </w:p>
        </w:tc>
        <w:tc>
          <w:tcPr>
            <w:tcW w:type="dxa" w:w="6192"/>
            <w:shd w:val="clear" w:color="auto" w:fill="F8FAFC"/>
            <w:tcMar>
              <w:top w:w="80" w:type="dxa"/>
              <w:bottom w:w="80" w:type="dxa"/>
              <w:left w:w="100" w:type="dxa"/>
              <w:right w:w="100" w:type="dxa"/>
            </w:tcMar>
          </w:tcPr>
          <w:p>
            <w:r>
              <w:rPr>
                <w:sz w:val="19"/>
              </w:rPr>
              <w:t>2 x 1 GbE LOM intégrés, 1 x Port Ethernet iDRAC dédié, USB 3.2 Gen1, VGA, Serial</w:t>
            </w:r>
          </w:p>
        </w:tc>
      </w:tr>
      <w:tr>
        <w:tc>
          <w:tcPr>
            <w:tcW w:type="dxa" w:w="3168"/>
            <w:shd w:val="clear" w:color="auto" w:fill="FFFFFF"/>
            <w:tcMar>
              <w:top w:w="80" w:type="dxa"/>
              <w:bottom w:w="80" w:type="dxa"/>
              <w:left w:w="100" w:type="dxa"/>
              <w:right w:w="100" w:type="dxa"/>
            </w:tcMar>
          </w:tcPr>
          <w:p>
            <w:r>
              <w:rPr>
                <w:b/>
                <w:color w:val="1B365D"/>
                <w:sz w:val="19"/>
              </w:rPr>
              <w:t>Sécurité Matérielle</w:t>
            </w:r>
          </w:p>
        </w:tc>
        <w:tc>
          <w:tcPr>
            <w:tcW w:type="dxa" w:w="6192"/>
            <w:shd w:val="clear" w:color="auto" w:fill="FFFFFF"/>
            <w:tcMar>
              <w:top w:w="80" w:type="dxa"/>
              <w:bottom w:w="80" w:type="dxa"/>
              <w:left w:w="100" w:type="dxa"/>
              <w:right w:w="100" w:type="dxa"/>
            </w:tcMar>
          </w:tcPr>
          <w:p>
            <w:r>
              <w:rPr>
                <w:sz w:val="19"/>
              </w:rPr>
              <w:t>Silicon Root of Trust, Secure Boot, Chiffrement des données à l'arrêt (SEDs), TPM 2.0 FIPS</w:t>
            </w:r>
          </w:p>
        </w:tc>
      </w:tr>
      <w:tr>
        <w:tc>
          <w:tcPr>
            <w:tcW w:type="dxa" w:w="3168"/>
            <w:shd w:val="clear" w:color="auto" w:fill="F8FAFC"/>
            <w:tcMar>
              <w:top w:w="80" w:type="dxa"/>
              <w:bottom w:w="80" w:type="dxa"/>
              <w:left w:w="100" w:type="dxa"/>
              <w:right w:w="100" w:type="dxa"/>
            </w:tcMar>
          </w:tcPr>
          <w:p>
            <w:r>
              <w:rPr>
                <w:b/>
                <w:color w:val="1B365D"/>
                <w:sz w:val="19"/>
              </w:rPr>
              <w:t>Systèmes d'Exploitation</w:t>
            </w:r>
          </w:p>
        </w:tc>
        <w:tc>
          <w:tcPr>
            <w:tcW w:type="dxa" w:w="6192"/>
            <w:shd w:val="clear" w:color="auto" w:fill="F8FAFC"/>
            <w:tcMar>
              <w:top w:w="80" w:type="dxa"/>
              <w:bottom w:w="80" w:type="dxa"/>
              <w:left w:w="100" w:type="dxa"/>
              <w:right w:w="100" w:type="dxa"/>
            </w:tcMar>
          </w:tcPr>
          <w:p>
            <w:r>
              <w:rPr>
                <w:sz w:val="19"/>
              </w:rPr>
              <w:t>Canonical Ubuntu Server LTS, Red Hat Enterprise Linux, VMware ESXi, Windows Server</w:t>
            </w:r>
          </w:p>
        </w:tc>
      </w:tr>
      <w:tr>
        <w:tc>
          <w:tcPr>
            <w:tcW w:type="dxa" w:w="3168"/>
            <w:shd w:val="clear" w:color="auto" w:fill="FFFFFF"/>
            <w:tcMar>
              <w:top w:w="80" w:type="dxa"/>
              <w:bottom w:w="80" w:type="dxa"/>
              <w:left w:w="100" w:type="dxa"/>
              <w:right w:w="100" w:type="dxa"/>
            </w:tcMar>
          </w:tcPr>
          <w:p>
            <w:r>
              <w:rPr>
                <w:b/>
                <w:color w:val="1B365D"/>
                <w:sz w:val="19"/>
              </w:rPr>
              <w:t>Facteur de Forme</w:t>
            </w:r>
          </w:p>
        </w:tc>
        <w:tc>
          <w:tcPr>
            <w:tcW w:type="dxa" w:w="6192"/>
            <w:shd w:val="clear" w:color="auto" w:fill="FFFFFF"/>
            <w:tcMar>
              <w:top w:w="80" w:type="dxa"/>
              <w:bottom w:w="80" w:type="dxa"/>
              <w:left w:w="100" w:type="dxa"/>
              <w:right w:w="100" w:type="dxa"/>
            </w:tcMar>
          </w:tcPr>
          <w:p>
            <w:r>
              <w:rPr>
                <w:sz w:val="19"/>
              </w:rPr>
              <w:t>Serveur Rack 1U haute densité pour baie informatique sécurisée</w:t>
            </w:r>
          </w:p>
        </w:tc>
      </w:tr>
    </w:tbl>
    <w:p>
      <w:pPr>
        <w:keepNext/>
        <w:spacing w:before="280" w:after="120"/>
      </w:pPr>
      <w:r>
        <w:rPr>
          <w:b/>
          <w:color w:val="D97706"/>
          <w:sz w:val="26"/>
        </w:rPr>
        <w:t>2.2 Infrastructure Réseau et Équipements de Terrain</w:t>
      </w:r>
    </w:p>
    <w:p>
      <w:pPr>
        <w:pStyle w:val="ListBullet"/>
        <w:spacing w:before="0" w:after="60" w:line="276" w:lineRule="auto"/>
      </w:pPr>
      <w:r>
        <w:rPr>
          <w:b/>
          <w:color w:val="1B365D"/>
        </w:rPr>
        <w:t xml:space="preserve">Tunnel VPN IPSEC Sécurisé : </w:t>
      </w:r>
      <w:r>
        <w:t>Connexion chiffrée permanente via VPN IPSEC entre le serveur Cloud de vente en ligne et le contrôleur local du stade.</w:t>
      </w:r>
    </w:p>
    <w:p>
      <w:pPr>
        <w:pStyle w:val="ListBullet"/>
        <w:spacing w:before="0" w:after="60" w:line="276" w:lineRule="auto"/>
      </w:pPr>
      <w:r>
        <w:rPr>
          <w:b/>
          <w:color w:val="1B365D"/>
        </w:rPr>
        <w:t xml:space="preserve">Switchs Fédérateurs &amp; Access Points Wi-Fi : </w:t>
      </w:r>
      <w:r>
        <w:t>Commutateurs réseau fédérateurs et locaux administrables assurant la liaison Très Haut Débit entre le PC de sécurité, les guichets POS et les bornes d'accès.</w:t>
      </w:r>
    </w:p>
    <w:p>
      <w:pPr>
        <w:pStyle w:val="ListBullet"/>
        <w:spacing w:before="0" w:after="60" w:line="276" w:lineRule="auto"/>
      </w:pPr>
      <w:r>
        <w:rPr>
          <w:b/>
          <w:color w:val="1B365D"/>
        </w:rPr>
        <w:t xml:space="preserve">Obstacles Physiques d'Accès : </w:t>
      </w:r>
      <w:r>
        <w:t>Tourniquets de sécurité, portillons pivotants et couloirs rapides équipés d'unités d'asservissement autonomes et de lecteurs multitechnologies.</w:t>
      </w:r>
    </w:p>
    <w:p>
      <w:pPr>
        <w:pStyle w:val="ListBullet"/>
        <w:spacing w:before="0" w:after="60" w:line="276" w:lineRule="auto"/>
      </w:pPr>
      <w:r>
        <w:rPr>
          <w:b/>
          <w:color w:val="1B365D"/>
        </w:rPr>
        <w:t xml:space="preserve">Terminaux Mobiles PDA : </w:t>
      </w:r>
      <w:r>
        <w:t>Terminaux portables durcis (PDA) communicant en Wi-Fi/4G/5G, dotés de scanners laser 1D/2D et puces NFC pour les agents de contrôle itinérants.</w:t>
      </w:r>
    </w:p>
    <w:p>
      <w:pPr>
        <w:pStyle w:val="ListBullet"/>
        <w:spacing w:before="0" w:after="60" w:line="276" w:lineRule="auto"/>
      </w:pPr>
      <w:r>
        <w:rPr>
          <w:b/>
          <w:color w:val="1B365D"/>
        </w:rPr>
        <w:t xml:space="preserve">Points de Vente Locaux (POS) : </w:t>
      </w:r>
      <w:r>
        <w:t>Postes de caisse tactiles (PC + Imprimante thermique + Douchette/Lecteur + Connexion Internet/LAN) assurant une vente billetterie en 3 clics.</w:t>
      </w:r>
    </w:p>
    <w:tbl>
      <w:tblPr>
        <w:tblW w:type="auto" w:w="0"/>
        <w:jc w:val="center"/>
        <w:tblLook w:firstColumn="1" w:firstRow="1" w:lastColumn="0" w:lastRow="0" w:noHBand="0" w:noVBand="1" w:val="04A0"/>
      </w:tblPr>
      <w:tblGrid>
        <w:gridCol w:w="9360"/>
      </w:tblGrid>
      <w:tr>
        <w:tc>
          <w:tcPr>
            <w:tcW w:type="dxa" w:w="9360"/>
            <w:shd w:val="clear" w:color="auto" w:fill="FEF3C7"/>
            <w:tcMar>
              <w:top w:w="120" w:type="dxa"/>
              <w:bottom w:w="120" w:type="dxa"/>
              <w:left w:w="150" w:type="dxa"/>
              <w:right w:w="150" w:type="dxa"/>
            </w:tcMar>
          </w:tcPr>
          <w:p>
            <w:pPr>
              <w:spacing w:after="40"/>
            </w:pPr>
            <w:r>
              <w:rPr>
                <w:b/>
                <w:color w:val="B45309"/>
                <w:sz w:val="20"/>
              </w:rPr>
              <w:t>EXIGENCE CRITIQUE : CONTINUITÉ DE SERVICE EN MODE OFFLINE</w:t>
              <w:br/>
            </w:r>
            <w:r>
              <w:rPr>
                <w:color w:val="323232"/>
                <w:sz w:val="19"/>
              </w:rPr>
              <w:t>Le système intègre un mode déconnecté (Offline) avancé. En cas d'interruption du réseau physique ou Wi-Fi, les unités de traitement local des obstacles d'accès et les PDA conservent l'intégralité des droits d'accès en mémoire cache local et valident les billets en autonomie absolue. Dès le rétablissement du réseau, les données de comptage et de validation sont resynchronisées automatiquement avec le serveur central sans moindre perte de données.</w:t>
            </w:r>
          </w:p>
        </w:tc>
      </w:tr>
    </w:tbl>
    <w:p>
      <w:pPr>
        <w:spacing w:after="80"/>
      </w:pPr>
    </w:p>
    <w:p>
      <w:pPr>
        <w:keepNext/>
        <w:spacing w:before="360" w:after="160"/>
      </w:pPr>
      <w:r>
        <w:rPr>
          <w:b/>
          <w:color w:val="1B365D"/>
          <w:sz w:val="32"/>
        </w:rPr>
        <w:t>3. SPÉCIFICATIONS FONCTIONNELLES DÉTAILLÉES</w:t>
      </w:r>
    </w:p>
    <w:p>
      <w:pPr>
        <w:keepNext/>
        <w:spacing w:before="280" w:after="120"/>
      </w:pPr>
      <w:r>
        <w:rPr>
          <w:b/>
          <w:color w:val="D97706"/>
          <w:sz w:val="26"/>
        </w:rPr>
        <w:t>3.1 Module E-Ticket Pro — Gestion de la Billetterie et Configuration</w:t>
      </w:r>
    </w:p>
    <w:p>
      <w:pPr>
        <w:spacing w:before="0" w:after="100" w:line="276" w:lineRule="auto"/>
      </w:pPr>
      <w:r>
        <w:rPr>
          <w:i w:val="0"/>
        </w:rPr>
        <w:t>Le module E-Ticket Pro est l'outil central de paramétrage de l'écosystème. Ses fonctionnalités couvrent :</w:t>
      </w:r>
    </w:p>
    <w:p>
      <w:pPr>
        <w:pStyle w:val="ListBullet"/>
        <w:spacing w:before="0" w:after="60" w:line="276" w:lineRule="auto"/>
      </w:pPr>
      <w:r>
        <w:rPr>
          <w:b/>
          <w:color w:val="1B365D"/>
        </w:rPr>
        <w:t xml:space="preserve">Éditeur de Plan d'Enceinte 2D : </w:t>
      </w:r>
      <w:r>
        <w:t>Création fonctionnelle et représentation graphique interactive 2D des stades et enceintes (bâtiments, portes, accès, tribunes, zones, secteurs, rangs et sièges).</w:t>
      </w:r>
    </w:p>
    <w:p>
      <w:pPr>
        <w:pStyle w:val="ListBullet"/>
        <w:spacing w:before="0" w:after="60" w:line="276" w:lineRule="auto"/>
      </w:pPr>
      <w:r>
        <w:rPr>
          <w:b/>
          <w:color w:val="1B365D"/>
        </w:rPr>
        <w:t xml:space="preserve">Numérotation &amp; Sens de Passage : </w:t>
      </w:r>
      <w:r>
        <w:t>Possibilité de numéroter les sièges avec définition automatique du sens de passage de siège à siège.</w:t>
      </w:r>
    </w:p>
    <w:p>
      <w:pPr>
        <w:pStyle w:val="ListBullet"/>
        <w:spacing w:before="0" w:after="60" w:line="276" w:lineRule="auto"/>
      </w:pPr>
      <w:r>
        <w:rPr>
          <w:b/>
          <w:color w:val="1B365D"/>
        </w:rPr>
        <w:t xml:space="preserve">Gestion Événementielle &amp; Tarification : </w:t>
      </w:r>
      <w:r>
        <w:t>Gestion complète des compétitions, événements, équipes, catégories de billets, grille tarifaire dynamique (par place, catégorie de visiteurs, saison, VIP, etc.).</w:t>
      </w:r>
    </w:p>
    <w:p>
      <w:pPr>
        <w:pStyle w:val="ListBullet"/>
        <w:spacing w:before="0" w:after="60" w:line="276" w:lineRule="auto"/>
      </w:pPr>
      <w:r>
        <w:rPr>
          <w:b/>
          <w:color w:val="1B365D"/>
        </w:rPr>
        <w:t xml:space="preserve">Gestion des Abonnements &amp; Packs : </w:t>
      </w:r>
      <w:r>
        <w:t>Création de groupes permanents pour les abonnés (saisonniers, éliminatoires, packs) avec activation spécifique de l'accès aux événements programmés.</w:t>
      </w:r>
    </w:p>
    <w:p>
      <w:pPr>
        <w:pStyle w:val="ListBullet"/>
        <w:spacing w:before="0" w:after="60" w:line="276" w:lineRule="auto"/>
      </w:pPr>
      <w:r>
        <w:rPr>
          <w:b/>
          <w:color w:val="1B365D"/>
        </w:rPr>
        <w:t xml:space="preserve">Canaux de Vente &amp; Quotas : </w:t>
      </w:r>
      <w:r>
        <w:t>Attribution des vendeurs externes à des canaux de vente spécifiques, définition des règles de vente, des horaires d'ouverture/fermeture des billetteries.</w:t>
      </w:r>
    </w:p>
    <w:p>
      <w:pPr>
        <w:pStyle w:val="ListBullet"/>
        <w:spacing w:before="0" w:after="60" w:line="276" w:lineRule="auto"/>
      </w:pPr>
      <w:r>
        <w:rPr>
          <w:b/>
          <w:color w:val="1B365D"/>
        </w:rPr>
        <w:t xml:space="preserve">Contrôle Strict des Quotas : </w:t>
      </w:r>
      <w:r>
        <w:t>Définition dynamique des quotas d'impression par client (ex: maximum 3 billets par acheteur) et quotas affectés à chaque point de vente en temps réel.</w:t>
      </w:r>
    </w:p>
    <w:p>
      <w:pPr>
        <w:pStyle w:val="ListBullet"/>
        <w:spacing w:before="0" w:after="60" w:line="276" w:lineRule="auto"/>
      </w:pPr>
      <w:r>
        <w:rPr>
          <w:b/>
          <w:color w:val="1B365D"/>
        </w:rPr>
        <w:t xml:space="preserve">Conception Visuelle des Billets : </w:t>
      </w:r>
      <w:r>
        <w:t>Studio de création graphique de la charte visuelle des billets thermiques, e-tickets PDF et badges d'accréditation.</w:t>
      </w:r>
    </w:p>
    <w:p>
      <w:pPr>
        <w:pStyle w:val="ListBullet"/>
        <w:spacing w:before="0" w:after="60" w:line="276" w:lineRule="auto"/>
      </w:pPr>
      <w:r>
        <w:rPr>
          <w:b/>
          <w:color w:val="1B365D"/>
        </w:rPr>
        <w:t xml:space="preserve">Conventions &amp; Annulations : </w:t>
      </w:r>
      <w:r>
        <w:t>Modules de réservation de groupe, gestion des conventions d'entreprises, réimpression de commandes et gestion des annulations.</w:t>
      </w:r>
    </w:p>
    <w:p>
      <w:pPr>
        <w:keepNext/>
        <w:spacing w:before="280" w:after="120"/>
      </w:pPr>
      <w:r>
        <w:rPr>
          <w:b/>
          <w:color w:val="D97706"/>
          <w:sz w:val="26"/>
        </w:rPr>
        <w:t>3.2 Module E-Ticket Pay — Vente, Cashless &amp; E-Commerce</w:t>
      </w:r>
    </w:p>
    <w:p>
      <w:pPr>
        <w:spacing w:before="0" w:after="100" w:line="276" w:lineRule="auto"/>
      </w:pPr>
      <w:r>
        <w:rPr>
          <w:i w:val="0"/>
        </w:rPr>
        <w:t>Le module E-Ticket Pay offre une solution intégrée pour dématérialiser les transactions et fluidifier les ventes :</w:t>
      </w:r>
    </w:p>
    <w:p>
      <w:pPr>
        <w:pStyle w:val="ListBullet"/>
        <w:spacing w:before="0" w:after="60" w:line="276" w:lineRule="auto"/>
      </w:pPr>
      <w:r>
        <w:rPr>
          <w:b/>
          <w:color w:val="1B365D"/>
        </w:rPr>
        <w:t xml:space="preserve">Vente en Ligne E-Commerce : </w:t>
      </w:r>
      <w:r>
        <w:t>Intégration transparente sur le site web officiel en tant que boutique en ligne ou site de billetterie indépendant.</w:t>
      </w:r>
    </w:p>
    <w:p>
      <w:pPr>
        <w:pStyle w:val="ListBullet"/>
        <w:spacing w:before="0" w:after="60" w:line="276" w:lineRule="auto"/>
      </w:pPr>
      <w:r>
        <w:rPr>
          <w:b/>
          <w:color w:val="1B365D"/>
        </w:rPr>
        <w:t xml:space="preserve">Guichet POS Tactile Express : </w:t>
      </w:r>
      <w:r>
        <w:t>Interface ultra-ergonomique adaptée aux écrans tactiles des guichets, permettant d'effectuer la vente physique en 3 clics seulement.</w:t>
      </w:r>
    </w:p>
    <w:p>
      <w:pPr>
        <w:pStyle w:val="ListBullet"/>
        <w:spacing w:before="0" w:after="60" w:line="276" w:lineRule="auto"/>
      </w:pPr>
      <w:r>
        <w:rPr>
          <w:b/>
          <w:color w:val="1B365D"/>
        </w:rPr>
        <w:t xml:space="preserve">Module Cashless &amp; Rechargement : </w:t>
      </w:r>
      <w:r>
        <w:t>Système de paiement sans contact (Cashless) permettant le rechargement de compte en ligne ou aux guichets, l'appairage direct du solde avec le billet/badge dès l'entrée.</w:t>
      </w:r>
    </w:p>
    <w:p>
      <w:pPr>
        <w:pStyle w:val="ListBullet"/>
        <w:spacing w:before="0" w:after="60" w:line="276" w:lineRule="auto"/>
      </w:pPr>
      <w:r>
        <w:rPr>
          <w:b/>
          <w:color w:val="1B365D"/>
        </w:rPr>
        <w:t xml:space="preserve">Enregistrement &amp; Repérage des Sièges : </w:t>
      </w:r>
      <w:r>
        <w:t>Permet aux spectateurs d'enregistrer et de visualiser la géolocalisation exacte de leur siège sur une carte interactive 2D sur le navigateur de leur mobile.</w:t>
      </w:r>
    </w:p>
    <w:p>
      <w:pPr>
        <w:pStyle w:val="ListBullet"/>
        <w:spacing w:before="0" w:after="60" w:line="276" w:lineRule="auto"/>
      </w:pPr>
      <w:r>
        <w:rPr>
          <w:b/>
          <w:color w:val="1B365D"/>
        </w:rPr>
        <w:t xml:space="preserve">Vouchers &amp; Précommandes : </w:t>
      </w:r>
      <w:r>
        <w:t>Gestion des bons d'achat, des coupons de réduction, des prestations VIP et du catering précommandé.</w:t>
      </w:r>
    </w:p>
    <w:p>
      <w:pPr>
        <w:pStyle w:val="ListBullet"/>
        <w:spacing w:before="0" w:after="60" w:line="276" w:lineRule="auto"/>
      </w:pPr>
      <w:r>
        <w:rPr>
          <w:b/>
          <w:color w:val="1B365D"/>
        </w:rPr>
        <w:t xml:space="preserve">Espace Client &amp; Marketing : </w:t>
      </w:r>
      <w:r>
        <w:t>Création d'un espace personnel pour les participants, collecte des préférences d'achat et envoi de notifications/courriels ciblés.</w:t>
      </w:r>
    </w:p>
    <w:p>
      <w:pPr>
        <w:keepNext/>
        <w:spacing w:before="280" w:after="120"/>
      </w:pPr>
      <w:r>
        <w:rPr>
          <w:b/>
          <w:color w:val="D97706"/>
          <w:sz w:val="26"/>
        </w:rPr>
        <w:t>3.3 Module E-Ticket Report — Smart Reporting &amp; Analytics</w:t>
      </w:r>
    </w:p>
    <w:p>
      <w:pPr>
        <w:spacing w:before="0" w:after="100" w:line="276" w:lineRule="auto"/>
      </w:pPr>
      <w:r>
        <w:rPr>
          <w:i w:val="0"/>
        </w:rPr>
        <w:t>Le module E-Ticket Report fournit un pilotage décisionnel en temps réel 24h/24 et 7j/7 :</w:t>
      </w:r>
    </w:p>
    <w:p>
      <w:pPr>
        <w:pStyle w:val="ListBullet"/>
        <w:spacing w:before="0" w:after="60" w:line="276" w:lineRule="auto"/>
      </w:pPr>
      <w:r>
        <w:rPr>
          <w:b/>
          <w:color w:val="1B365D"/>
        </w:rPr>
        <w:t xml:space="preserve">Tableaux de Bord Dynamiques : </w:t>
      </w:r>
      <w:r>
        <w:t>Tableaux de bord graphiques affichant en temps réel la jauge d'occupation globale, le flux de passage par porte et les statistiques de vente par catégorie.</w:t>
      </w:r>
    </w:p>
    <w:p>
      <w:pPr>
        <w:pStyle w:val="ListBullet"/>
        <w:spacing w:before="0" w:after="60" w:line="276" w:lineRule="auto"/>
      </w:pPr>
      <w:r>
        <w:rPr>
          <w:b/>
          <w:color w:val="1B365D"/>
        </w:rPr>
        <w:t xml:space="preserve">Analyse Financière &amp; Revenus : </w:t>
      </w:r>
      <w:r>
        <w:t>Visualisation des revenus de billetterie, comparaisons instantanées avec des événements ou périodes antérieures.</w:t>
      </w:r>
    </w:p>
    <w:p>
      <w:pPr>
        <w:pStyle w:val="ListBullet"/>
        <w:spacing w:before="0" w:after="60" w:line="276" w:lineRule="auto"/>
      </w:pPr>
      <w:r>
        <w:rPr>
          <w:b/>
          <w:color w:val="1B365D"/>
        </w:rPr>
        <w:t xml:space="preserve">Analyse Démographique &amp; Client : </w:t>
      </w:r>
      <w:r>
        <w:t>Rapports d'acquisition (URL de référence, canaux marketing), répartition géographique régionale des acheteurs, données démographiques (âge, genre, intérêts).</w:t>
      </w:r>
    </w:p>
    <w:p>
      <w:pPr>
        <w:pStyle w:val="ListBullet"/>
        <w:spacing w:before="0" w:after="60" w:line="276" w:lineRule="auto"/>
      </w:pPr>
      <w:r>
        <w:rPr>
          <w:b/>
          <w:color w:val="1B365D"/>
        </w:rPr>
        <w:t xml:space="preserve">Archivage &amp; Historique : </w:t>
      </w:r>
      <w:r>
        <w:t>Sauvegarde automatique et archivage permanent de l'historique de toutes les éditions, réservations et transactions financières.</w:t>
      </w:r>
    </w:p>
    <w:p>
      <w:pPr>
        <w:pStyle w:val="ListBullet"/>
        <w:spacing w:before="0" w:after="60" w:line="276" w:lineRule="auto"/>
      </w:pPr>
      <w:r>
        <w:rPr>
          <w:b/>
          <w:color w:val="1B365D"/>
        </w:rPr>
        <w:t xml:space="preserve">Multi-Formats d'Exportation : </w:t>
      </w:r>
      <w:r>
        <w:t>Exportation en 1 clic de tous les rapports et listes au format Excel, Word, CSV, PDF, XML, ainsi que sous forme de graphiques visuels.</w:t>
      </w:r>
    </w:p>
    <w:p>
      <w:pPr>
        <w:pStyle w:val="ListBullet"/>
        <w:spacing w:before="0" w:after="60" w:line="276" w:lineRule="auto"/>
      </w:pPr>
      <w:r>
        <w:rPr>
          <w:b/>
          <w:color w:val="1B365D"/>
        </w:rPr>
        <w:t xml:space="preserve">Interface Supervision Mobile : </w:t>
      </w:r>
      <w:r>
        <w:t>Application mobile de supervision en temps réel compatible avec les appareils Android, iOS et macOS pour les responsables de sécurité et organisateurs.</w:t>
      </w:r>
    </w:p>
    <w:p>
      <w:pPr>
        <w:keepNext/>
        <w:spacing w:before="280" w:after="120"/>
      </w:pPr>
      <w:r>
        <w:rPr>
          <w:b/>
          <w:color w:val="D97706"/>
          <w:sz w:val="26"/>
        </w:rPr>
        <w:t>3.4 Spécifications d'Interopérabilité et Normes FIFA Ready</w:t>
      </w:r>
    </w:p>
    <w:p>
      <w:pPr>
        <w:spacing w:before="0" w:after="100" w:line="276" w:lineRule="auto"/>
      </w:pPr>
      <w:r>
        <w:rPr>
          <w:i w:val="0"/>
        </w:rPr>
        <w:t>Pour répondre aux exigences des compétitions internationales organisées sous l'égide de la FIFA (notamment pour le Grand Stade de Casablanca), la solution E-Ticket Pro garantit :</w:t>
      </w:r>
    </w:p>
    <w:p>
      <w:pPr>
        <w:pStyle w:val="ListBullet"/>
        <w:spacing w:before="0" w:after="60" w:line="276" w:lineRule="auto"/>
      </w:pPr>
      <w:r>
        <w:rPr>
          <w:b/>
          <w:color w:val="1B365D"/>
        </w:rPr>
        <w:t xml:space="preserve">API &amp; SDK d'Intégration FIFA : </w:t>
      </w:r>
      <w:r>
        <w:t>Fourniture complète de jeux d'API RESTful et SDK sécurisés pour un couplage natif avec les systèmes de billetterie FIFA Ticketing ou Ticketmaster.</w:t>
      </w:r>
    </w:p>
    <w:p>
      <w:pPr>
        <w:pStyle w:val="ListBullet"/>
        <w:spacing w:before="0" w:after="60" w:line="276" w:lineRule="auto"/>
      </w:pPr>
      <w:r>
        <w:rPr>
          <w:b/>
          <w:color w:val="1B365D"/>
        </w:rPr>
        <w:t xml:space="preserve">Vitesse de Validation &lt; 0,5s : </w:t>
      </w:r>
      <w:r>
        <w:t>Traitement et validation d'un titre d'accès en moins de 0,5 seconde aux obstacles d'entrée pour maintenir un débit optimal aux tourniquets.</w:t>
      </w:r>
    </w:p>
    <w:p>
      <w:pPr>
        <w:pStyle w:val="ListBullet"/>
        <w:spacing w:before="0" w:after="60" w:line="276" w:lineRule="auto"/>
      </w:pPr>
      <w:r>
        <w:rPr>
          <w:b/>
          <w:color w:val="1B365D"/>
        </w:rPr>
        <w:t xml:space="preserve">Multi-Support d'Accès : </w:t>
      </w:r>
      <w:r>
        <w:t>Prise en charge native des codes-barres 1D/2D (imprimés ou sur smartphone), des puces sans contact NFC, ainsi que des portefeuilles virtuels Apple Pay et Google Pay.</w:t>
      </w:r>
    </w:p>
    <w:p>
      <w:pPr>
        <w:pStyle w:val="ListBullet"/>
        <w:spacing w:before="0" w:after="60" w:line="276" w:lineRule="auto"/>
      </w:pPr>
      <w:r>
        <w:rPr>
          <w:b/>
          <w:color w:val="1B365D"/>
        </w:rPr>
        <w:t xml:space="preserve">Gestion des Accréditations : </w:t>
      </w:r>
      <w:r>
        <w:t>Gestion centralisée et transparente des accréditations pour les populations spécifiques (VIP, VVIP, Presse, Bénévoles, Délégations officielles, Staff).</w:t>
      </w:r>
    </w:p>
    <w:p>
      <w:pPr>
        <w:pStyle w:val="ListBullet"/>
        <w:spacing w:before="0" w:after="60" w:line="276" w:lineRule="auto"/>
      </w:pPr>
      <w:r>
        <w:rPr>
          <w:b/>
          <w:color w:val="1B365D"/>
        </w:rPr>
        <w:t xml:space="preserve">Sécurité &amp; Anti-Fraude (Checksum Mode 4) : </w:t>
      </w:r>
      <w:r>
        <w:t>Génération de codes uniques sécurisés infalsifiables intégrant des caractères de Checksum en Mode 4, avec filtrage par liste noire et liste blanche.</w:t>
      </w:r>
    </w:p>
    <w:p>
      <w:pPr>
        <w:pStyle w:val="ListBullet"/>
        <w:spacing w:before="0" w:after="60" w:line="276" w:lineRule="auto"/>
      </w:pPr>
      <w:r>
        <w:rPr>
          <w:b/>
          <w:color w:val="1B365D"/>
        </w:rPr>
        <w:t xml:space="preserve">Monitoring Centralisé des Obstacles : </w:t>
      </w:r>
      <w:r>
        <w:t>Supervision et contrôle centralisé de tous les obstacles physiques (tourniquets, couloirs rapides) directement depuis le poste de sécurité central (PC Sécurité).</w:t>
      </w:r>
    </w:p>
    <w:p>
      <w:pPr>
        <w:keepNext/>
        <w:spacing w:before="360" w:after="160"/>
      </w:pPr>
      <w:r>
        <w:rPr>
          <w:b/>
          <w:color w:val="1B365D"/>
          <w:sz w:val="32"/>
        </w:rPr>
        <w:t>4. SÉCURITÉ ET MATRICE DES RÔLES &amp; PRIVILÈGES</w:t>
      </w:r>
    </w:p>
    <w:p>
      <w:pPr>
        <w:spacing w:before="0" w:after="100" w:line="276" w:lineRule="auto"/>
      </w:pPr>
      <w:r>
        <w:rPr>
          <w:i w:val="0"/>
        </w:rPr>
        <w:t>Le système E-Ticket Pro est conçu sur un modèle d'habilitation basé sur les rôles (RBAC - Role-Based Access Control). Chaque utilisateur créé dans le système se voit attribuer un jeu précis de privilèges.</w:t>
      </w:r>
    </w:p>
    <w:tbl>
      <w:tblPr>
        <w:tblW w:type="auto" w:w="0"/>
        <w:jc w:val="center"/>
        <w:tblLayout w:type="fixed"/>
        <w:tblLook w:firstColumn="1" w:firstRow="1" w:lastColumn="0" w:lastRow="0" w:noHBand="0" w:noVBand="1" w:val="04A0"/>
      </w:tblPr>
      <w:tblGrid>
        <w:gridCol w:w="4680"/>
        <w:gridCol w:w="4680"/>
      </w:tblGrid>
      <w:tr>
        <w:tc>
          <w:tcPr>
            <w:tcW w:type="dxa" w:w="2880"/>
            <w:shd w:val="clear" w:color="auto" w:fill="1B365D"/>
            <w:tcMar>
              <w:top w:w="80" w:type="dxa"/>
              <w:bottom w:w="80" w:type="dxa"/>
              <w:left w:w="100" w:type="dxa"/>
              <w:right w:w="100" w:type="dxa"/>
            </w:tcMar>
          </w:tcPr>
          <w:p>
            <w:r>
              <w:rPr>
                <w:b/>
                <w:color w:val="FFFFFF"/>
              </w:rPr>
              <w:t>Profil Utilisateur / Rôle</w:t>
            </w:r>
          </w:p>
        </w:tc>
        <w:tc>
          <w:tcPr>
            <w:tcW w:type="dxa" w:w="6480"/>
            <w:shd w:val="clear" w:color="auto" w:fill="1B365D"/>
            <w:tcMar>
              <w:top w:w="80" w:type="dxa"/>
              <w:bottom w:w="80" w:type="dxa"/>
              <w:left w:w="100" w:type="dxa"/>
              <w:right w:w="100" w:type="dxa"/>
            </w:tcMar>
          </w:tcPr>
          <w:p>
            <w:r>
              <w:rPr>
                <w:b/>
                <w:color w:val="FFFFFF"/>
              </w:rPr>
              <w:t>Périmètre des Droits et Privilèges Accordés</w:t>
            </w:r>
          </w:p>
        </w:tc>
      </w:tr>
      <w:tr>
        <w:tc>
          <w:tcPr>
            <w:tcW w:type="dxa" w:w="2880"/>
            <w:shd w:val="clear" w:color="auto" w:fill="F8FAFC"/>
            <w:tcMar>
              <w:top w:w="80" w:type="dxa"/>
              <w:bottom w:w="80" w:type="dxa"/>
              <w:left w:w="100" w:type="dxa"/>
              <w:right w:w="100" w:type="dxa"/>
            </w:tcMar>
          </w:tcPr>
          <w:p>
            <w:r>
              <w:rPr>
                <w:b/>
                <w:color w:val="1B365D"/>
                <w:sz w:val="19"/>
              </w:rPr>
              <w:t>Super Administrateur</w:t>
            </w:r>
          </w:p>
        </w:tc>
        <w:tc>
          <w:tcPr>
            <w:tcW w:type="dxa" w:w="6480"/>
            <w:shd w:val="clear" w:color="auto" w:fill="F8FAFC"/>
            <w:tcMar>
              <w:top w:w="80" w:type="dxa"/>
              <w:bottom w:w="80" w:type="dxa"/>
              <w:left w:w="100" w:type="dxa"/>
              <w:right w:w="100" w:type="dxa"/>
            </w:tcMar>
          </w:tcPr>
          <w:p>
            <w:r>
              <w:rPr>
                <w:sz w:val="19"/>
              </w:rPr>
              <w:t>Accès total au système, gestion de la matrice des rôles, configuration serveur, audits de sécurité et logs globaux.</w:t>
            </w:r>
          </w:p>
        </w:tc>
      </w:tr>
      <w:tr>
        <w:tc>
          <w:tcPr>
            <w:tcW w:type="dxa" w:w="2880"/>
            <w:shd w:val="clear" w:color="auto" w:fill="FFFFFF"/>
            <w:tcMar>
              <w:top w:w="80" w:type="dxa"/>
              <w:bottom w:w="80" w:type="dxa"/>
              <w:left w:w="100" w:type="dxa"/>
              <w:right w:w="100" w:type="dxa"/>
            </w:tcMar>
          </w:tcPr>
          <w:p>
            <w:r>
              <w:rPr>
                <w:b/>
                <w:color w:val="1B365D"/>
                <w:sz w:val="19"/>
              </w:rPr>
              <w:t>Administrateur Stade</w:t>
            </w:r>
          </w:p>
        </w:tc>
        <w:tc>
          <w:tcPr>
            <w:tcW w:type="dxa" w:w="6480"/>
            <w:shd w:val="clear" w:color="auto" w:fill="FFFFFF"/>
            <w:tcMar>
              <w:top w:w="80" w:type="dxa"/>
              <w:bottom w:w="80" w:type="dxa"/>
              <w:left w:w="100" w:type="dxa"/>
              <w:right w:w="100" w:type="dxa"/>
            </w:tcMar>
          </w:tcPr>
          <w:p>
            <w:r>
              <w:rPr>
                <w:sz w:val="19"/>
              </w:rPr>
              <w:t>Création des enceintes, plans 2D, gestion des compétitions, événements, grille tarifaire et affectation des quotas.</w:t>
            </w:r>
          </w:p>
        </w:tc>
      </w:tr>
      <w:tr>
        <w:tc>
          <w:tcPr>
            <w:tcW w:type="dxa" w:w="2880"/>
            <w:shd w:val="clear" w:color="auto" w:fill="F8FAFC"/>
            <w:tcMar>
              <w:top w:w="80" w:type="dxa"/>
              <w:bottom w:w="80" w:type="dxa"/>
              <w:left w:w="100" w:type="dxa"/>
              <w:right w:w="100" w:type="dxa"/>
            </w:tcMar>
          </w:tcPr>
          <w:p>
            <w:r>
              <w:rPr>
                <w:b/>
                <w:color w:val="1B365D"/>
                <w:sz w:val="19"/>
              </w:rPr>
              <w:t>Superviseur PC Sécurité</w:t>
            </w:r>
          </w:p>
        </w:tc>
        <w:tc>
          <w:tcPr>
            <w:tcW w:type="dxa" w:w="6480"/>
            <w:shd w:val="clear" w:color="auto" w:fill="F8FAFC"/>
            <w:tcMar>
              <w:top w:w="80" w:type="dxa"/>
              <w:bottom w:w="80" w:type="dxa"/>
              <w:left w:w="100" w:type="dxa"/>
              <w:right w:w="100" w:type="dxa"/>
            </w:tcMar>
          </w:tcPr>
          <w:p>
            <w:r>
              <w:rPr>
                <w:sz w:val="19"/>
              </w:rPr>
              <w:t>Supervision en temps réel des jauges, monitoring graphique des obstacles d'accès, gestion des listes noires/blanches et alertes d'intrusion.</w:t>
            </w:r>
          </w:p>
        </w:tc>
      </w:tr>
      <w:tr>
        <w:tc>
          <w:tcPr>
            <w:tcW w:type="dxa" w:w="2880"/>
            <w:shd w:val="clear" w:color="auto" w:fill="FFFFFF"/>
            <w:tcMar>
              <w:top w:w="80" w:type="dxa"/>
              <w:bottom w:w="80" w:type="dxa"/>
              <w:left w:w="100" w:type="dxa"/>
              <w:right w:w="100" w:type="dxa"/>
            </w:tcMar>
          </w:tcPr>
          <w:p>
            <w:r>
              <w:rPr>
                <w:b/>
                <w:color w:val="1B365D"/>
                <w:sz w:val="19"/>
              </w:rPr>
              <w:t>Opérateur Guichet / Caissier</w:t>
            </w:r>
          </w:p>
        </w:tc>
        <w:tc>
          <w:tcPr>
            <w:tcW w:type="dxa" w:w="6480"/>
            <w:shd w:val="clear" w:color="auto" w:fill="FFFFFF"/>
            <w:tcMar>
              <w:top w:w="80" w:type="dxa"/>
              <w:bottom w:w="80" w:type="dxa"/>
              <w:left w:w="100" w:type="dxa"/>
              <w:right w:w="100" w:type="dxa"/>
            </w:tcMar>
          </w:tcPr>
          <w:p>
            <w:r>
              <w:rPr>
                <w:sz w:val="19"/>
              </w:rPr>
              <w:t>Vente rapide de billets (3 clics), encaissement Cashless/CB/Espèces, réimpression autorisée de commandes, édition de factures.</w:t>
            </w:r>
          </w:p>
        </w:tc>
      </w:tr>
      <w:tr>
        <w:tc>
          <w:tcPr>
            <w:tcW w:type="dxa" w:w="2880"/>
            <w:shd w:val="clear" w:color="auto" w:fill="F8FAFC"/>
            <w:tcMar>
              <w:top w:w="80" w:type="dxa"/>
              <w:bottom w:w="80" w:type="dxa"/>
              <w:left w:w="100" w:type="dxa"/>
              <w:right w:w="100" w:type="dxa"/>
            </w:tcMar>
          </w:tcPr>
          <w:p>
            <w:r>
              <w:rPr>
                <w:b/>
                <w:color w:val="1B365D"/>
                <w:sz w:val="19"/>
              </w:rPr>
              <w:t>Agent de Contrôle (PDA)</w:t>
            </w:r>
          </w:p>
        </w:tc>
        <w:tc>
          <w:tcPr>
            <w:tcW w:type="dxa" w:w="6480"/>
            <w:shd w:val="clear" w:color="auto" w:fill="F8FAFC"/>
            <w:tcMar>
              <w:top w:w="80" w:type="dxa"/>
              <w:bottom w:w="80" w:type="dxa"/>
              <w:left w:w="100" w:type="dxa"/>
              <w:right w:w="100" w:type="dxa"/>
            </w:tcMar>
          </w:tcPr>
          <w:p>
            <w:r>
              <w:rPr>
                <w:sz w:val="19"/>
              </w:rPr>
              <w:t>Validation des titres d'accès aux portes via scanner/NFC, contrôle des accréditations, basculement automatique en mode déconnecté.</w:t>
            </w:r>
          </w:p>
        </w:tc>
      </w:tr>
      <w:tr>
        <w:tc>
          <w:tcPr>
            <w:tcW w:type="dxa" w:w="2880"/>
            <w:shd w:val="clear" w:color="auto" w:fill="FFFFFF"/>
            <w:tcMar>
              <w:top w:w="80" w:type="dxa"/>
              <w:bottom w:w="80" w:type="dxa"/>
              <w:left w:w="100" w:type="dxa"/>
              <w:right w:w="100" w:type="dxa"/>
            </w:tcMar>
          </w:tcPr>
          <w:p>
            <w:r>
              <w:rPr>
                <w:b/>
                <w:color w:val="1B365D"/>
                <w:sz w:val="19"/>
              </w:rPr>
              <w:t>Client / Participant</w:t>
            </w:r>
          </w:p>
        </w:tc>
        <w:tc>
          <w:tcPr>
            <w:tcW w:type="dxa" w:w="6480"/>
            <w:shd w:val="clear" w:color="auto" w:fill="FFFFFF"/>
            <w:tcMar>
              <w:top w:w="80" w:type="dxa"/>
              <w:bottom w:w="80" w:type="dxa"/>
              <w:left w:w="100" w:type="dxa"/>
              <w:right w:w="100" w:type="dxa"/>
            </w:tcMar>
          </w:tcPr>
          <w:p>
            <w:r>
              <w:rPr>
                <w:sz w:val="19"/>
              </w:rPr>
              <w:t>Consultation des événements, achat en ligne, rechargement du compte Cashless, consultation du repérage 2D du siège, historique des billets.</w:t>
            </w:r>
          </w:p>
        </w:tc>
      </w:tr>
    </w:tbl>
    <w:p>
      <w:pPr>
        <w:keepNext/>
        <w:spacing w:before="360" w:after="160"/>
      </w:pPr>
      <w:r>
        <w:rPr>
          <w:b/>
          <w:color w:val="1B365D"/>
          <w:sz w:val="32"/>
        </w:rPr>
        <w:t>5. EXIGENCES NON-FONCTIONNELLES &amp; QUALITÉ DE SERVICE (SLA)</w:t>
      </w:r>
    </w:p>
    <w:p>
      <w:pPr>
        <w:pStyle w:val="ListBullet"/>
        <w:spacing w:before="0" w:after="60" w:line="276" w:lineRule="auto"/>
      </w:pPr>
      <w:r>
        <w:rPr>
          <w:b/>
          <w:color w:val="1B365D"/>
        </w:rPr>
        <w:t xml:space="preserve">Haute Disponibilité (99.99%) : </w:t>
      </w:r>
      <w:r>
        <w:t>Taux de disponibilité globale du système central supérieur ou égal à 99,99% pendant les événements.</w:t>
      </w:r>
    </w:p>
    <w:p>
      <w:pPr>
        <w:pStyle w:val="ListBullet"/>
        <w:spacing w:before="0" w:after="60" w:line="276" w:lineRule="auto"/>
      </w:pPr>
      <w:r>
        <w:rPr>
          <w:b/>
          <w:color w:val="1B365D"/>
        </w:rPr>
        <w:t xml:space="preserve">Performance &amp; Temps de Réponse : </w:t>
      </w:r>
      <w:r>
        <w:t>Temps de validation d'un billet aux obstacles physiques &lt;= 0.5 sec ; temps d'affichage des tableaux de bord &lt; 1.0 sec.</w:t>
      </w:r>
    </w:p>
    <w:p>
      <w:pPr>
        <w:pStyle w:val="ListBullet"/>
        <w:spacing w:before="0" w:after="60" w:line="276" w:lineRule="auto"/>
      </w:pPr>
      <w:r>
        <w:rPr>
          <w:b/>
          <w:color w:val="1B365D"/>
        </w:rPr>
        <w:t xml:space="preserve">Sauvegarde &amp; Intégrité : </w:t>
      </w:r>
      <w:r>
        <w:t>Sauvegarde continue des bases de données de billetterie avec réplication synchrone sur serveur de backup local et cloud.</w:t>
      </w:r>
    </w:p>
    <w:p>
      <w:pPr>
        <w:pStyle w:val="ListBullet"/>
        <w:spacing w:before="0" w:after="60" w:line="276" w:lineRule="auto"/>
      </w:pPr>
      <w:r>
        <w:rPr>
          <w:b/>
          <w:color w:val="1B365D"/>
        </w:rPr>
        <w:t xml:space="preserve">Protection des Données (RGPD) : </w:t>
      </w:r>
      <w:r>
        <w:t>Conformité aux recommandations RGPD (protection des données personnelles des acheteurs) et ISO 27001.</w:t>
      </w:r>
    </w:p>
    <w:p>
      <w:pPr>
        <w:keepNext/>
        <w:spacing w:before="360" w:after="160"/>
      </w:pPr>
      <w:r>
        <w:rPr>
          <w:b/>
          <w:color w:val="1B365D"/>
          <w:sz w:val="32"/>
        </w:rPr>
        <w:t>6. LIVRABLES DU PROJET &amp; ENGAGEMENTS DE LIVRAISON</w:t>
      </w:r>
    </w:p>
    <w:p>
      <w:pPr>
        <w:spacing w:before="0" w:after="100" w:line="276" w:lineRule="auto"/>
      </w:pPr>
      <w:r>
        <w:rPr>
          <w:i w:val="0"/>
        </w:rPr>
        <w:t>Dans le cadre du marché, SOMAYAR S.A.R.L. AU s'engage à fournir les livrables suivants :</w:t>
      </w:r>
    </w:p>
    <w:p>
      <w:pPr>
        <w:pStyle w:val="ListBullet"/>
        <w:spacing w:before="0" w:after="60" w:line="276" w:lineRule="auto"/>
      </w:pPr>
      <w:r>
        <w:rPr>
          <w:b/>
          <w:color w:val="1B365D"/>
        </w:rPr>
        <w:t xml:space="preserve">Infrastructure Matérielle : </w:t>
      </w:r>
      <w:r>
        <w:t>Serveur rackable Dell PowerEdge R360 configuré, tourniquets/obstacles physiques, terminaux mobiles PDA, caisses tactiles POS et imprimantes thermiques.</w:t>
      </w:r>
    </w:p>
    <w:p>
      <w:pPr>
        <w:pStyle w:val="ListBullet"/>
        <w:spacing w:before="0" w:after="60" w:line="276" w:lineRule="auto"/>
      </w:pPr>
      <w:r>
        <w:rPr>
          <w:b/>
          <w:color w:val="1B365D"/>
        </w:rPr>
        <w:t xml:space="preserve">Suite Logicielle &amp; Licences : </w:t>
      </w:r>
      <w:r>
        <w:t>Licences d'utilisation des modules E-Ticket Pro, E-Ticket Pay, E-Ticket Report, APIs/SDKs d'interfaçage FIFA Ticketing.</w:t>
      </w:r>
    </w:p>
    <w:p>
      <w:pPr>
        <w:pStyle w:val="ListBullet"/>
        <w:spacing w:before="0" w:after="60" w:line="276" w:lineRule="auto"/>
      </w:pPr>
      <w:r>
        <w:rPr>
          <w:b/>
          <w:color w:val="1B365D"/>
        </w:rPr>
        <w:t xml:space="preserve">Documentation Technique &amp; Fonctionnelle : </w:t>
      </w:r>
      <w:r>
        <w:t>Manuel d'exploitation réseau et système, guide d'utilisation des interfaces d'administration, guichets et PDA, documentation technique des APIs.</w:t>
      </w:r>
    </w:p>
    <w:p>
      <w:pPr>
        <w:pStyle w:val="ListBullet"/>
        <w:spacing w:before="0" w:after="60" w:line="276" w:lineRule="auto"/>
      </w:pPr>
      <w:r>
        <w:rPr>
          <w:b/>
          <w:color w:val="1B365D"/>
        </w:rPr>
        <w:t xml:space="preserve">Attestation de Conformité FIFA : </w:t>
      </w:r>
      <w:r>
        <w:t>Attestation officielle de conformité aux exigences FIFA Ready et rapport d'essais en charge de validation à 0,5s/billet.</w:t>
      </w:r>
    </w:p>
    <w:p>
      <w:pPr>
        <w:pStyle w:val="ListBullet"/>
        <w:spacing w:before="0" w:after="60" w:line="276" w:lineRule="auto"/>
      </w:pPr>
      <w:r>
        <w:rPr>
          <w:b/>
          <w:color w:val="1B365D"/>
        </w:rPr>
        <w:t xml:space="preserve">Plan de Formation &amp; Transfert de Compétences : </w:t>
      </w:r>
      <w:r>
        <w:t>Sessions de formation pour les administrateurs système, les superviseurs du PC Sécurité, les caissiers et les agents de contrôle aux accès.</w:t>
      </w:r>
    </w:p>
    <w:p>
      <w:pPr>
        <w:keepNext/>
        <w:spacing w:before="280" w:after="120"/>
      </w:pPr>
      <w:r>
        <w:rPr>
          <w:b/>
          <w:color w:val="D97706"/>
          <w:sz w:val="26"/>
        </w:rPr>
        <w:t>Validation et Approbation du Cahier des Charges</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F8FAFC"/>
            <w:tcMar>
              <w:top w:w="120" w:type="dxa"/>
              <w:bottom w:w="120" w:type="dxa"/>
              <w:left w:w="120" w:type="dxa"/>
              <w:right w:w="120" w:type="dxa"/>
            </w:tcMar>
          </w:tcPr>
          <w:p>
            <w:r>
              <w:rPr>
                <w:sz w:val="19"/>
              </w:rPr>
              <w:t>Pour le Maître d'Ouvrage / Client :</w:t>
              <w:br/>
              <w:br/>
              <w:t>___________________________________</w:t>
              <w:br/>
              <w:t>Date &amp; Signature</w:t>
            </w:r>
          </w:p>
        </w:tc>
        <w:tc>
          <w:tcPr>
            <w:tcW w:type="dxa" w:w="4680"/>
            <w:shd w:val="clear" w:color="auto" w:fill="F8FAFC"/>
            <w:tcMar>
              <w:top w:w="120" w:type="dxa"/>
              <w:bottom w:w="120" w:type="dxa"/>
              <w:left w:w="120" w:type="dxa"/>
              <w:right w:w="120" w:type="dxa"/>
            </w:tcMar>
          </w:tcPr>
          <w:p>
            <w:r>
              <w:rPr>
                <w:sz w:val="19"/>
              </w:rPr>
              <w:t>Pour le Prestataire (SOMAYAR S.A.R.L. AU) :</w:t>
              <w:br/>
              <w:br/>
              <w:t>___________________________________</w:t>
              <w:br/>
              <w:t>Direction Technique E-Ticket Pro</w:t>
            </w:r>
          </w:p>
        </w:tc>
      </w:tr>
      <w:tr>
        <w:tc>
          <w:tcPr>
            <w:tcW w:type="dxa" w:w="4680"/>
          </w:tcPr>
          <w:p/>
        </w:tc>
        <w:tc>
          <w:tcPr>
            <w:tcW w:type="dxa" w:w="4680"/>
          </w:tcP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 xml:space="preserve">Somayar S.A.R.L. AU — Project FIFA Ready / Grand Stade de Casablanca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CAHIER DES CHARGES — SOLUTION E-TICKET PRO | CONFIDENTIEL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232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