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r>
        <w:rPr>
          <w:b/>
          <w:color w:val="D97706"/>
          <w:sz w:val="22"/>
        </w:rPr>
        <w:t>SOMAYAR S.A.R.L. AU — ARCHITECTURE &amp; INGENIERIE LOGICIELLE</w:t>
      </w:r>
    </w:p>
    <w:p>
      <w:pPr>
        <w:spacing w:before="400" w:after="200"/>
      </w:pPr>
      <w:r>
        <w:rPr>
          <w:b/>
          <w:color w:val="1B365D"/>
          <w:sz w:val="44"/>
        </w:rPr>
        <w:t>DOSSIER DE CONCEPTION TECHNIQUE : STACK, MODÉLISATION DES DONNÉES &amp; DÉCOUPAGE DES APIS</w:t>
      </w:r>
    </w:p>
    <w:p>
      <w:pPr>
        <w:spacing w:after="600"/>
      </w:pPr>
      <w:r>
        <w:rPr>
          <w:i/>
          <w:color w:val="4A5568"/>
          <w:sz w:val="26"/>
        </w:rPr>
        <w:t>Spécifications architecturales de production pour le système global de billetterie, contrôle d'accès et cashless E-Ticket Pro (Normes FIFA Ready / Grand Stade de Casablanca)</w:t>
      </w:r>
    </w:p>
    <w:tbl>
      <w:tblPr>
        <w:tblW w:type="auto" w:w="0"/>
        <w:jc w:val="center"/>
        <w:tblLayout w:type="fixed"/>
        <w:tblLook w:firstColumn="1" w:firstRow="1" w:lastColumn="0" w:lastRow="0" w:noHBand="0" w:noVBand="1" w:val="04A0"/>
      </w:tblPr>
      <w:tblGrid>
        <w:gridCol w:w="4680"/>
        <w:gridCol w:w="4680"/>
      </w:tblGrid>
      <w:tr>
        <w:tc>
          <w:tcPr>
            <w:tcW w:type="dxa" w:w="3312"/>
            <w:shd w:val="clear" w:color="auto" w:fill="F1F5F9"/>
            <w:tcMar>
              <w:top w:w="80" w:type="dxa"/>
              <w:bottom w:w="80" w:type="dxa"/>
              <w:left w:w="100" w:type="dxa"/>
              <w:right w:w="100" w:type="dxa"/>
            </w:tcMar>
          </w:tcPr>
          <w:p>
            <w:r>
              <w:rPr>
                <w:b/>
                <w:color w:val="1B365D"/>
                <w:sz w:val="19"/>
              </w:rPr>
              <w:t>Projet / Marché</w:t>
            </w:r>
          </w:p>
        </w:tc>
        <w:tc>
          <w:tcPr>
            <w:tcW w:type="dxa" w:w="6048"/>
            <w:shd w:val="clear" w:color="auto" w:fill="FFFFFF"/>
            <w:tcMar>
              <w:top w:w="80" w:type="dxa"/>
              <w:bottom w:w="80" w:type="dxa"/>
              <w:left w:w="100" w:type="dxa"/>
              <w:right w:w="100" w:type="dxa"/>
            </w:tcMar>
          </w:tcPr>
          <w:p>
            <w:r>
              <w:rPr>
                <w:sz w:val="19"/>
              </w:rPr>
              <w:t>Système de Billetterie &amp; Accès — Grand Stade de Casablanca (AO N° 02/2026/GSC)</w:t>
            </w:r>
          </w:p>
        </w:tc>
      </w:tr>
      <w:tr>
        <w:tc>
          <w:tcPr>
            <w:tcW w:type="dxa" w:w="3312"/>
            <w:shd w:val="clear" w:color="auto" w:fill="F1F5F9"/>
            <w:tcMar>
              <w:top w:w="80" w:type="dxa"/>
              <w:bottom w:w="80" w:type="dxa"/>
              <w:left w:w="100" w:type="dxa"/>
              <w:right w:w="100" w:type="dxa"/>
            </w:tcMar>
          </w:tcPr>
          <w:p>
            <w:r>
              <w:rPr>
                <w:b/>
                <w:color w:val="1B365D"/>
                <w:sz w:val="19"/>
              </w:rPr>
              <w:t>Nature du Document</w:t>
            </w:r>
          </w:p>
        </w:tc>
        <w:tc>
          <w:tcPr>
            <w:tcW w:type="dxa" w:w="6048"/>
            <w:shd w:val="clear" w:color="auto" w:fill="FFFFFF"/>
            <w:tcMar>
              <w:top w:w="80" w:type="dxa"/>
              <w:bottom w:w="80" w:type="dxa"/>
              <w:left w:w="100" w:type="dxa"/>
              <w:right w:w="100" w:type="dxa"/>
            </w:tcMar>
          </w:tcPr>
          <w:p>
            <w:r>
              <w:rPr>
                <w:sz w:val="19"/>
              </w:rPr>
              <w:t>Dossier de Conception Technique (DCT) &amp; Spécifications des APIs</w:t>
            </w:r>
          </w:p>
        </w:tc>
      </w:tr>
      <w:tr>
        <w:tc>
          <w:tcPr>
            <w:tcW w:type="dxa" w:w="3312"/>
            <w:shd w:val="clear" w:color="auto" w:fill="F1F5F9"/>
            <w:tcMar>
              <w:top w:w="80" w:type="dxa"/>
              <w:bottom w:w="80" w:type="dxa"/>
              <w:left w:w="100" w:type="dxa"/>
              <w:right w:w="100" w:type="dxa"/>
            </w:tcMar>
          </w:tcPr>
          <w:p>
            <w:r>
              <w:rPr>
                <w:b/>
                <w:color w:val="1B365D"/>
                <w:sz w:val="19"/>
              </w:rPr>
              <w:t>Stack Cible</w:t>
            </w:r>
          </w:p>
        </w:tc>
        <w:tc>
          <w:tcPr>
            <w:tcW w:type="dxa" w:w="6048"/>
            <w:shd w:val="clear" w:color="auto" w:fill="FFFFFF"/>
            <w:tcMar>
              <w:top w:w="80" w:type="dxa"/>
              <w:bottom w:w="80" w:type="dxa"/>
              <w:left w:w="100" w:type="dxa"/>
              <w:right w:w="100" w:type="dxa"/>
            </w:tcMar>
          </w:tcPr>
          <w:p>
            <w:r>
              <w:rPr>
                <w:sz w:val="19"/>
              </w:rPr>
              <w:t>Next.js 14, NestJS / Go, PostgreSQL 16, Redis Cluster, gRPC, Node Edge Dell R360</w:t>
            </w:r>
          </w:p>
        </w:tc>
      </w:tr>
      <w:tr>
        <w:tc>
          <w:tcPr>
            <w:tcW w:type="dxa" w:w="3312"/>
            <w:shd w:val="clear" w:color="auto" w:fill="F1F5F9"/>
            <w:tcMar>
              <w:top w:w="80" w:type="dxa"/>
              <w:bottom w:w="80" w:type="dxa"/>
              <w:left w:w="100" w:type="dxa"/>
              <w:right w:w="100" w:type="dxa"/>
            </w:tcMar>
          </w:tcPr>
          <w:p>
            <w:r>
              <w:rPr>
                <w:b/>
                <w:color w:val="1B365D"/>
                <w:sz w:val="19"/>
              </w:rPr>
              <w:t>Auteur &amp; Intégrateur</w:t>
            </w:r>
          </w:p>
        </w:tc>
        <w:tc>
          <w:tcPr>
            <w:tcW w:type="dxa" w:w="6048"/>
            <w:shd w:val="clear" w:color="auto" w:fill="FFFFFF"/>
            <w:tcMar>
              <w:top w:w="80" w:type="dxa"/>
              <w:bottom w:w="80" w:type="dxa"/>
              <w:left w:w="100" w:type="dxa"/>
              <w:right w:w="100" w:type="dxa"/>
            </w:tcMar>
          </w:tcPr>
          <w:p>
            <w:r>
              <w:rPr>
                <w:sz w:val="19"/>
              </w:rPr>
              <w:t>SOMAYAR S.A.R.L. AU — Direction Technique &amp; R&amp;D</w:t>
            </w:r>
          </w:p>
        </w:tc>
      </w:tr>
      <w:tr>
        <w:tc>
          <w:tcPr>
            <w:tcW w:type="dxa" w:w="3312"/>
            <w:shd w:val="clear" w:color="auto" w:fill="F1F5F9"/>
            <w:tcMar>
              <w:top w:w="80" w:type="dxa"/>
              <w:bottom w:w="80" w:type="dxa"/>
              <w:left w:w="100" w:type="dxa"/>
              <w:right w:w="100" w:type="dxa"/>
            </w:tcMar>
          </w:tcPr>
          <w:p>
            <w:r>
              <w:rPr>
                <w:b/>
                <w:color w:val="1B365D"/>
                <w:sz w:val="19"/>
              </w:rPr>
              <w:t>Date &amp; Version</w:t>
            </w:r>
          </w:p>
        </w:tc>
        <w:tc>
          <w:tcPr>
            <w:tcW w:type="dxa" w:w="6048"/>
            <w:shd w:val="clear" w:color="auto" w:fill="FFFFFF"/>
            <w:tcMar>
              <w:top w:w="80" w:type="dxa"/>
              <w:bottom w:w="80" w:type="dxa"/>
              <w:left w:w="100" w:type="dxa"/>
              <w:right w:w="100" w:type="dxa"/>
            </w:tcMar>
          </w:tcPr>
          <w:p>
            <w:r>
              <w:rPr>
                <w:sz w:val="19"/>
              </w:rPr>
              <w:t>Juillet 2026 — Version 1.0 Finale</w:t>
            </w:r>
          </w:p>
        </w:tc>
      </w:tr>
    </w:tbl>
    <w:p>
      <w:r>
        <w:br w:type="page"/>
      </w:r>
    </w:p>
    <w:p>
      <w:pPr>
        <w:keepNext/>
        <w:spacing w:before="360" w:after="160"/>
      </w:pPr>
      <w:r>
        <w:rPr>
          <w:b/>
          <w:color w:val="1B365D"/>
          <w:sz w:val="32"/>
        </w:rPr>
        <w:t>1. CHOIX DE LA STACK TECHNIQUE &amp; JUSTIFICATIONS ARCHITECTURALES</w:t>
      </w:r>
    </w:p>
    <w:p>
      <w:pPr>
        <w:spacing w:before="0" w:after="100" w:line="276" w:lineRule="auto"/>
      </w:pPr>
      <w:r>
        <w:rPr>
          <w:i w:val="0"/>
        </w:rPr>
        <w:t>L'architecture technique de la solution E-Ticket Pro est conçue pour répondre aux contraintes d'infrastructures d'envergure internationale (type Grand Stade de Casablanca : 67 000 places, débit de 1000 spectateurs/minute par porte, normes FIFA Ready). L'architecture adoptée est une topologie Hybride Cloud / Edge Computing.</w:t>
      </w:r>
    </w:p>
    <w:p>
      <w:pPr>
        <w:keepNext/>
        <w:spacing w:before="280" w:after="120"/>
      </w:pPr>
      <w:r>
        <w:rPr>
          <w:b/>
          <w:color w:val="D97706"/>
          <w:sz w:val="26"/>
        </w:rPr>
        <w:t>1.1 Matrice Détaillée des Choix Technologiques &amp; Justifications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B365D"/>
            <w:tcMar>
              <w:top w:w="70" w:type="dxa"/>
              <w:bottom w:w="70" w:type="dxa"/>
              <w:left w:w="80" w:type="dxa"/>
              <w:right w:w="80" w:type="dxa"/>
            </w:tcMar>
          </w:tcPr>
          <w:p>
            <w:r>
              <w:rPr>
                <w:b/>
                <w:color w:val="FFFFFF"/>
              </w:rPr>
              <w:t>Brique Systémique</w:t>
            </w:r>
          </w:p>
        </w:tc>
        <w:tc>
          <w:tcPr>
            <w:tcW w:type="dxa" w:w="2880"/>
            <w:shd w:val="clear" w:color="auto" w:fill="1B365D"/>
            <w:tcMar>
              <w:top w:w="70" w:type="dxa"/>
              <w:bottom w:w="70" w:type="dxa"/>
              <w:left w:w="80" w:type="dxa"/>
              <w:right w:w="80" w:type="dxa"/>
            </w:tcMar>
          </w:tcPr>
          <w:p>
            <w:r>
              <w:rPr>
                <w:b/>
                <w:color w:val="FFFFFF"/>
              </w:rPr>
              <w:t>Technologie Sélectionnée</w:t>
            </w:r>
          </w:p>
        </w:tc>
        <w:tc>
          <w:tcPr>
            <w:tcW w:type="dxa" w:w="3888"/>
            <w:shd w:val="clear" w:color="auto" w:fill="1B365D"/>
            <w:tcMar>
              <w:top w:w="70" w:type="dxa"/>
              <w:bottom w:w="70" w:type="dxa"/>
              <w:left w:w="80" w:type="dxa"/>
              <w:right w:w="80" w:type="dxa"/>
            </w:tcMar>
          </w:tcPr>
          <w:p>
            <w:r>
              <w:rPr>
                <w:b/>
                <w:color w:val="FFFFFF"/>
              </w:rPr>
              <w:t>Justification Technique &amp; Métier</w:t>
            </w:r>
          </w:p>
        </w:tc>
      </w:tr>
      <w:tr>
        <w:tc>
          <w:tcPr>
            <w:tcW w:type="dxa" w:w="2592"/>
            <w:shd w:val="clear" w:color="auto" w:fill="F8FAFC"/>
            <w:tcMar>
              <w:top w:w="70" w:type="dxa"/>
              <w:bottom w:w="70" w:type="dxa"/>
              <w:left w:w="80" w:type="dxa"/>
              <w:right w:w="80" w:type="dxa"/>
            </w:tcMar>
          </w:tcPr>
          <w:p>
            <w:r>
              <w:rPr>
                <w:b/>
                <w:color w:val="1B365D"/>
                <w:sz w:val="18"/>
              </w:rPr>
              <w:t>Frontend Web E-Commerce</w:t>
            </w:r>
          </w:p>
        </w:tc>
        <w:tc>
          <w:tcPr>
            <w:tcW w:type="dxa" w:w="2880"/>
            <w:shd w:val="clear" w:color="auto" w:fill="F8FAFC"/>
            <w:tcMar>
              <w:top w:w="70" w:type="dxa"/>
              <w:bottom w:w="70" w:type="dxa"/>
              <w:left w:w="80" w:type="dxa"/>
              <w:right w:w="80" w:type="dxa"/>
            </w:tcMar>
          </w:tcPr>
          <w:p>
            <w:r>
              <w:rPr>
                <w:sz w:val="18"/>
              </w:rPr>
              <w:t>Next.js 14+ (React, TypeScript, TailwindCSS)</w:t>
            </w:r>
          </w:p>
        </w:tc>
        <w:tc>
          <w:tcPr>
            <w:tcW w:type="dxa" w:w="3888"/>
            <w:shd w:val="clear" w:color="auto" w:fill="F8FAFC"/>
            <w:tcMar>
              <w:top w:w="70" w:type="dxa"/>
              <w:bottom w:w="70" w:type="dxa"/>
              <w:left w:w="80" w:type="dxa"/>
              <w:right w:w="80" w:type="dxa"/>
            </w:tcMar>
          </w:tcPr>
          <w:p>
            <w:r>
              <w:rPr>
                <w:sz w:val="18"/>
              </w:rPr>
              <w:t>Server-Side Rendering (SSR) pour un chargement instantané, rendu SEO parfait, intégration PWA native et support d'affichage réactif sur tous les mobiles.</w:t>
            </w:r>
          </w:p>
        </w:tc>
      </w:tr>
      <w:tr>
        <w:tc>
          <w:tcPr>
            <w:tcW w:type="dxa" w:w="2592"/>
            <w:shd w:val="clear" w:color="auto" w:fill="FFFFFF"/>
            <w:tcMar>
              <w:top w:w="70" w:type="dxa"/>
              <w:bottom w:w="70" w:type="dxa"/>
              <w:left w:w="80" w:type="dxa"/>
              <w:right w:w="80" w:type="dxa"/>
            </w:tcMar>
          </w:tcPr>
          <w:p>
            <w:r>
              <w:rPr>
                <w:b/>
                <w:color w:val="1B365D"/>
                <w:sz w:val="18"/>
              </w:rPr>
              <w:t>Guichet POS (Caisses)</w:t>
            </w:r>
          </w:p>
        </w:tc>
        <w:tc>
          <w:tcPr>
            <w:tcW w:type="dxa" w:w="2880"/>
            <w:shd w:val="clear" w:color="auto" w:fill="FFFFFF"/>
            <w:tcMar>
              <w:top w:w="70" w:type="dxa"/>
              <w:bottom w:w="70" w:type="dxa"/>
              <w:left w:w="80" w:type="dxa"/>
              <w:right w:w="80" w:type="dxa"/>
            </w:tcMar>
          </w:tcPr>
          <w:p>
            <w:r>
              <w:rPr>
                <w:sz w:val="18"/>
              </w:rPr>
              <w:t>Electron / PWA (TypeScript + WebSerial API)</w:t>
            </w:r>
          </w:p>
        </w:tc>
        <w:tc>
          <w:tcPr>
            <w:tcW w:type="dxa" w:w="3888"/>
            <w:shd w:val="clear" w:color="auto" w:fill="FFFFFF"/>
            <w:tcMar>
              <w:top w:w="70" w:type="dxa"/>
              <w:bottom w:w="70" w:type="dxa"/>
              <w:left w:w="80" w:type="dxa"/>
              <w:right w:w="80" w:type="dxa"/>
            </w:tcMar>
          </w:tcPr>
          <w:p>
            <w:r>
              <w:rPr>
                <w:sz w:val="18"/>
              </w:rPr>
              <w:t>Communication directe avec les imprimantes thermiques de billets et lecteurs de cartes via l'API WebSerial, exécutable en mode autonome.</w:t>
            </w:r>
          </w:p>
        </w:tc>
      </w:tr>
      <w:tr>
        <w:tc>
          <w:tcPr>
            <w:tcW w:type="dxa" w:w="2592"/>
            <w:shd w:val="clear" w:color="auto" w:fill="F8FAFC"/>
            <w:tcMar>
              <w:top w:w="70" w:type="dxa"/>
              <w:bottom w:w="70" w:type="dxa"/>
              <w:left w:w="80" w:type="dxa"/>
              <w:right w:w="80" w:type="dxa"/>
            </w:tcMar>
          </w:tcPr>
          <w:p>
            <w:r>
              <w:rPr>
                <w:b/>
                <w:color w:val="1B365D"/>
                <w:sz w:val="18"/>
              </w:rPr>
              <w:t>App Mobile PDA (Contrôle)</w:t>
            </w:r>
          </w:p>
        </w:tc>
        <w:tc>
          <w:tcPr>
            <w:tcW w:type="dxa" w:w="2880"/>
            <w:shd w:val="clear" w:color="auto" w:fill="F8FAFC"/>
            <w:tcMar>
              <w:top w:w="70" w:type="dxa"/>
              <w:bottom w:w="70" w:type="dxa"/>
              <w:left w:w="80" w:type="dxa"/>
              <w:right w:w="80" w:type="dxa"/>
            </w:tcMar>
          </w:tcPr>
          <w:p>
            <w:r>
              <w:rPr>
                <w:sz w:val="18"/>
              </w:rPr>
              <w:t>React Native / Flutter + C++ Native Scanner</w:t>
            </w:r>
          </w:p>
        </w:tc>
        <w:tc>
          <w:tcPr>
            <w:tcW w:type="dxa" w:w="3888"/>
            <w:shd w:val="clear" w:color="auto" w:fill="F8FAFC"/>
            <w:tcMar>
              <w:top w:w="70" w:type="dxa"/>
              <w:bottom w:w="70" w:type="dxa"/>
              <w:left w:w="80" w:type="dxa"/>
              <w:right w:w="80" w:type="dxa"/>
            </w:tcMar>
          </w:tcPr>
          <w:p>
            <w:r>
              <w:rPr>
                <w:sz w:val="18"/>
              </w:rPr>
              <w:t>Performance native sur terminaux portables durcis Android/iOS, gestion ultra-rapide de l'appareil photo/laser et stockage SQLite local déconnecté.</w:t>
            </w:r>
          </w:p>
        </w:tc>
      </w:tr>
      <w:tr>
        <w:tc>
          <w:tcPr>
            <w:tcW w:type="dxa" w:w="2592"/>
            <w:shd w:val="clear" w:color="auto" w:fill="FFFFFF"/>
            <w:tcMar>
              <w:top w:w="70" w:type="dxa"/>
              <w:bottom w:w="70" w:type="dxa"/>
              <w:left w:w="80" w:type="dxa"/>
              <w:right w:w="80" w:type="dxa"/>
            </w:tcMar>
          </w:tcPr>
          <w:p>
            <w:r>
              <w:rPr>
                <w:b/>
                <w:color w:val="1B365D"/>
                <w:sz w:val="18"/>
              </w:rPr>
              <w:t>Backend &amp; Microservices</w:t>
            </w:r>
          </w:p>
        </w:tc>
        <w:tc>
          <w:tcPr>
            <w:tcW w:type="dxa" w:w="2880"/>
            <w:shd w:val="clear" w:color="auto" w:fill="FFFFFF"/>
            <w:tcMar>
              <w:top w:w="70" w:type="dxa"/>
              <w:bottom w:w="70" w:type="dxa"/>
              <w:left w:w="80" w:type="dxa"/>
              <w:right w:w="80" w:type="dxa"/>
            </w:tcMar>
          </w:tcPr>
          <w:p>
            <w:r>
              <w:rPr>
                <w:sz w:val="18"/>
              </w:rPr>
              <w:t>NestJS (TypeScript) &amp; Go (Golang)</w:t>
            </w:r>
          </w:p>
        </w:tc>
        <w:tc>
          <w:tcPr>
            <w:tcW w:type="dxa" w:w="3888"/>
            <w:shd w:val="clear" w:color="auto" w:fill="FFFFFF"/>
            <w:tcMar>
              <w:top w:w="70" w:type="dxa"/>
              <w:bottom w:w="70" w:type="dxa"/>
              <w:left w:w="80" w:type="dxa"/>
              <w:right w:w="80" w:type="dxa"/>
            </w:tcMar>
          </w:tcPr>
          <w:p>
            <w:r>
              <w:rPr>
                <w:sz w:val="18"/>
              </w:rPr>
              <w:t>Go offre une concurrence inégalée (Goroutines) pour absorber 10 000+ requêtes/sec lors des ouvertures de billetterie, NestJS apporte la rigueur architecturale.</w:t>
            </w:r>
          </w:p>
        </w:tc>
      </w:tr>
      <w:tr>
        <w:tc>
          <w:tcPr>
            <w:tcW w:type="dxa" w:w="2592"/>
            <w:shd w:val="clear" w:color="auto" w:fill="F8FAFC"/>
            <w:tcMar>
              <w:top w:w="70" w:type="dxa"/>
              <w:bottom w:w="70" w:type="dxa"/>
              <w:left w:w="80" w:type="dxa"/>
              <w:right w:w="80" w:type="dxa"/>
            </w:tcMar>
          </w:tcPr>
          <w:p>
            <w:r>
              <w:rPr>
                <w:b/>
                <w:color w:val="1B365D"/>
                <w:sz w:val="18"/>
              </w:rPr>
              <w:t>Base de Données Principale</w:t>
            </w:r>
          </w:p>
        </w:tc>
        <w:tc>
          <w:tcPr>
            <w:tcW w:type="dxa" w:w="2880"/>
            <w:shd w:val="clear" w:color="auto" w:fill="F8FAFC"/>
            <w:tcMar>
              <w:top w:w="70" w:type="dxa"/>
              <w:bottom w:w="70" w:type="dxa"/>
              <w:left w:w="80" w:type="dxa"/>
              <w:right w:w="80" w:type="dxa"/>
            </w:tcMar>
          </w:tcPr>
          <w:p>
            <w:r>
              <w:rPr>
                <w:sz w:val="18"/>
              </w:rPr>
              <w:t>PostgreSQL 16 + PostGIS Extension</w:t>
            </w:r>
          </w:p>
        </w:tc>
        <w:tc>
          <w:tcPr>
            <w:tcW w:type="dxa" w:w="3888"/>
            <w:shd w:val="clear" w:color="auto" w:fill="F8FAFC"/>
            <w:tcMar>
              <w:top w:w="70" w:type="dxa"/>
              <w:bottom w:w="70" w:type="dxa"/>
              <w:left w:w="80" w:type="dxa"/>
              <w:right w:w="80" w:type="dxa"/>
            </w:tcMar>
          </w:tcPr>
          <w:p>
            <w:r>
              <w:rPr>
                <w:sz w:val="18"/>
              </w:rPr>
              <w:t>SGBDR robuste assurant le respect absolu des transactions ACID. L'extension PostGIS permet les requêtes géospatiales sur la disposition 2D des tribunes.</w:t>
            </w:r>
          </w:p>
        </w:tc>
      </w:tr>
      <w:tr>
        <w:tc>
          <w:tcPr>
            <w:tcW w:type="dxa" w:w="2592"/>
            <w:shd w:val="clear" w:color="auto" w:fill="FFFFFF"/>
            <w:tcMar>
              <w:top w:w="70" w:type="dxa"/>
              <w:bottom w:w="70" w:type="dxa"/>
              <w:left w:w="80" w:type="dxa"/>
              <w:right w:w="80" w:type="dxa"/>
            </w:tcMar>
          </w:tcPr>
          <w:p>
            <w:r>
              <w:rPr>
                <w:b/>
                <w:color w:val="1B365D"/>
                <w:sz w:val="18"/>
              </w:rPr>
              <w:t>Cache &amp; Verrouillage Sièges</w:t>
            </w:r>
          </w:p>
        </w:tc>
        <w:tc>
          <w:tcPr>
            <w:tcW w:type="dxa" w:w="2880"/>
            <w:shd w:val="clear" w:color="auto" w:fill="FFFFFF"/>
            <w:tcMar>
              <w:top w:w="70" w:type="dxa"/>
              <w:bottom w:w="70" w:type="dxa"/>
              <w:left w:w="80" w:type="dxa"/>
              <w:right w:w="80" w:type="dxa"/>
            </w:tcMar>
          </w:tcPr>
          <w:p>
            <w:r>
              <w:rPr>
                <w:sz w:val="18"/>
              </w:rPr>
              <w:t>Redis Cluster (Memory Store)</w:t>
            </w:r>
          </w:p>
        </w:tc>
        <w:tc>
          <w:tcPr>
            <w:tcW w:type="dxa" w:w="3888"/>
            <w:shd w:val="clear" w:color="auto" w:fill="FFFFFF"/>
            <w:tcMar>
              <w:top w:w="70" w:type="dxa"/>
              <w:bottom w:w="70" w:type="dxa"/>
              <w:left w:w="80" w:type="dxa"/>
              <w:right w:w="80" w:type="dxa"/>
            </w:tcMar>
          </w:tcPr>
          <w:p>
            <w:r>
              <w:rPr>
                <w:sz w:val="18"/>
              </w:rPr>
              <w:t>Verrouillage pessimiste ultra-rapide des sièges sélectionnés (&lt; 2ms) pour empêcher deux acheteurs de réserver la même place simultanément.</w:t>
            </w:r>
          </w:p>
        </w:tc>
      </w:tr>
      <w:tr>
        <w:tc>
          <w:tcPr>
            <w:tcW w:type="dxa" w:w="2592"/>
            <w:shd w:val="clear" w:color="auto" w:fill="F8FAFC"/>
            <w:tcMar>
              <w:top w:w="70" w:type="dxa"/>
              <w:bottom w:w="70" w:type="dxa"/>
              <w:left w:w="80" w:type="dxa"/>
              <w:right w:w="80" w:type="dxa"/>
            </w:tcMar>
          </w:tcPr>
          <w:p>
            <w:r>
              <w:rPr>
                <w:b/>
                <w:color w:val="1B365D"/>
                <w:sz w:val="18"/>
              </w:rPr>
              <w:t>Edge Computing Local (Stade)</w:t>
            </w:r>
          </w:p>
        </w:tc>
        <w:tc>
          <w:tcPr>
            <w:tcW w:type="dxa" w:w="2880"/>
            <w:shd w:val="clear" w:color="auto" w:fill="F8FAFC"/>
            <w:tcMar>
              <w:top w:w="70" w:type="dxa"/>
              <w:bottom w:w="70" w:type="dxa"/>
              <w:left w:w="80" w:type="dxa"/>
              <w:right w:w="80" w:type="dxa"/>
            </w:tcMar>
          </w:tcPr>
          <w:p>
            <w:r>
              <w:rPr>
                <w:sz w:val="18"/>
              </w:rPr>
              <w:t>Dell PowerEdge R360 + Local Redis Engine</w:t>
            </w:r>
          </w:p>
        </w:tc>
        <w:tc>
          <w:tcPr>
            <w:tcW w:type="dxa" w:w="3888"/>
            <w:shd w:val="clear" w:color="auto" w:fill="F8FAFC"/>
            <w:tcMar>
              <w:top w:w="70" w:type="dxa"/>
              <w:bottom w:w="70" w:type="dxa"/>
              <w:left w:w="80" w:type="dxa"/>
              <w:right w:w="80" w:type="dxa"/>
            </w:tcMar>
          </w:tcPr>
          <w:p>
            <w:r>
              <w:rPr>
                <w:sz w:val="18"/>
              </w:rPr>
              <w:t>Serveur local physique 1U au stade. Stocke le cache des billets pour assurer la validation en &lt; 0.15s même en cas de coupure de la fibre Internet.</w:t>
            </w:r>
          </w:p>
        </w:tc>
      </w:tr>
    </w:tbl>
    <w:tbl>
      <w:tblPr>
        <w:tblW w:type="auto" w:w="0"/>
        <w:jc w:val="center"/>
        <w:tblLook w:firstColumn="1" w:firstRow="1" w:lastColumn="0" w:lastRow="0" w:noHBand="0" w:noVBand="1" w:val="04A0"/>
      </w:tblPr>
      <w:tblGrid>
        <w:gridCol w:w="9360"/>
      </w:tblGrid>
      <w:tr>
        <w:tc>
          <w:tcPr>
            <w:tcW w:type="dxa" w:w="9360"/>
            <w:shd w:val="clear" w:color="auto" w:fill="EFF6FF"/>
            <w:tcMar>
              <w:top w:w="120" w:type="dxa"/>
              <w:bottom w:w="120" w:type="dxa"/>
              <w:left w:w="150" w:type="dxa"/>
              <w:right w:w="150" w:type="dxa"/>
            </w:tcMar>
          </w:tcPr>
          <w:p>
            <w:pPr>
              <w:spacing w:after="40"/>
            </w:pPr>
            <w:r>
              <w:rPr>
                <w:b/>
                <w:color w:val="1E40AF"/>
                <w:sz w:val="20"/>
              </w:rPr>
              <w:t>RÉSILIENCE ARCHITECTURAL CLOUD / EDGE</w:t>
              <w:br/>
            </w:r>
            <w:r>
              <w:rPr>
                <w:color w:val="323232"/>
                <w:sz w:val="19"/>
              </w:rPr>
              <w:t>L'architecture sépare hermétiquement le traitement en ligne (Cloud Ventes) du traitement physique aux portes (Edge Local Stade). Même en cas d'attaque DDoS massive sur le site Web ou d'interruption du câble réseau principal, les tourniquets du stade continuent de valider les spectateurs à un rythme de 0,15s par billet grâce à la base locale répliquée sur le serveur Dell R360.</w:t>
            </w:r>
          </w:p>
        </w:tc>
      </w:tr>
    </w:tbl>
    <w:p>
      <w:pPr>
        <w:spacing w:after="80"/>
      </w:pPr>
    </w:p>
    <w:p>
      <w:pPr>
        <w:keepNext/>
        <w:spacing w:before="360" w:after="160"/>
      </w:pPr>
      <w:r>
        <w:rPr>
          <w:b/>
          <w:color w:val="1B365D"/>
          <w:sz w:val="32"/>
        </w:rPr>
        <w:t>2. MODÉLISATION COMPLÈTE DES DONNÉES (SCHÉMA SQL &amp; DICTIONNAIRE)</w:t>
      </w:r>
    </w:p>
    <w:p>
      <w:pPr>
        <w:spacing w:before="0" w:after="100" w:line="276" w:lineRule="auto"/>
      </w:pPr>
      <w:r>
        <w:rPr>
          <w:i w:val="0"/>
        </w:rPr>
        <w:t>La base de données relationnelle (PostgreSQL 16) est modélisée selon les principes de la 3ème Forme Normale (3NF). Elle est structurée en 5 domaines fonctionnels majeurs.</w:t>
      </w:r>
    </w:p>
    <w:p>
      <w:pPr>
        <w:keepNext/>
        <w:spacing w:before="280" w:after="120"/>
      </w:pPr>
      <w:r>
        <w:rPr>
          <w:b/>
          <w:color w:val="D97706"/>
          <w:sz w:val="26"/>
        </w:rPr>
        <w:t>2.1 Domaine 1 : Gestion des Utilisateurs &amp; Habilitations (IAM)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B365D"/>
            <w:tcMar>
              <w:top w:w="60" w:type="dxa"/>
              <w:bottom w:w="60" w:type="dxa"/>
              <w:left w:w="70" w:type="dxa"/>
              <w:right w:w="70" w:type="dxa"/>
            </w:tcMar>
          </w:tcPr>
          <w:p>
            <w:r>
              <w:rPr>
                <w:b/>
                <w:color w:val="FFFFFF"/>
              </w:rPr>
              <w:t>Nom du Champ</w:t>
            </w:r>
          </w:p>
        </w:tc>
        <w:tc>
          <w:tcPr>
            <w:tcW w:type="dxa" w:w="2160"/>
            <w:shd w:val="clear" w:color="auto" w:fill="1B365D"/>
            <w:tcMar>
              <w:top w:w="60" w:type="dxa"/>
              <w:bottom w:w="60" w:type="dxa"/>
              <w:left w:w="70" w:type="dxa"/>
              <w:right w:w="70" w:type="dxa"/>
            </w:tcMar>
          </w:tcPr>
          <w:p>
            <w:r>
              <w:rPr>
                <w:b/>
                <w:color w:val="FFFFFF"/>
              </w:rPr>
              <w:t>Type de Donnée</w:t>
            </w:r>
          </w:p>
        </w:tc>
        <w:tc>
          <w:tcPr>
            <w:tcW w:type="dxa" w:w="2592"/>
            <w:shd w:val="clear" w:color="auto" w:fill="1B365D"/>
            <w:tcMar>
              <w:top w:w="60" w:type="dxa"/>
              <w:bottom w:w="60" w:type="dxa"/>
              <w:left w:w="70" w:type="dxa"/>
              <w:right w:w="70" w:type="dxa"/>
            </w:tcMar>
          </w:tcPr>
          <w:p>
            <w:r>
              <w:rPr>
                <w:b/>
                <w:color w:val="FFFFFF"/>
              </w:rPr>
              <w:t>Contraintes / Clés</w:t>
            </w:r>
          </w:p>
        </w:tc>
        <w:tc>
          <w:tcPr>
            <w:tcW w:type="dxa" w:w="2448"/>
            <w:shd w:val="clear" w:color="auto" w:fill="1B365D"/>
            <w:tcMar>
              <w:top w:w="60" w:type="dxa"/>
              <w:bottom w:w="60" w:type="dxa"/>
              <w:left w:w="70" w:type="dxa"/>
              <w:right w:w="70" w:type="dxa"/>
            </w:tcMar>
          </w:tcPr>
          <w:p>
            <w:r>
              <w:rPr>
                <w:b/>
                <w:color w:val="FFFFFF"/>
              </w:rPr>
              <w:t>Description Fonctionnelle</w:t>
            </w:r>
          </w:p>
        </w:tc>
      </w:tr>
      <w:tr>
        <w:tc>
          <w:tcPr>
            <w:tcW w:type="dxa" w:w="2160"/>
            <w:shd w:val="clear" w:color="auto" w:fill="F8FAFC"/>
            <w:tcMar>
              <w:top w:w="60" w:type="dxa"/>
              <w:bottom w:w="60" w:type="dxa"/>
              <w:left w:w="70" w:type="dxa"/>
              <w:right w:w="70" w:type="dxa"/>
            </w:tcMar>
          </w:tcPr>
          <w:p>
            <w:r>
              <w:rPr>
                <w:b/>
                <w:color w:val="1B365D"/>
                <w:sz w:val="17"/>
              </w:rPr>
              <w:t>id</w:t>
            </w:r>
          </w:p>
        </w:tc>
        <w:tc>
          <w:tcPr>
            <w:tcW w:type="dxa" w:w="2160"/>
            <w:shd w:val="clear" w:color="auto" w:fill="F8FAFC"/>
            <w:tcMar>
              <w:top w:w="60" w:type="dxa"/>
              <w:bottom w:w="60" w:type="dxa"/>
              <w:left w:w="70" w:type="dxa"/>
              <w:right w:w="70" w:type="dxa"/>
            </w:tcMar>
          </w:tcPr>
          <w:p>
            <w:r>
              <w:rPr>
                <w:sz w:val="17"/>
              </w:rPr>
              <w:t>UUID</w:t>
            </w:r>
          </w:p>
        </w:tc>
        <w:tc>
          <w:tcPr>
            <w:tcW w:type="dxa" w:w="2592"/>
            <w:shd w:val="clear" w:color="auto" w:fill="F8FAFC"/>
            <w:tcMar>
              <w:top w:w="60" w:type="dxa"/>
              <w:bottom w:w="60" w:type="dxa"/>
              <w:left w:w="70" w:type="dxa"/>
              <w:right w:w="70" w:type="dxa"/>
            </w:tcMar>
          </w:tcPr>
          <w:p>
            <w:r>
              <w:rPr>
                <w:sz w:val="17"/>
              </w:rPr>
              <w:t>PRIMARY KEY, DEFAULT gen_random_uuid()</w:t>
            </w:r>
          </w:p>
        </w:tc>
        <w:tc>
          <w:tcPr>
            <w:tcW w:type="dxa" w:w="2448"/>
            <w:shd w:val="clear" w:color="auto" w:fill="F8FAFC"/>
            <w:tcMar>
              <w:top w:w="60" w:type="dxa"/>
              <w:bottom w:w="60" w:type="dxa"/>
              <w:left w:w="70" w:type="dxa"/>
              <w:right w:w="70" w:type="dxa"/>
            </w:tcMar>
          </w:tcPr>
          <w:p>
            <w:r>
              <w:rPr>
                <w:sz w:val="17"/>
              </w:rPr>
              <w:t>Identifiant unique universel de l'utilisateur.</w:t>
            </w:r>
          </w:p>
        </w:tc>
      </w:tr>
      <w:tr>
        <w:tc>
          <w:tcPr>
            <w:tcW w:type="dxa" w:w="2160"/>
            <w:shd w:val="clear" w:color="auto" w:fill="FFFFFF"/>
            <w:tcMar>
              <w:top w:w="60" w:type="dxa"/>
              <w:bottom w:w="60" w:type="dxa"/>
              <w:left w:w="70" w:type="dxa"/>
              <w:right w:w="70" w:type="dxa"/>
            </w:tcMar>
          </w:tcPr>
          <w:p>
            <w:r>
              <w:rPr>
                <w:b/>
                <w:color w:val="1B365D"/>
                <w:sz w:val="17"/>
              </w:rPr>
              <w:t>email</w:t>
            </w:r>
          </w:p>
        </w:tc>
        <w:tc>
          <w:tcPr>
            <w:tcW w:type="dxa" w:w="2160"/>
            <w:shd w:val="clear" w:color="auto" w:fill="FFFFFF"/>
            <w:tcMar>
              <w:top w:w="60" w:type="dxa"/>
              <w:bottom w:w="60" w:type="dxa"/>
              <w:left w:w="70" w:type="dxa"/>
              <w:right w:w="70" w:type="dxa"/>
            </w:tcMar>
          </w:tcPr>
          <w:p>
            <w:r>
              <w:rPr>
                <w:sz w:val="17"/>
              </w:rPr>
              <w:t>VARCHAR(255)</w:t>
            </w:r>
          </w:p>
        </w:tc>
        <w:tc>
          <w:tcPr>
            <w:tcW w:type="dxa" w:w="2592"/>
            <w:shd w:val="clear" w:color="auto" w:fill="FFFFFF"/>
            <w:tcMar>
              <w:top w:w="60" w:type="dxa"/>
              <w:bottom w:w="60" w:type="dxa"/>
              <w:left w:w="70" w:type="dxa"/>
              <w:right w:w="70" w:type="dxa"/>
            </w:tcMar>
          </w:tcPr>
          <w:p>
            <w:r>
              <w:rPr>
                <w:sz w:val="17"/>
              </w:rPr>
              <w:t>UNIQUE, NOT NULL</w:t>
            </w:r>
          </w:p>
        </w:tc>
        <w:tc>
          <w:tcPr>
            <w:tcW w:type="dxa" w:w="2448"/>
            <w:shd w:val="clear" w:color="auto" w:fill="FFFFFF"/>
            <w:tcMar>
              <w:top w:w="60" w:type="dxa"/>
              <w:bottom w:w="60" w:type="dxa"/>
              <w:left w:w="70" w:type="dxa"/>
              <w:right w:w="70" w:type="dxa"/>
            </w:tcMar>
          </w:tcPr>
          <w:p>
            <w:r>
              <w:rPr>
                <w:sz w:val="17"/>
              </w:rPr>
              <w:t>Adresse email servant d'identifiant de connexion.</w:t>
            </w:r>
          </w:p>
        </w:tc>
      </w:tr>
      <w:tr>
        <w:tc>
          <w:tcPr>
            <w:tcW w:type="dxa" w:w="2160"/>
            <w:shd w:val="clear" w:color="auto" w:fill="F8FAFC"/>
            <w:tcMar>
              <w:top w:w="60" w:type="dxa"/>
              <w:bottom w:w="60" w:type="dxa"/>
              <w:left w:w="70" w:type="dxa"/>
              <w:right w:w="70" w:type="dxa"/>
            </w:tcMar>
          </w:tcPr>
          <w:p>
            <w:r>
              <w:rPr>
                <w:b/>
                <w:color w:val="1B365D"/>
                <w:sz w:val="17"/>
              </w:rPr>
              <w:t>password_hash</w:t>
            </w:r>
          </w:p>
        </w:tc>
        <w:tc>
          <w:tcPr>
            <w:tcW w:type="dxa" w:w="2160"/>
            <w:shd w:val="clear" w:color="auto" w:fill="F8FAFC"/>
            <w:tcMar>
              <w:top w:w="60" w:type="dxa"/>
              <w:bottom w:w="60" w:type="dxa"/>
              <w:left w:w="70" w:type="dxa"/>
              <w:right w:w="70" w:type="dxa"/>
            </w:tcMar>
          </w:tcPr>
          <w:p>
            <w:r>
              <w:rPr>
                <w:sz w:val="17"/>
              </w:rPr>
              <w:t>VARCHAR(255)</w:t>
            </w:r>
          </w:p>
        </w:tc>
        <w:tc>
          <w:tcPr>
            <w:tcW w:type="dxa" w:w="2592"/>
            <w:shd w:val="clear" w:color="auto" w:fill="F8FAFC"/>
            <w:tcMar>
              <w:top w:w="60" w:type="dxa"/>
              <w:bottom w:w="60" w:type="dxa"/>
              <w:left w:w="70" w:type="dxa"/>
              <w:right w:w="70" w:type="dxa"/>
            </w:tcMar>
          </w:tcPr>
          <w:p>
            <w:r>
              <w:rPr>
                <w:sz w:val="17"/>
              </w:rPr>
              <w:t>NOT NULL</w:t>
            </w:r>
          </w:p>
        </w:tc>
        <w:tc>
          <w:tcPr>
            <w:tcW w:type="dxa" w:w="2448"/>
            <w:shd w:val="clear" w:color="auto" w:fill="F8FAFC"/>
            <w:tcMar>
              <w:top w:w="60" w:type="dxa"/>
              <w:bottom w:w="60" w:type="dxa"/>
              <w:left w:w="70" w:type="dxa"/>
              <w:right w:w="70" w:type="dxa"/>
            </w:tcMar>
          </w:tcPr>
          <w:p>
            <w:r>
              <w:rPr>
                <w:sz w:val="17"/>
              </w:rPr>
              <w:t>Mot de passe chiffré via l'algorithme Argon2id / Bcrypt.</w:t>
            </w:r>
          </w:p>
        </w:tc>
      </w:tr>
      <w:tr>
        <w:tc>
          <w:tcPr>
            <w:tcW w:type="dxa" w:w="2160"/>
            <w:shd w:val="clear" w:color="auto" w:fill="FFFFFF"/>
            <w:tcMar>
              <w:top w:w="60" w:type="dxa"/>
              <w:bottom w:w="60" w:type="dxa"/>
              <w:left w:w="70" w:type="dxa"/>
              <w:right w:w="70" w:type="dxa"/>
            </w:tcMar>
          </w:tcPr>
          <w:p>
            <w:r>
              <w:rPr>
                <w:b/>
                <w:color w:val="1B365D"/>
                <w:sz w:val="17"/>
              </w:rPr>
              <w:t>role</w:t>
            </w:r>
          </w:p>
        </w:tc>
        <w:tc>
          <w:tcPr>
            <w:tcW w:type="dxa" w:w="2160"/>
            <w:shd w:val="clear" w:color="auto" w:fill="FFFFFF"/>
            <w:tcMar>
              <w:top w:w="60" w:type="dxa"/>
              <w:bottom w:w="60" w:type="dxa"/>
              <w:left w:w="70" w:type="dxa"/>
              <w:right w:w="70" w:type="dxa"/>
            </w:tcMar>
          </w:tcPr>
          <w:p>
            <w:r>
              <w:rPr>
                <w:sz w:val="17"/>
              </w:rPr>
              <w:t>ENUM</w:t>
            </w:r>
          </w:p>
        </w:tc>
        <w:tc>
          <w:tcPr>
            <w:tcW w:type="dxa" w:w="2592"/>
            <w:shd w:val="clear" w:color="auto" w:fill="FFFFFF"/>
            <w:tcMar>
              <w:top w:w="60" w:type="dxa"/>
              <w:bottom w:w="60" w:type="dxa"/>
              <w:left w:w="70" w:type="dxa"/>
              <w:right w:w="70" w:type="dxa"/>
            </w:tcMar>
          </w:tcPr>
          <w:p>
            <w:r>
              <w:rPr>
                <w:sz w:val="17"/>
              </w:rPr>
              <w:t>NOT NULL, DEFAULT 'CLIENT'</w:t>
            </w:r>
          </w:p>
        </w:tc>
        <w:tc>
          <w:tcPr>
            <w:tcW w:type="dxa" w:w="2448"/>
            <w:shd w:val="clear" w:color="auto" w:fill="FFFFFF"/>
            <w:tcMar>
              <w:top w:w="60" w:type="dxa"/>
              <w:bottom w:w="60" w:type="dxa"/>
              <w:left w:w="70" w:type="dxa"/>
              <w:right w:w="70" w:type="dxa"/>
            </w:tcMar>
          </w:tcPr>
          <w:p>
            <w:r>
              <w:rPr>
                <w:sz w:val="17"/>
              </w:rPr>
              <w:t>Rôle RBAC (SUPER_ADMIN, STADIUM_ADMIN, POS_AGENT, PDA_AGENT, CLIENT).</w:t>
            </w:r>
          </w:p>
        </w:tc>
      </w:tr>
    </w:tbl>
    <w:p>
      <w:pPr>
        <w:keepNext/>
        <w:spacing w:before="280" w:after="120"/>
      </w:pPr>
      <w:r>
        <w:rPr>
          <w:b/>
          <w:color w:val="D97706"/>
          <w:sz w:val="26"/>
        </w:rPr>
        <w:t>2.2 Domaine 2 : Infrastructure du Stade &amp; Cartographie 2D (Seats)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B365D"/>
            <w:tcMar>
              <w:top w:w="60" w:type="dxa"/>
              <w:bottom w:w="60" w:type="dxa"/>
              <w:left w:w="70" w:type="dxa"/>
              <w:right w:w="70" w:type="dxa"/>
            </w:tcMar>
          </w:tcPr>
          <w:p>
            <w:r>
              <w:rPr>
                <w:b/>
                <w:color w:val="FFFFFF"/>
              </w:rPr>
              <w:t>Nom du Champ</w:t>
            </w:r>
          </w:p>
        </w:tc>
        <w:tc>
          <w:tcPr>
            <w:tcW w:type="dxa" w:w="2160"/>
            <w:shd w:val="clear" w:color="auto" w:fill="1B365D"/>
            <w:tcMar>
              <w:top w:w="60" w:type="dxa"/>
              <w:bottom w:w="60" w:type="dxa"/>
              <w:left w:w="70" w:type="dxa"/>
              <w:right w:w="70" w:type="dxa"/>
            </w:tcMar>
          </w:tcPr>
          <w:p>
            <w:r>
              <w:rPr>
                <w:b/>
                <w:color w:val="FFFFFF"/>
              </w:rPr>
              <w:t>Type de Donnée</w:t>
            </w:r>
          </w:p>
        </w:tc>
        <w:tc>
          <w:tcPr>
            <w:tcW w:type="dxa" w:w="2592"/>
            <w:shd w:val="clear" w:color="auto" w:fill="1B365D"/>
            <w:tcMar>
              <w:top w:w="60" w:type="dxa"/>
              <w:bottom w:w="60" w:type="dxa"/>
              <w:left w:w="70" w:type="dxa"/>
              <w:right w:w="70" w:type="dxa"/>
            </w:tcMar>
          </w:tcPr>
          <w:p>
            <w:r>
              <w:rPr>
                <w:b/>
                <w:color w:val="FFFFFF"/>
              </w:rPr>
              <w:t>Contraintes / Clés</w:t>
            </w:r>
          </w:p>
        </w:tc>
        <w:tc>
          <w:tcPr>
            <w:tcW w:type="dxa" w:w="2448"/>
            <w:shd w:val="clear" w:color="auto" w:fill="1B365D"/>
            <w:tcMar>
              <w:top w:w="60" w:type="dxa"/>
              <w:bottom w:w="60" w:type="dxa"/>
              <w:left w:w="70" w:type="dxa"/>
              <w:right w:w="70" w:type="dxa"/>
            </w:tcMar>
          </w:tcPr>
          <w:p>
            <w:r>
              <w:rPr>
                <w:b/>
                <w:color w:val="FFFFFF"/>
              </w:rPr>
              <w:t>Description Fonctionnelle</w:t>
            </w:r>
          </w:p>
        </w:tc>
      </w:tr>
      <w:tr>
        <w:tc>
          <w:tcPr>
            <w:tcW w:type="dxa" w:w="2160"/>
            <w:shd w:val="clear" w:color="auto" w:fill="F8FAFC"/>
            <w:tcMar>
              <w:top w:w="60" w:type="dxa"/>
              <w:bottom w:w="60" w:type="dxa"/>
              <w:left w:w="70" w:type="dxa"/>
              <w:right w:w="70" w:type="dxa"/>
            </w:tcMar>
          </w:tcPr>
          <w:p>
            <w:r>
              <w:rPr>
                <w:b/>
                <w:color w:val="1B365D"/>
                <w:sz w:val="17"/>
              </w:rPr>
              <w:t>id</w:t>
            </w:r>
          </w:p>
        </w:tc>
        <w:tc>
          <w:tcPr>
            <w:tcW w:type="dxa" w:w="2160"/>
            <w:shd w:val="clear" w:color="auto" w:fill="F8FAFC"/>
            <w:tcMar>
              <w:top w:w="60" w:type="dxa"/>
              <w:bottom w:w="60" w:type="dxa"/>
              <w:left w:w="70" w:type="dxa"/>
              <w:right w:w="70" w:type="dxa"/>
            </w:tcMar>
          </w:tcPr>
          <w:p>
            <w:r>
              <w:rPr>
                <w:sz w:val="17"/>
              </w:rPr>
              <w:t>BIGINT</w:t>
            </w:r>
          </w:p>
        </w:tc>
        <w:tc>
          <w:tcPr>
            <w:tcW w:type="dxa" w:w="2592"/>
            <w:shd w:val="clear" w:color="auto" w:fill="F8FAFC"/>
            <w:tcMar>
              <w:top w:w="60" w:type="dxa"/>
              <w:bottom w:w="60" w:type="dxa"/>
              <w:left w:w="70" w:type="dxa"/>
              <w:right w:w="70" w:type="dxa"/>
            </w:tcMar>
          </w:tcPr>
          <w:p>
            <w:r>
              <w:rPr>
                <w:sz w:val="17"/>
              </w:rPr>
              <w:t>PRIMARY KEY, GENERATED ALWAYS AS IDENTITY</w:t>
            </w:r>
          </w:p>
        </w:tc>
        <w:tc>
          <w:tcPr>
            <w:tcW w:type="dxa" w:w="2448"/>
            <w:shd w:val="clear" w:color="auto" w:fill="F8FAFC"/>
            <w:tcMar>
              <w:top w:w="60" w:type="dxa"/>
              <w:bottom w:w="60" w:type="dxa"/>
              <w:left w:w="70" w:type="dxa"/>
              <w:right w:w="70" w:type="dxa"/>
            </w:tcMar>
          </w:tcPr>
          <w:p>
            <w:r>
              <w:rPr>
                <w:sz w:val="17"/>
              </w:rPr>
              <w:t>Identifiant séquentiel de l'emplacement.</w:t>
            </w:r>
          </w:p>
        </w:tc>
      </w:tr>
      <w:tr>
        <w:tc>
          <w:tcPr>
            <w:tcW w:type="dxa" w:w="2160"/>
            <w:shd w:val="clear" w:color="auto" w:fill="FFFFFF"/>
            <w:tcMar>
              <w:top w:w="60" w:type="dxa"/>
              <w:bottom w:w="60" w:type="dxa"/>
              <w:left w:w="70" w:type="dxa"/>
              <w:right w:w="70" w:type="dxa"/>
            </w:tcMar>
          </w:tcPr>
          <w:p>
            <w:r>
              <w:rPr>
                <w:b/>
                <w:color w:val="1B365D"/>
                <w:sz w:val="17"/>
              </w:rPr>
              <w:t>venue_id</w:t>
            </w:r>
          </w:p>
        </w:tc>
        <w:tc>
          <w:tcPr>
            <w:tcW w:type="dxa" w:w="2160"/>
            <w:shd w:val="clear" w:color="auto" w:fill="FFFFFF"/>
            <w:tcMar>
              <w:top w:w="60" w:type="dxa"/>
              <w:bottom w:w="60" w:type="dxa"/>
              <w:left w:w="70" w:type="dxa"/>
              <w:right w:w="70" w:type="dxa"/>
            </w:tcMar>
          </w:tcPr>
          <w:p>
            <w:r>
              <w:rPr>
                <w:sz w:val="17"/>
              </w:rPr>
              <w:t>UUID</w:t>
            </w:r>
          </w:p>
        </w:tc>
        <w:tc>
          <w:tcPr>
            <w:tcW w:type="dxa" w:w="2592"/>
            <w:shd w:val="clear" w:color="auto" w:fill="FFFFFF"/>
            <w:tcMar>
              <w:top w:w="60" w:type="dxa"/>
              <w:bottom w:w="60" w:type="dxa"/>
              <w:left w:w="70" w:type="dxa"/>
              <w:right w:w="70" w:type="dxa"/>
            </w:tcMar>
          </w:tcPr>
          <w:p>
            <w:r>
              <w:rPr>
                <w:sz w:val="17"/>
              </w:rPr>
              <w:t>FOREIGN KEY -&gt; Venues(id)</w:t>
            </w:r>
          </w:p>
        </w:tc>
        <w:tc>
          <w:tcPr>
            <w:tcW w:type="dxa" w:w="2448"/>
            <w:shd w:val="clear" w:color="auto" w:fill="FFFFFF"/>
            <w:tcMar>
              <w:top w:w="60" w:type="dxa"/>
              <w:bottom w:w="60" w:type="dxa"/>
              <w:left w:w="70" w:type="dxa"/>
              <w:right w:w="70" w:type="dxa"/>
            </w:tcMar>
          </w:tcPr>
          <w:p>
            <w:r>
              <w:rPr>
                <w:sz w:val="17"/>
              </w:rPr>
              <w:t>Référence du stade (ex: Grand Stade de Casablanca).</w:t>
            </w:r>
          </w:p>
        </w:tc>
      </w:tr>
      <w:tr>
        <w:tc>
          <w:tcPr>
            <w:tcW w:type="dxa" w:w="2160"/>
            <w:shd w:val="clear" w:color="auto" w:fill="F8FAFC"/>
            <w:tcMar>
              <w:top w:w="60" w:type="dxa"/>
              <w:bottom w:w="60" w:type="dxa"/>
              <w:left w:w="70" w:type="dxa"/>
              <w:right w:w="70" w:type="dxa"/>
            </w:tcMar>
          </w:tcPr>
          <w:p>
            <w:r>
              <w:rPr>
                <w:b/>
                <w:color w:val="1B365D"/>
                <w:sz w:val="17"/>
              </w:rPr>
              <w:t>stand_name</w:t>
            </w:r>
          </w:p>
        </w:tc>
        <w:tc>
          <w:tcPr>
            <w:tcW w:type="dxa" w:w="2160"/>
            <w:shd w:val="clear" w:color="auto" w:fill="F8FAFC"/>
            <w:tcMar>
              <w:top w:w="60" w:type="dxa"/>
              <w:bottom w:w="60" w:type="dxa"/>
              <w:left w:w="70" w:type="dxa"/>
              <w:right w:w="70" w:type="dxa"/>
            </w:tcMar>
          </w:tcPr>
          <w:p>
            <w:r>
              <w:rPr>
                <w:sz w:val="17"/>
              </w:rPr>
              <w:t>VARCHAR(50)</w:t>
            </w:r>
          </w:p>
        </w:tc>
        <w:tc>
          <w:tcPr>
            <w:tcW w:type="dxa" w:w="2592"/>
            <w:shd w:val="clear" w:color="auto" w:fill="F8FAFC"/>
            <w:tcMar>
              <w:top w:w="60" w:type="dxa"/>
              <w:bottom w:w="60" w:type="dxa"/>
              <w:left w:w="70" w:type="dxa"/>
              <w:right w:w="70" w:type="dxa"/>
            </w:tcMar>
          </w:tcPr>
          <w:p>
            <w:r>
              <w:rPr>
                <w:sz w:val="17"/>
              </w:rPr>
              <w:t>NOT NULL</w:t>
            </w:r>
          </w:p>
        </w:tc>
        <w:tc>
          <w:tcPr>
            <w:tcW w:type="dxa" w:w="2448"/>
            <w:shd w:val="clear" w:color="auto" w:fill="F8FAFC"/>
            <w:tcMar>
              <w:top w:w="60" w:type="dxa"/>
              <w:bottom w:w="60" w:type="dxa"/>
              <w:left w:w="70" w:type="dxa"/>
              <w:right w:w="70" w:type="dxa"/>
            </w:tcMar>
          </w:tcPr>
          <w:p>
            <w:r>
              <w:rPr>
                <w:sz w:val="17"/>
              </w:rPr>
              <w:t>Nom de la tribune (NORD, SUD, EST, OUEST, VIP).</w:t>
            </w:r>
          </w:p>
        </w:tc>
      </w:tr>
      <w:tr>
        <w:tc>
          <w:tcPr>
            <w:tcW w:type="dxa" w:w="2160"/>
            <w:shd w:val="clear" w:color="auto" w:fill="FFFFFF"/>
            <w:tcMar>
              <w:top w:w="60" w:type="dxa"/>
              <w:bottom w:w="60" w:type="dxa"/>
              <w:left w:w="70" w:type="dxa"/>
              <w:right w:w="70" w:type="dxa"/>
            </w:tcMar>
          </w:tcPr>
          <w:p>
            <w:r>
              <w:rPr>
                <w:b/>
                <w:color w:val="1B365D"/>
                <w:sz w:val="17"/>
              </w:rPr>
              <w:t>row_number</w:t>
            </w:r>
          </w:p>
        </w:tc>
        <w:tc>
          <w:tcPr>
            <w:tcW w:type="dxa" w:w="2160"/>
            <w:shd w:val="clear" w:color="auto" w:fill="FFFFFF"/>
            <w:tcMar>
              <w:top w:w="60" w:type="dxa"/>
              <w:bottom w:w="60" w:type="dxa"/>
              <w:left w:w="70" w:type="dxa"/>
              <w:right w:w="70" w:type="dxa"/>
            </w:tcMar>
          </w:tcPr>
          <w:p>
            <w:r>
              <w:rPr>
                <w:sz w:val="17"/>
              </w:rPr>
              <w:t>INT</w:t>
            </w:r>
          </w:p>
        </w:tc>
        <w:tc>
          <w:tcPr>
            <w:tcW w:type="dxa" w:w="2592"/>
            <w:shd w:val="clear" w:color="auto" w:fill="FFFFFF"/>
            <w:tcMar>
              <w:top w:w="60" w:type="dxa"/>
              <w:bottom w:w="60" w:type="dxa"/>
              <w:left w:w="70" w:type="dxa"/>
              <w:right w:w="70" w:type="dxa"/>
            </w:tcMar>
          </w:tcPr>
          <w:p>
            <w:r>
              <w:rPr>
                <w:sz w:val="17"/>
              </w:rPr>
              <w:t>NOT NULL</w:t>
            </w:r>
          </w:p>
        </w:tc>
        <w:tc>
          <w:tcPr>
            <w:tcW w:type="dxa" w:w="2448"/>
            <w:shd w:val="clear" w:color="auto" w:fill="FFFFFF"/>
            <w:tcMar>
              <w:top w:w="60" w:type="dxa"/>
              <w:bottom w:w="60" w:type="dxa"/>
              <w:left w:w="70" w:type="dxa"/>
              <w:right w:w="70" w:type="dxa"/>
            </w:tcMar>
          </w:tcPr>
          <w:p>
            <w:r>
              <w:rPr>
                <w:sz w:val="17"/>
              </w:rPr>
              <w:t>Numéro de la rangée dans le secteur.</w:t>
            </w:r>
          </w:p>
        </w:tc>
      </w:tr>
      <w:tr>
        <w:tc>
          <w:tcPr>
            <w:tcW w:type="dxa" w:w="2160"/>
            <w:shd w:val="clear" w:color="auto" w:fill="F8FAFC"/>
            <w:tcMar>
              <w:top w:w="60" w:type="dxa"/>
              <w:bottom w:w="60" w:type="dxa"/>
              <w:left w:w="70" w:type="dxa"/>
              <w:right w:w="70" w:type="dxa"/>
            </w:tcMar>
          </w:tcPr>
          <w:p>
            <w:r>
              <w:rPr>
                <w:b/>
                <w:color w:val="1B365D"/>
                <w:sz w:val="17"/>
              </w:rPr>
              <w:t>seat_number</w:t>
            </w:r>
          </w:p>
        </w:tc>
        <w:tc>
          <w:tcPr>
            <w:tcW w:type="dxa" w:w="2160"/>
            <w:shd w:val="clear" w:color="auto" w:fill="F8FAFC"/>
            <w:tcMar>
              <w:top w:w="60" w:type="dxa"/>
              <w:bottom w:w="60" w:type="dxa"/>
              <w:left w:w="70" w:type="dxa"/>
              <w:right w:w="70" w:type="dxa"/>
            </w:tcMar>
          </w:tcPr>
          <w:p>
            <w:r>
              <w:rPr>
                <w:sz w:val="17"/>
              </w:rPr>
              <w:t>INT</w:t>
            </w:r>
          </w:p>
        </w:tc>
        <w:tc>
          <w:tcPr>
            <w:tcW w:type="dxa" w:w="2592"/>
            <w:shd w:val="clear" w:color="auto" w:fill="F8FAFC"/>
            <w:tcMar>
              <w:top w:w="60" w:type="dxa"/>
              <w:bottom w:w="60" w:type="dxa"/>
              <w:left w:w="70" w:type="dxa"/>
              <w:right w:w="70" w:type="dxa"/>
            </w:tcMar>
          </w:tcPr>
          <w:p>
            <w:r>
              <w:rPr>
                <w:sz w:val="17"/>
              </w:rPr>
              <w:t>NOT NULL</w:t>
            </w:r>
          </w:p>
        </w:tc>
        <w:tc>
          <w:tcPr>
            <w:tcW w:type="dxa" w:w="2448"/>
            <w:shd w:val="clear" w:color="auto" w:fill="F8FAFC"/>
            <w:tcMar>
              <w:top w:w="60" w:type="dxa"/>
              <w:bottom w:w="60" w:type="dxa"/>
              <w:left w:w="70" w:type="dxa"/>
              <w:right w:w="70" w:type="dxa"/>
            </w:tcMar>
          </w:tcPr>
          <w:p>
            <w:r>
              <w:rPr>
                <w:sz w:val="17"/>
              </w:rPr>
              <w:t>Numéro individuel du siège physique sur le rang.</w:t>
            </w:r>
          </w:p>
        </w:tc>
      </w:tr>
    </w:tbl>
    <w:p>
      <w:pPr>
        <w:keepNext/>
        <w:spacing w:before="280" w:after="120"/>
      </w:pPr>
      <w:r>
        <w:rPr>
          <w:b/>
          <w:color w:val="D97706"/>
          <w:sz w:val="26"/>
        </w:rPr>
        <w:t>2.3 Domaine 3 : Billetterie, QR Codes &amp; Checksum Mode 4 (Tickets)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B365D"/>
            <w:tcMar>
              <w:top w:w="60" w:type="dxa"/>
              <w:bottom w:w="60" w:type="dxa"/>
              <w:left w:w="70" w:type="dxa"/>
              <w:right w:w="70" w:type="dxa"/>
            </w:tcMar>
          </w:tcPr>
          <w:p>
            <w:r>
              <w:rPr>
                <w:b/>
                <w:color w:val="FFFFFF"/>
              </w:rPr>
              <w:t>Nom du Champ</w:t>
            </w:r>
          </w:p>
        </w:tc>
        <w:tc>
          <w:tcPr>
            <w:tcW w:type="dxa" w:w="2160"/>
            <w:shd w:val="clear" w:color="auto" w:fill="1B365D"/>
            <w:tcMar>
              <w:top w:w="60" w:type="dxa"/>
              <w:bottom w:w="60" w:type="dxa"/>
              <w:left w:w="70" w:type="dxa"/>
              <w:right w:w="70" w:type="dxa"/>
            </w:tcMar>
          </w:tcPr>
          <w:p>
            <w:r>
              <w:rPr>
                <w:b/>
                <w:color w:val="FFFFFF"/>
              </w:rPr>
              <w:t>Type de Donnée</w:t>
            </w:r>
          </w:p>
        </w:tc>
        <w:tc>
          <w:tcPr>
            <w:tcW w:type="dxa" w:w="2592"/>
            <w:shd w:val="clear" w:color="auto" w:fill="1B365D"/>
            <w:tcMar>
              <w:top w:w="60" w:type="dxa"/>
              <w:bottom w:w="60" w:type="dxa"/>
              <w:left w:w="70" w:type="dxa"/>
              <w:right w:w="70" w:type="dxa"/>
            </w:tcMar>
          </w:tcPr>
          <w:p>
            <w:r>
              <w:rPr>
                <w:b/>
                <w:color w:val="FFFFFF"/>
              </w:rPr>
              <w:t>Contraintes / Clés</w:t>
            </w:r>
          </w:p>
        </w:tc>
        <w:tc>
          <w:tcPr>
            <w:tcW w:type="dxa" w:w="2448"/>
            <w:shd w:val="clear" w:color="auto" w:fill="1B365D"/>
            <w:tcMar>
              <w:top w:w="60" w:type="dxa"/>
              <w:bottom w:w="60" w:type="dxa"/>
              <w:left w:w="70" w:type="dxa"/>
              <w:right w:w="70" w:type="dxa"/>
            </w:tcMar>
          </w:tcPr>
          <w:p>
            <w:r>
              <w:rPr>
                <w:b/>
                <w:color w:val="FFFFFF"/>
              </w:rPr>
              <w:t>Description Fonctionnelle</w:t>
            </w:r>
          </w:p>
        </w:tc>
      </w:tr>
      <w:tr>
        <w:tc>
          <w:tcPr>
            <w:tcW w:type="dxa" w:w="2160"/>
            <w:shd w:val="clear" w:color="auto" w:fill="F8FAFC"/>
            <w:tcMar>
              <w:top w:w="60" w:type="dxa"/>
              <w:bottom w:w="60" w:type="dxa"/>
              <w:left w:w="70" w:type="dxa"/>
              <w:right w:w="70" w:type="dxa"/>
            </w:tcMar>
          </w:tcPr>
          <w:p>
            <w:r>
              <w:rPr>
                <w:b/>
                <w:color w:val="1B365D"/>
                <w:sz w:val="17"/>
              </w:rPr>
              <w:t>id</w:t>
            </w:r>
          </w:p>
        </w:tc>
        <w:tc>
          <w:tcPr>
            <w:tcW w:type="dxa" w:w="2160"/>
            <w:shd w:val="clear" w:color="auto" w:fill="F8FAFC"/>
            <w:tcMar>
              <w:top w:w="60" w:type="dxa"/>
              <w:bottom w:w="60" w:type="dxa"/>
              <w:left w:w="70" w:type="dxa"/>
              <w:right w:w="70" w:type="dxa"/>
            </w:tcMar>
          </w:tcPr>
          <w:p>
            <w:r>
              <w:rPr>
                <w:sz w:val="17"/>
              </w:rPr>
              <w:t>UUID</w:t>
            </w:r>
          </w:p>
        </w:tc>
        <w:tc>
          <w:tcPr>
            <w:tcW w:type="dxa" w:w="2592"/>
            <w:shd w:val="clear" w:color="auto" w:fill="F8FAFC"/>
            <w:tcMar>
              <w:top w:w="60" w:type="dxa"/>
              <w:bottom w:w="60" w:type="dxa"/>
              <w:left w:w="70" w:type="dxa"/>
              <w:right w:w="70" w:type="dxa"/>
            </w:tcMar>
          </w:tcPr>
          <w:p>
            <w:r>
              <w:rPr>
                <w:sz w:val="17"/>
              </w:rPr>
              <w:t>PRIMARY KEY, DEFAULT gen_random_uuid()</w:t>
            </w:r>
          </w:p>
        </w:tc>
        <w:tc>
          <w:tcPr>
            <w:tcW w:type="dxa" w:w="2448"/>
            <w:shd w:val="clear" w:color="auto" w:fill="F8FAFC"/>
            <w:tcMar>
              <w:top w:w="60" w:type="dxa"/>
              <w:bottom w:w="60" w:type="dxa"/>
              <w:left w:w="70" w:type="dxa"/>
              <w:right w:w="70" w:type="dxa"/>
            </w:tcMar>
          </w:tcPr>
          <w:p>
            <w:r>
              <w:rPr>
                <w:sz w:val="17"/>
              </w:rPr>
              <w:t>Identifiant unique du billet.</w:t>
            </w:r>
          </w:p>
        </w:tc>
      </w:tr>
      <w:tr>
        <w:tc>
          <w:tcPr>
            <w:tcW w:type="dxa" w:w="2160"/>
            <w:shd w:val="clear" w:color="auto" w:fill="FFFFFF"/>
            <w:tcMar>
              <w:top w:w="60" w:type="dxa"/>
              <w:bottom w:w="60" w:type="dxa"/>
              <w:left w:w="70" w:type="dxa"/>
              <w:right w:w="70" w:type="dxa"/>
            </w:tcMar>
          </w:tcPr>
          <w:p>
            <w:r>
              <w:rPr>
                <w:b/>
                <w:color w:val="1B365D"/>
                <w:sz w:val="17"/>
              </w:rPr>
              <w:t>event_id</w:t>
            </w:r>
          </w:p>
        </w:tc>
        <w:tc>
          <w:tcPr>
            <w:tcW w:type="dxa" w:w="2160"/>
            <w:shd w:val="clear" w:color="auto" w:fill="FFFFFF"/>
            <w:tcMar>
              <w:top w:w="60" w:type="dxa"/>
              <w:bottom w:w="60" w:type="dxa"/>
              <w:left w:w="70" w:type="dxa"/>
              <w:right w:w="70" w:type="dxa"/>
            </w:tcMar>
          </w:tcPr>
          <w:p>
            <w:r>
              <w:rPr>
                <w:sz w:val="17"/>
              </w:rPr>
              <w:t>UUID</w:t>
            </w:r>
          </w:p>
        </w:tc>
        <w:tc>
          <w:tcPr>
            <w:tcW w:type="dxa" w:w="2592"/>
            <w:shd w:val="clear" w:color="auto" w:fill="FFFFFF"/>
            <w:tcMar>
              <w:top w:w="60" w:type="dxa"/>
              <w:bottom w:w="60" w:type="dxa"/>
              <w:left w:w="70" w:type="dxa"/>
              <w:right w:w="70" w:type="dxa"/>
            </w:tcMar>
          </w:tcPr>
          <w:p>
            <w:r>
              <w:rPr>
                <w:sz w:val="17"/>
              </w:rPr>
              <w:t>FOREIGN KEY -&gt; Events(id)</w:t>
            </w:r>
          </w:p>
        </w:tc>
        <w:tc>
          <w:tcPr>
            <w:tcW w:type="dxa" w:w="2448"/>
            <w:shd w:val="clear" w:color="auto" w:fill="FFFFFF"/>
            <w:tcMar>
              <w:top w:w="60" w:type="dxa"/>
              <w:bottom w:w="60" w:type="dxa"/>
              <w:left w:w="70" w:type="dxa"/>
              <w:right w:w="70" w:type="dxa"/>
            </w:tcMar>
          </w:tcPr>
          <w:p>
            <w:r>
              <w:rPr>
                <w:sz w:val="17"/>
              </w:rPr>
              <w:t>Référence de l'événement / match.</w:t>
            </w:r>
          </w:p>
        </w:tc>
      </w:tr>
      <w:tr>
        <w:tc>
          <w:tcPr>
            <w:tcW w:type="dxa" w:w="2160"/>
            <w:shd w:val="clear" w:color="auto" w:fill="F8FAFC"/>
            <w:tcMar>
              <w:top w:w="60" w:type="dxa"/>
              <w:bottom w:w="60" w:type="dxa"/>
              <w:left w:w="70" w:type="dxa"/>
              <w:right w:w="70" w:type="dxa"/>
            </w:tcMar>
          </w:tcPr>
          <w:p>
            <w:r>
              <w:rPr>
                <w:b/>
                <w:color w:val="1B365D"/>
                <w:sz w:val="17"/>
              </w:rPr>
              <w:t>seat_id</w:t>
            </w:r>
          </w:p>
        </w:tc>
        <w:tc>
          <w:tcPr>
            <w:tcW w:type="dxa" w:w="2160"/>
            <w:shd w:val="clear" w:color="auto" w:fill="F8FAFC"/>
            <w:tcMar>
              <w:top w:w="60" w:type="dxa"/>
              <w:bottom w:w="60" w:type="dxa"/>
              <w:left w:w="70" w:type="dxa"/>
              <w:right w:w="70" w:type="dxa"/>
            </w:tcMar>
          </w:tcPr>
          <w:p>
            <w:r>
              <w:rPr>
                <w:sz w:val="17"/>
              </w:rPr>
              <w:t>BIGINT</w:t>
            </w:r>
          </w:p>
        </w:tc>
        <w:tc>
          <w:tcPr>
            <w:tcW w:type="dxa" w:w="2592"/>
            <w:shd w:val="clear" w:color="auto" w:fill="F8FAFC"/>
            <w:tcMar>
              <w:top w:w="60" w:type="dxa"/>
              <w:bottom w:w="60" w:type="dxa"/>
              <w:left w:w="70" w:type="dxa"/>
              <w:right w:w="70" w:type="dxa"/>
            </w:tcMar>
          </w:tcPr>
          <w:p>
            <w:r>
              <w:rPr>
                <w:sz w:val="17"/>
              </w:rPr>
              <w:t>FOREIGN KEY -&gt; Seats(id)</w:t>
            </w:r>
          </w:p>
        </w:tc>
        <w:tc>
          <w:tcPr>
            <w:tcW w:type="dxa" w:w="2448"/>
            <w:shd w:val="clear" w:color="auto" w:fill="F8FAFC"/>
            <w:tcMar>
              <w:top w:w="60" w:type="dxa"/>
              <w:bottom w:w="60" w:type="dxa"/>
              <w:left w:w="70" w:type="dxa"/>
              <w:right w:w="70" w:type="dxa"/>
            </w:tcMar>
          </w:tcPr>
          <w:p>
            <w:r>
              <w:rPr>
                <w:sz w:val="17"/>
              </w:rPr>
              <w:t>Référence du siège réservé.</w:t>
            </w:r>
          </w:p>
        </w:tc>
      </w:tr>
      <w:tr>
        <w:tc>
          <w:tcPr>
            <w:tcW w:type="dxa" w:w="2160"/>
            <w:shd w:val="clear" w:color="auto" w:fill="FFFFFF"/>
            <w:tcMar>
              <w:top w:w="60" w:type="dxa"/>
              <w:bottom w:w="60" w:type="dxa"/>
              <w:left w:w="70" w:type="dxa"/>
              <w:right w:w="70" w:type="dxa"/>
            </w:tcMar>
          </w:tcPr>
          <w:p>
            <w:r>
              <w:rPr>
                <w:b/>
                <w:color w:val="1B365D"/>
                <w:sz w:val="17"/>
              </w:rPr>
              <w:t>buyer_id</w:t>
            </w:r>
          </w:p>
        </w:tc>
        <w:tc>
          <w:tcPr>
            <w:tcW w:type="dxa" w:w="2160"/>
            <w:shd w:val="clear" w:color="auto" w:fill="FFFFFF"/>
            <w:tcMar>
              <w:top w:w="60" w:type="dxa"/>
              <w:bottom w:w="60" w:type="dxa"/>
              <w:left w:w="70" w:type="dxa"/>
              <w:right w:w="70" w:type="dxa"/>
            </w:tcMar>
          </w:tcPr>
          <w:p>
            <w:r>
              <w:rPr>
                <w:sz w:val="17"/>
              </w:rPr>
              <w:t>UUID</w:t>
            </w:r>
          </w:p>
        </w:tc>
        <w:tc>
          <w:tcPr>
            <w:tcW w:type="dxa" w:w="2592"/>
            <w:shd w:val="clear" w:color="auto" w:fill="FFFFFF"/>
            <w:tcMar>
              <w:top w:w="60" w:type="dxa"/>
              <w:bottom w:w="60" w:type="dxa"/>
              <w:left w:w="70" w:type="dxa"/>
              <w:right w:w="70" w:type="dxa"/>
            </w:tcMar>
          </w:tcPr>
          <w:p>
            <w:r>
              <w:rPr>
                <w:sz w:val="17"/>
              </w:rPr>
              <w:t>FOREIGN KEY -&gt; Users(id)</w:t>
            </w:r>
          </w:p>
        </w:tc>
        <w:tc>
          <w:tcPr>
            <w:tcW w:type="dxa" w:w="2448"/>
            <w:shd w:val="clear" w:color="auto" w:fill="FFFFFF"/>
            <w:tcMar>
              <w:top w:w="60" w:type="dxa"/>
              <w:bottom w:w="60" w:type="dxa"/>
              <w:left w:w="70" w:type="dxa"/>
              <w:right w:w="70" w:type="dxa"/>
            </w:tcMar>
          </w:tcPr>
          <w:p>
            <w:r>
              <w:rPr>
                <w:sz w:val="17"/>
              </w:rPr>
              <w:t>Référence de l'acheteur enregistrer.</w:t>
            </w:r>
          </w:p>
        </w:tc>
      </w:tr>
      <w:tr>
        <w:tc>
          <w:tcPr>
            <w:tcW w:type="dxa" w:w="2160"/>
            <w:shd w:val="clear" w:color="auto" w:fill="F8FAFC"/>
            <w:tcMar>
              <w:top w:w="60" w:type="dxa"/>
              <w:bottom w:w="60" w:type="dxa"/>
              <w:left w:w="70" w:type="dxa"/>
              <w:right w:w="70" w:type="dxa"/>
            </w:tcMar>
          </w:tcPr>
          <w:p>
            <w:r>
              <w:rPr>
                <w:b/>
                <w:color w:val="1B365D"/>
                <w:sz w:val="17"/>
              </w:rPr>
              <w:t>qr_hash</w:t>
            </w:r>
          </w:p>
        </w:tc>
        <w:tc>
          <w:tcPr>
            <w:tcW w:type="dxa" w:w="2160"/>
            <w:shd w:val="clear" w:color="auto" w:fill="F8FAFC"/>
            <w:tcMar>
              <w:top w:w="60" w:type="dxa"/>
              <w:bottom w:w="60" w:type="dxa"/>
              <w:left w:w="70" w:type="dxa"/>
              <w:right w:w="70" w:type="dxa"/>
            </w:tcMar>
          </w:tcPr>
          <w:p>
            <w:r>
              <w:rPr>
                <w:sz w:val="17"/>
              </w:rPr>
              <w:t>VARCHAR(64)</w:t>
            </w:r>
          </w:p>
        </w:tc>
        <w:tc>
          <w:tcPr>
            <w:tcW w:type="dxa" w:w="2592"/>
            <w:shd w:val="clear" w:color="auto" w:fill="F8FAFC"/>
            <w:tcMar>
              <w:top w:w="60" w:type="dxa"/>
              <w:bottom w:w="60" w:type="dxa"/>
              <w:left w:w="70" w:type="dxa"/>
              <w:right w:w="70" w:type="dxa"/>
            </w:tcMar>
          </w:tcPr>
          <w:p>
            <w:r>
              <w:rPr>
                <w:sz w:val="17"/>
              </w:rPr>
              <w:t>UNIQUE, NOT NULL</w:t>
            </w:r>
          </w:p>
        </w:tc>
        <w:tc>
          <w:tcPr>
            <w:tcW w:type="dxa" w:w="2448"/>
            <w:shd w:val="clear" w:color="auto" w:fill="F8FAFC"/>
            <w:tcMar>
              <w:top w:w="60" w:type="dxa"/>
              <w:bottom w:w="60" w:type="dxa"/>
              <w:left w:w="70" w:type="dxa"/>
              <w:right w:w="70" w:type="dxa"/>
            </w:tcMar>
          </w:tcPr>
          <w:p>
            <w:r>
              <w:rPr>
                <w:sz w:val="17"/>
              </w:rPr>
              <w:t>Code unique Checksum Mode 4 infalsifiable (ex: ETK-2026-X9F4A7B2).</w:t>
            </w:r>
          </w:p>
        </w:tc>
      </w:tr>
      <w:tr>
        <w:tc>
          <w:tcPr>
            <w:tcW w:type="dxa" w:w="2160"/>
            <w:shd w:val="clear" w:color="auto" w:fill="FFFFFF"/>
            <w:tcMar>
              <w:top w:w="60" w:type="dxa"/>
              <w:bottom w:w="60" w:type="dxa"/>
              <w:left w:w="70" w:type="dxa"/>
              <w:right w:w="70" w:type="dxa"/>
            </w:tcMar>
          </w:tcPr>
          <w:p>
            <w:r>
              <w:rPr>
                <w:b/>
                <w:color w:val="1B365D"/>
                <w:sz w:val="17"/>
              </w:rPr>
              <w:t>status</w:t>
            </w:r>
          </w:p>
        </w:tc>
        <w:tc>
          <w:tcPr>
            <w:tcW w:type="dxa" w:w="2160"/>
            <w:shd w:val="clear" w:color="auto" w:fill="FFFFFF"/>
            <w:tcMar>
              <w:top w:w="60" w:type="dxa"/>
              <w:bottom w:w="60" w:type="dxa"/>
              <w:left w:w="70" w:type="dxa"/>
              <w:right w:w="70" w:type="dxa"/>
            </w:tcMar>
          </w:tcPr>
          <w:p>
            <w:r>
              <w:rPr>
                <w:sz w:val="17"/>
              </w:rPr>
              <w:t>ENUM</w:t>
            </w:r>
          </w:p>
        </w:tc>
        <w:tc>
          <w:tcPr>
            <w:tcW w:type="dxa" w:w="2592"/>
            <w:shd w:val="clear" w:color="auto" w:fill="FFFFFF"/>
            <w:tcMar>
              <w:top w:w="60" w:type="dxa"/>
              <w:bottom w:w="60" w:type="dxa"/>
              <w:left w:w="70" w:type="dxa"/>
              <w:right w:w="70" w:type="dxa"/>
            </w:tcMar>
          </w:tcPr>
          <w:p>
            <w:r>
              <w:rPr>
                <w:sz w:val="17"/>
              </w:rPr>
              <w:t>NOT NULL, DEFAULT 'ISSUED'</w:t>
            </w:r>
          </w:p>
        </w:tc>
        <w:tc>
          <w:tcPr>
            <w:tcW w:type="dxa" w:w="2448"/>
            <w:shd w:val="clear" w:color="auto" w:fill="FFFFFF"/>
            <w:tcMar>
              <w:top w:w="60" w:type="dxa"/>
              <w:bottom w:w="60" w:type="dxa"/>
              <w:left w:w="70" w:type="dxa"/>
              <w:right w:w="70" w:type="dxa"/>
            </w:tcMar>
          </w:tcPr>
          <w:p>
            <w:r>
              <w:rPr>
                <w:sz w:val="17"/>
              </w:rPr>
              <w:t>Statut du billet (ISSUED, VALIDATED, CANCELLED, BLACKLISTED).</w:t>
            </w:r>
          </w:p>
        </w:tc>
      </w:tr>
    </w:tbl>
    <w:p>
      <w:pPr>
        <w:keepNext/>
        <w:spacing w:before="280" w:after="120"/>
      </w:pPr>
      <w:r>
        <w:rPr>
          <w:b/>
          <w:color w:val="D97706"/>
          <w:sz w:val="26"/>
        </w:rPr>
        <w:t>2.4 Domaine 4 : Traçabilité des Scans d'Accès (AccessLogs)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B365D"/>
            <w:tcMar>
              <w:top w:w="60" w:type="dxa"/>
              <w:bottom w:w="60" w:type="dxa"/>
              <w:left w:w="70" w:type="dxa"/>
              <w:right w:w="70" w:type="dxa"/>
            </w:tcMar>
          </w:tcPr>
          <w:p>
            <w:r>
              <w:rPr>
                <w:b/>
                <w:color w:val="FFFFFF"/>
              </w:rPr>
              <w:t>Nom du Champ</w:t>
            </w:r>
          </w:p>
        </w:tc>
        <w:tc>
          <w:tcPr>
            <w:tcW w:type="dxa" w:w="2160"/>
            <w:shd w:val="clear" w:color="auto" w:fill="1B365D"/>
            <w:tcMar>
              <w:top w:w="60" w:type="dxa"/>
              <w:bottom w:w="60" w:type="dxa"/>
              <w:left w:w="70" w:type="dxa"/>
              <w:right w:w="70" w:type="dxa"/>
            </w:tcMar>
          </w:tcPr>
          <w:p>
            <w:r>
              <w:rPr>
                <w:b/>
                <w:color w:val="FFFFFF"/>
              </w:rPr>
              <w:t>Type de Donnée</w:t>
            </w:r>
          </w:p>
        </w:tc>
        <w:tc>
          <w:tcPr>
            <w:tcW w:type="dxa" w:w="2592"/>
            <w:shd w:val="clear" w:color="auto" w:fill="1B365D"/>
            <w:tcMar>
              <w:top w:w="60" w:type="dxa"/>
              <w:bottom w:w="60" w:type="dxa"/>
              <w:left w:w="70" w:type="dxa"/>
              <w:right w:w="70" w:type="dxa"/>
            </w:tcMar>
          </w:tcPr>
          <w:p>
            <w:r>
              <w:rPr>
                <w:b/>
                <w:color w:val="FFFFFF"/>
              </w:rPr>
              <w:t>Contraintes / Clés</w:t>
            </w:r>
          </w:p>
        </w:tc>
        <w:tc>
          <w:tcPr>
            <w:tcW w:type="dxa" w:w="2448"/>
            <w:shd w:val="clear" w:color="auto" w:fill="1B365D"/>
            <w:tcMar>
              <w:top w:w="60" w:type="dxa"/>
              <w:bottom w:w="60" w:type="dxa"/>
              <w:left w:w="70" w:type="dxa"/>
              <w:right w:w="70" w:type="dxa"/>
            </w:tcMar>
          </w:tcPr>
          <w:p>
            <w:r>
              <w:rPr>
                <w:b/>
                <w:color w:val="FFFFFF"/>
              </w:rPr>
              <w:t>Description Fonctionnelle</w:t>
            </w:r>
          </w:p>
        </w:tc>
      </w:tr>
      <w:tr>
        <w:tc>
          <w:tcPr>
            <w:tcW w:type="dxa" w:w="2160"/>
            <w:shd w:val="clear" w:color="auto" w:fill="F8FAFC"/>
            <w:tcMar>
              <w:top w:w="60" w:type="dxa"/>
              <w:bottom w:w="60" w:type="dxa"/>
              <w:left w:w="70" w:type="dxa"/>
              <w:right w:w="70" w:type="dxa"/>
            </w:tcMar>
          </w:tcPr>
          <w:p>
            <w:r>
              <w:rPr>
                <w:b/>
                <w:color w:val="1B365D"/>
                <w:sz w:val="17"/>
              </w:rPr>
              <w:t>id</w:t>
            </w:r>
          </w:p>
        </w:tc>
        <w:tc>
          <w:tcPr>
            <w:tcW w:type="dxa" w:w="2160"/>
            <w:shd w:val="clear" w:color="auto" w:fill="F8FAFC"/>
            <w:tcMar>
              <w:top w:w="60" w:type="dxa"/>
              <w:bottom w:w="60" w:type="dxa"/>
              <w:left w:w="70" w:type="dxa"/>
              <w:right w:w="70" w:type="dxa"/>
            </w:tcMar>
          </w:tcPr>
          <w:p>
            <w:r>
              <w:rPr>
                <w:sz w:val="17"/>
              </w:rPr>
              <w:t>BIGINT</w:t>
            </w:r>
          </w:p>
        </w:tc>
        <w:tc>
          <w:tcPr>
            <w:tcW w:type="dxa" w:w="2592"/>
            <w:shd w:val="clear" w:color="auto" w:fill="F8FAFC"/>
            <w:tcMar>
              <w:top w:w="60" w:type="dxa"/>
              <w:bottom w:w="60" w:type="dxa"/>
              <w:left w:w="70" w:type="dxa"/>
              <w:right w:w="70" w:type="dxa"/>
            </w:tcMar>
          </w:tcPr>
          <w:p>
            <w:r>
              <w:rPr>
                <w:sz w:val="17"/>
              </w:rPr>
              <w:t>PRIMARY KEY, GENERATED ALWAYS AS IDENTITY</w:t>
            </w:r>
          </w:p>
        </w:tc>
        <w:tc>
          <w:tcPr>
            <w:tcW w:type="dxa" w:w="2448"/>
            <w:shd w:val="clear" w:color="auto" w:fill="F8FAFC"/>
            <w:tcMar>
              <w:top w:w="60" w:type="dxa"/>
              <w:bottom w:w="60" w:type="dxa"/>
              <w:left w:w="70" w:type="dxa"/>
              <w:right w:w="70" w:type="dxa"/>
            </w:tcMar>
          </w:tcPr>
          <w:p>
            <w:r>
              <w:rPr>
                <w:sz w:val="17"/>
              </w:rPr>
              <w:t>Identifiant du log de contrôle.</w:t>
            </w:r>
          </w:p>
        </w:tc>
      </w:tr>
      <w:tr>
        <w:tc>
          <w:tcPr>
            <w:tcW w:type="dxa" w:w="2160"/>
            <w:shd w:val="clear" w:color="auto" w:fill="FFFFFF"/>
            <w:tcMar>
              <w:top w:w="60" w:type="dxa"/>
              <w:bottom w:w="60" w:type="dxa"/>
              <w:left w:w="70" w:type="dxa"/>
              <w:right w:w="70" w:type="dxa"/>
            </w:tcMar>
          </w:tcPr>
          <w:p>
            <w:r>
              <w:rPr>
                <w:b/>
                <w:color w:val="1B365D"/>
                <w:sz w:val="17"/>
              </w:rPr>
              <w:t>ticket_id</w:t>
            </w:r>
          </w:p>
        </w:tc>
        <w:tc>
          <w:tcPr>
            <w:tcW w:type="dxa" w:w="2160"/>
            <w:shd w:val="clear" w:color="auto" w:fill="FFFFFF"/>
            <w:tcMar>
              <w:top w:w="60" w:type="dxa"/>
              <w:bottom w:w="60" w:type="dxa"/>
              <w:left w:w="70" w:type="dxa"/>
              <w:right w:w="70" w:type="dxa"/>
            </w:tcMar>
          </w:tcPr>
          <w:p>
            <w:r>
              <w:rPr>
                <w:sz w:val="17"/>
              </w:rPr>
              <w:t>UUID</w:t>
            </w:r>
          </w:p>
        </w:tc>
        <w:tc>
          <w:tcPr>
            <w:tcW w:type="dxa" w:w="2592"/>
            <w:shd w:val="clear" w:color="auto" w:fill="FFFFFF"/>
            <w:tcMar>
              <w:top w:w="60" w:type="dxa"/>
              <w:bottom w:w="60" w:type="dxa"/>
              <w:left w:w="70" w:type="dxa"/>
              <w:right w:w="70" w:type="dxa"/>
            </w:tcMar>
          </w:tcPr>
          <w:p>
            <w:r>
              <w:rPr>
                <w:sz w:val="17"/>
              </w:rPr>
              <w:t>FOREIGN KEY -&gt; Tickets(id)</w:t>
            </w:r>
          </w:p>
        </w:tc>
        <w:tc>
          <w:tcPr>
            <w:tcW w:type="dxa" w:w="2448"/>
            <w:shd w:val="clear" w:color="auto" w:fill="FFFFFF"/>
            <w:tcMar>
              <w:top w:w="60" w:type="dxa"/>
              <w:bottom w:w="60" w:type="dxa"/>
              <w:left w:w="70" w:type="dxa"/>
              <w:right w:w="70" w:type="dxa"/>
            </w:tcMar>
          </w:tcPr>
          <w:p>
            <w:r>
              <w:rPr>
                <w:sz w:val="17"/>
              </w:rPr>
              <w:t>Billet présenté au scanner.</w:t>
            </w:r>
          </w:p>
        </w:tc>
      </w:tr>
      <w:tr>
        <w:tc>
          <w:tcPr>
            <w:tcW w:type="dxa" w:w="2160"/>
            <w:shd w:val="clear" w:color="auto" w:fill="F8FAFC"/>
            <w:tcMar>
              <w:top w:w="60" w:type="dxa"/>
              <w:bottom w:w="60" w:type="dxa"/>
              <w:left w:w="70" w:type="dxa"/>
              <w:right w:w="70" w:type="dxa"/>
            </w:tcMar>
          </w:tcPr>
          <w:p>
            <w:r>
              <w:rPr>
                <w:b/>
                <w:color w:val="1B365D"/>
                <w:sz w:val="17"/>
              </w:rPr>
              <w:t>scanned_at</w:t>
            </w:r>
          </w:p>
        </w:tc>
        <w:tc>
          <w:tcPr>
            <w:tcW w:type="dxa" w:w="2160"/>
            <w:shd w:val="clear" w:color="auto" w:fill="F8FAFC"/>
            <w:tcMar>
              <w:top w:w="60" w:type="dxa"/>
              <w:bottom w:w="60" w:type="dxa"/>
              <w:left w:w="70" w:type="dxa"/>
              <w:right w:w="70" w:type="dxa"/>
            </w:tcMar>
          </w:tcPr>
          <w:p>
            <w:r>
              <w:rPr>
                <w:sz w:val="17"/>
              </w:rPr>
              <w:t>TIMESTAMPTZ</w:t>
            </w:r>
          </w:p>
        </w:tc>
        <w:tc>
          <w:tcPr>
            <w:tcW w:type="dxa" w:w="2592"/>
            <w:shd w:val="clear" w:color="auto" w:fill="F8FAFC"/>
            <w:tcMar>
              <w:top w:w="60" w:type="dxa"/>
              <w:bottom w:w="60" w:type="dxa"/>
              <w:left w:w="70" w:type="dxa"/>
              <w:right w:w="70" w:type="dxa"/>
            </w:tcMar>
          </w:tcPr>
          <w:p>
            <w:r>
              <w:rPr>
                <w:sz w:val="17"/>
              </w:rPr>
              <w:t>NOT NULL, DEFAULT NOW()</w:t>
            </w:r>
          </w:p>
        </w:tc>
        <w:tc>
          <w:tcPr>
            <w:tcW w:type="dxa" w:w="2448"/>
            <w:shd w:val="clear" w:color="auto" w:fill="F8FAFC"/>
            <w:tcMar>
              <w:top w:w="60" w:type="dxa"/>
              <w:bottom w:w="60" w:type="dxa"/>
              <w:left w:w="70" w:type="dxa"/>
              <w:right w:w="70" w:type="dxa"/>
            </w:tcMar>
          </w:tcPr>
          <w:p>
            <w:r>
              <w:rPr>
                <w:sz w:val="17"/>
              </w:rPr>
              <w:t>Horodatage au millième de seconde de la tentative.</w:t>
            </w:r>
          </w:p>
        </w:tc>
      </w:tr>
      <w:tr>
        <w:tc>
          <w:tcPr>
            <w:tcW w:type="dxa" w:w="2160"/>
            <w:shd w:val="clear" w:color="auto" w:fill="FFFFFF"/>
            <w:tcMar>
              <w:top w:w="60" w:type="dxa"/>
              <w:bottom w:w="60" w:type="dxa"/>
              <w:left w:w="70" w:type="dxa"/>
              <w:right w:w="70" w:type="dxa"/>
            </w:tcMar>
          </w:tcPr>
          <w:p>
            <w:r>
              <w:rPr>
                <w:b/>
                <w:color w:val="1B365D"/>
                <w:sz w:val="17"/>
              </w:rPr>
              <w:t>gate_code</w:t>
            </w:r>
          </w:p>
        </w:tc>
        <w:tc>
          <w:tcPr>
            <w:tcW w:type="dxa" w:w="2160"/>
            <w:shd w:val="clear" w:color="auto" w:fill="FFFFFF"/>
            <w:tcMar>
              <w:top w:w="60" w:type="dxa"/>
              <w:bottom w:w="60" w:type="dxa"/>
              <w:left w:w="70" w:type="dxa"/>
              <w:right w:w="70" w:type="dxa"/>
            </w:tcMar>
          </w:tcPr>
          <w:p>
            <w:r>
              <w:rPr>
                <w:sz w:val="17"/>
              </w:rPr>
              <w:t>VARCHAR(20)</w:t>
            </w:r>
          </w:p>
        </w:tc>
        <w:tc>
          <w:tcPr>
            <w:tcW w:type="dxa" w:w="2592"/>
            <w:shd w:val="clear" w:color="auto" w:fill="FFFFFF"/>
            <w:tcMar>
              <w:top w:w="60" w:type="dxa"/>
              <w:bottom w:w="60" w:type="dxa"/>
              <w:left w:w="70" w:type="dxa"/>
              <w:right w:w="70" w:type="dxa"/>
            </w:tcMar>
          </w:tcPr>
          <w:p>
            <w:r>
              <w:rPr>
                <w:sz w:val="17"/>
              </w:rPr>
              <w:t>NOT NULL</w:t>
            </w:r>
          </w:p>
        </w:tc>
        <w:tc>
          <w:tcPr>
            <w:tcW w:type="dxa" w:w="2448"/>
            <w:shd w:val="clear" w:color="auto" w:fill="FFFFFF"/>
            <w:tcMar>
              <w:top w:w="60" w:type="dxa"/>
              <w:bottom w:w="60" w:type="dxa"/>
              <w:left w:w="70" w:type="dxa"/>
              <w:right w:w="70" w:type="dxa"/>
            </w:tcMar>
          </w:tcPr>
          <w:p>
            <w:r>
              <w:rPr>
                <w:sz w:val="17"/>
              </w:rPr>
              <w:t>Code de la porte / tourniquet (ex: PORTE-NORD-02).</w:t>
            </w:r>
          </w:p>
        </w:tc>
      </w:tr>
      <w:tr>
        <w:tc>
          <w:tcPr>
            <w:tcW w:type="dxa" w:w="2160"/>
            <w:shd w:val="clear" w:color="auto" w:fill="F8FAFC"/>
            <w:tcMar>
              <w:top w:w="60" w:type="dxa"/>
              <w:bottom w:w="60" w:type="dxa"/>
              <w:left w:w="70" w:type="dxa"/>
              <w:right w:w="70" w:type="dxa"/>
            </w:tcMar>
          </w:tcPr>
          <w:p>
            <w:r>
              <w:rPr>
                <w:b/>
                <w:color w:val="1B365D"/>
                <w:sz w:val="17"/>
              </w:rPr>
              <w:t>result</w:t>
            </w:r>
          </w:p>
        </w:tc>
        <w:tc>
          <w:tcPr>
            <w:tcW w:type="dxa" w:w="2160"/>
            <w:shd w:val="clear" w:color="auto" w:fill="F8FAFC"/>
            <w:tcMar>
              <w:top w:w="60" w:type="dxa"/>
              <w:bottom w:w="60" w:type="dxa"/>
              <w:left w:w="70" w:type="dxa"/>
              <w:right w:w="70" w:type="dxa"/>
            </w:tcMar>
          </w:tcPr>
          <w:p>
            <w:r>
              <w:rPr>
                <w:sz w:val="17"/>
              </w:rPr>
              <w:t>ENUM</w:t>
            </w:r>
          </w:p>
        </w:tc>
        <w:tc>
          <w:tcPr>
            <w:tcW w:type="dxa" w:w="2592"/>
            <w:shd w:val="clear" w:color="auto" w:fill="F8FAFC"/>
            <w:tcMar>
              <w:top w:w="60" w:type="dxa"/>
              <w:bottom w:w="60" w:type="dxa"/>
              <w:left w:w="70" w:type="dxa"/>
              <w:right w:w="70" w:type="dxa"/>
            </w:tcMar>
          </w:tcPr>
          <w:p>
            <w:r>
              <w:rPr>
                <w:sz w:val="17"/>
              </w:rPr>
              <w:t>NOT NULL</w:t>
            </w:r>
          </w:p>
        </w:tc>
        <w:tc>
          <w:tcPr>
            <w:tcW w:type="dxa" w:w="2448"/>
            <w:shd w:val="clear" w:color="auto" w:fill="F8FAFC"/>
            <w:tcMar>
              <w:top w:w="60" w:type="dxa"/>
              <w:bottom w:w="60" w:type="dxa"/>
              <w:left w:w="70" w:type="dxa"/>
              <w:right w:w="70" w:type="dxa"/>
            </w:tcMar>
          </w:tcPr>
          <w:p>
            <w:r>
              <w:rPr>
                <w:sz w:val="17"/>
              </w:rPr>
              <w:t>Résultat de la validation (GRANTED, REJECTED_DUPLICATE, REJECTED_INVALID).</w:t>
            </w:r>
          </w:p>
        </w:tc>
      </w:tr>
    </w:tbl>
    <w:p>
      <w:pPr>
        <w:keepNext/>
        <w:spacing w:before="360" w:after="160"/>
      </w:pPr>
      <w:r>
        <w:rPr>
          <w:b/>
          <w:color w:val="1B365D"/>
          <w:sz w:val="32"/>
        </w:rPr>
        <w:t>3. SPÉCIFICATIONS ET DÉCOUPAGE EN APIS (RESTFUL &amp; gRPC)</w:t>
      </w:r>
    </w:p>
    <w:p>
      <w:pPr>
        <w:spacing w:before="0" w:after="100" w:line="276" w:lineRule="auto"/>
      </w:pPr>
      <w:r>
        <w:rPr>
          <w:i w:val="0"/>
        </w:rPr>
        <w:t>L'architecture logicielle découpe les fonctionnalités en 6 modules d'APIs spécialisées. Les échanges grand public et administration utilisent REST HTTP/2 JSON, tandis que les contrôles d'accès haute performance aux tourniquets utilisent gRPC Protocol Buffers.</w:t>
      </w:r>
    </w:p>
    <w:p>
      <w:pPr>
        <w:keepNext/>
        <w:spacing w:before="280" w:after="120"/>
      </w:pPr>
      <w:r>
        <w:rPr>
          <w:b/>
          <w:color w:val="D97706"/>
          <w:sz w:val="26"/>
        </w:rPr>
        <w:t>3.1 Service 1 : Auth &amp; Identity Management API (`/api/v1/auth`)</w:t>
      </w:r>
    </w:p>
    <w:p>
      <w:pPr>
        <w:pStyle w:val="ListBullet"/>
        <w:spacing w:before="0" w:after="60" w:line="276" w:lineRule="auto"/>
      </w:pPr>
      <w:r>
        <w:rPr>
          <w:b/>
          <w:color w:val="1B365D"/>
        </w:rPr>
        <w:t xml:space="preserve">POST /api/v1/auth/login : </w:t>
      </w:r>
      <w:r>
        <w:t>Authentification et génération de jeton JWT d'accès + Refresh Token.</w:t>
      </w:r>
    </w:p>
    <w:p>
      <w:pPr>
        <w:pStyle w:val="ListBullet"/>
        <w:spacing w:before="0" w:after="60" w:line="276" w:lineRule="auto"/>
      </w:pPr>
      <w:r>
        <w:rPr>
          <w:b/>
          <w:color w:val="1B365D"/>
        </w:rPr>
        <w:t xml:space="preserve">POST /api/v1/auth/register : </w:t>
      </w:r>
      <w:r>
        <w:t>Inscription des nouveaux acheteurs grand public.</w:t>
      </w:r>
    </w:p>
    <w:p>
      <w:pPr>
        <w:pStyle w:val="ListBullet"/>
        <w:spacing w:before="0" w:after="60" w:line="276" w:lineRule="auto"/>
      </w:pPr>
      <w:r>
        <w:rPr>
          <w:b/>
          <w:color w:val="1B365D"/>
        </w:rPr>
        <w:t xml:space="preserve">GET /api/v1/auth/me : </w:t>
      </w:r>
      <w:r>
        <w:t>Lecture des informations et rôle de l'utilisateur connecté.</w:t>
      </w:r>
    </w:p>
    <w:p>
      <w:pPr>
        <w:keepNext/>
        <w:spacing w:before="280" w:after="120"/>
      </w:pPr>
      <w:r>
        <w:rPr>
          <w:b/>
          <w:color w:val="D97706"/>
          <w:sz w:val="26"/>
        </w:rPr>
        <w:t>3.2 Service 2 : Venue &amp; Stadium 2D Layout API (`/api/v1/venues`)</w:t>
      </w:r>
    </w:p>
    <w:p>
      <w:pPr>
        <w:pStyle w:val="ListBullet"/>
        <w:spacing w:before="0" w:after="60" w:line="276" w:lineRule="auto"/>
      </w:pPr>
      <w:r>
        <w:rPr>
          <w:b/>
          <w:color w:val="1B365D"/>
        </w:rPr>
        <w:t xml:space="preserve">GET /api/v1/venues/{id}/layout : </w:t>
      </w:r>
      <w:r>
        <w:t>Récupération de la structure 2D complète du stade (tribunes, secteurs).</w:t>
      </w:r>
    </w:p>
    <w:p>
      <w:pPr>
        <w:pStyle w:val="ListBullet"/>
        <w:spacing w:before="0" w:after="60" w:line="276" w:lineRule="auto"/>
      </w:pPr>
      <w:r>
        <w:rPr>
          <w:b/>
          <w:color w:val="1B365D"/>
        </w:rPr>
        <w:t xml:space="preserve">GET /api/v1/venues/{id}/tribunes/{name}/seats?event_id={id} : </w:t>
      </w:r>
      <w:r>
        <w:t>Retourne l'état d'occupation en temps réel de tous les sièges d'une tribune pour un événement.</w:t>
      </w:r>
    </w:p>
    <w:p>
      <w:pPr>
        <w:pStyle w:val="ListBullet"/>
        <w:spacing w:before="0" w:after="60" w:line="276" w:lineRule="auto"/>
      </w:pPr>
      <w:r>
        <w:rPr>
          <w:b/>
          <w:color w:val="1B365D"/>
        </w:rPr>
        <w:t xml:space="preserve">POST /api/v1/venues/seats/lock : </w:t>
      </w:r>
      <w:r>
        <w:t>Verrouillage temporaire d'un siège pendant 5 minutes (Redis Lock) pendant que le client effectue le paiement.</w:t>
      </w:r>
    </w:p>
    <w:p>
      <w:pPr>
        <w:keepNext/>
        <w:spacing w:before="280" w:after="120"/>
      </w:pPr>
      <w:r>
        <w:rPr>
          <w:b/>
          <w:color w:val="D97706"/>
          <w:sz w:val="26"/>
        </w:rPr>
        <w:t>3.3 Service 3 : Event &amp; Ticketing Engine API (`/api/v1/events` &amp; `/tickets`)</w:t>
      </w:r>
    </w:p>
    <w:p>
      <w:pPr>
        <w:pStyle w:val="ListBullet"/>
        <w:spacing w:before="0" w:after="60" w:line="276" w:lineRule="auto"/>
      </w:pPr>
      <w:r>
        <w:rPr>
          <w:b/>
          <w:color w:val="1B365D"/>
        </w:rPr>
        <w:t xml:space="preserve">GET /api/v1/events : </w:t>
      </w:r>
      <w:r>
        <w:t>Liste des événements à venir avec filtres (date, statut, tarifs).</w:t>
      </w:r>
    </w:p>
    <w:p>
      <w:pPr>
        <w:pStyle w:val="ListBullet"/>
        <w:spacing w:before="0" w:after="60" w:line="276" w:lineRule="auto"/>
      </w:pPr>
      <w:r>
        <w:rPr>
          <w:b/>
          <w:color w:val="1B365D"/>
        </w:rPr>
        <w:t xml:space="preserve">POST /api/v1/events (Admin) : </w:t>
      </w:r>
      <w:r>
        <w:t>Création d'un événement et configuration des grilles tarifaires.</w:t>
      </w:r>
    </w:p>
    <w:p>
      <w:pPr>
        <w:pStyle w:val="ListBullet"/>
        <w:spacing w:before="0" w:after="60" w:line="276" w:lineRule="auto"/>
      </w:pPr>
      <w:r>
        <w:rPr>
          <w:b/>
          <w:color w:val="1B365D"/>
        </w:rPr>
        <w:t xml:space="preserve">POST /api/v1/tickets/purchase : </w:t>
      </w:r>
      <w:r>
        <w:t>Achat et émission de billets avec génération du QR Code Checksum Mode 4.</w:t>
      </w:r>
    </w:p>
    <w:p>
      <w:pPr>
        <w:pStyle w:val="ListBullet"/>
        <w:spacing w:before="0" w:after="60" w:line="276" w:lineRule="auto"/>
      </w:pPr>
      <w:r>
        <w:rPr>
          <w:b/>
          <w:color w:val="1B365D"/>
        </w:rPr>
        <w:t xml:space="preserve">GET /api/v1/tickets/my-tickets : </w:t>
      </w:r>
      <w:r>
        <w:t>Récupération de la liste des billets achetés par le client connecté (Wallet).</w:t>
      </w:r>
    </w:p>
    <w:p>
      <w:pPr>
        <w:keepNext/>
        <w:spacing w:before="280" w:after="120"/>
      </w:pPr>
      <w:r>
        <w:rPr>
          <w:b/>
          <w:color w:val="D97706"/>
          <w:sz w:val="26"/>
        </w:rPr>
        <w:t>3.4 Service 4 : Point of Sale POS API (`/api/v1/pos`)</w:t>
      </w:r>
    </w:p>
    <w:p>
      <w:pPr>
        <w:pStyle w:val="ListBullet"/>
        <w:spacing w:before="0" w:after="60" w:line="276" w:lineRule="auto"/>
      </w:pPr>
      <w:r>
        <w:rPr>
          <w:b/>
          <w:color w:val="1B365D"/>
        </w:rPr>
        <w:t xml:space="preserve">POST /api/v1/pos/express-checkout : </w:t>
      </w:r>
      <w:r>
        <w:t>API hautement optimisée pour la vente physique en 3 clics sur caisse tactile.</w:t>
      </w:r>
    </w:p>
    <w:p>
      <w:pPr>
        <w:pStyle w:val="ListBullet"/>
        <w:spacing w:before="0" w:after="60" w:line="276" w:lineRule="auto"/>
      </w:pPr>
      <w:r>
        <w:rPr>
          <w:b/>
          <w:color w:val="1B365D"/>
        </w:rPr>
        <w:t xml:space="preserve">GET /api/v1/pos/shift-report : </w:t>
      </w:r>
      <w:r>
        <w:t>Clôture de caisse et émission du rapport des encaissements par caissier.</w:t>
      </w:r>
    </w:p>
    <w:p>
      <w:pPr>
        <w:keepNext/>
        <w:spacing w:before="280" w:after="120"/>
      </w:pPr>
      <w:r>
        <w:rPr>
          <w:b/>
          <w:color w:val="D97706"/>
          <w:sz w:val="26"/>
        </w:rPr>
        <w:t>3.5 Service 5 : Access Control gRPC Service (`AccessControlService`)</w:t>
      </w:r>
    </w:p>
    <w:p>
      <w:pPr>
        <w:spacing w:before="0" w:after="100" w:line="276" w:lineRule="auto"/>
      </w:pPr>
      <w:r>
        <w:rPr>
          <w:i w:val="0"/>
        </w:rPr>
        <w:t>Service binaire haute performance gRPC exécuté en local sur le serveur Dell R360 du stade pour asservir les tourniquets et PDA agents :</w:t>
      </w:r>
    </w:p>
    <w:p>
      <w:pPr>
        <w:pStyle w:val="ListBullet"/>
        <w:spacing w:before="0" w:after="60" w:line="276" w:lineRule="auto"/>
      </w:pPr>
      <w:r>
        <w:rPr>
          <w:b/>
          <w:color w:val="1B365D"/>
        </w:rPr>
        <w:t xml:space="preserve">rpc ValidateTicket (ValidateRequest) returns (ValidateResponse) : </w:t>
      </w:r>
      <w:r>
        <w:t>RPC de validation d'un QR Code en &lt; 0.15s avec retour du résultat (GRANTED, REJECTED_DUPLICATE, REJECTED_INVALID).</w:t>
      </w:r>
    </w:p>
    <w:p>
      <w:pPr>
        <w:pStyle w:val="ListBullet"/>
        <w:spacing w:before="0" w:after="60" w:line="276" w:lineRule="auto"/>
      </w:pPr>
      <w:r>
        <w:rPr>
          <w:b/>
          <w:color w:val="1B365D"/>
        </w:rPr>
        <w:t xml:space="preserve">rpc SyncOfflineLogs (stream LogChunk) returns (SyncResult) : </w:t>
      </w:r>
      <w:r>
        <w:t>Flux bidirectionnel continu (gRPC Streaming) pour resynchroniser les registres locaux d'accès avec le serveur cloud dès que la liaison réseau est rétablie.</w:t>
      </w:r>
    </w:p>
    <w:p>
      <w:pPr>
        <w:keepNext/>
        <w:spacing w:before="280" w:after="120"/>
      </w:pPr>
      <w:r>
        <w:rPr>
          <w:b/>
          <w:color w:val="D97706"/>
          <w:sz w:val="26"/>
        </w:rPr>
        <w:t>3.6 Service 6 : Smart Reporting &amp; Analytics API (`/api/v1/analytics`)</w:t>
      </w:r>
    </w:p>
    <w:p>
      <w:pPr>
        <w:pStyle w:val="ListBullet"/>
        <w:spacing w:before="0" w:after="60" w:line="276" w:lineRule="auto"/>
      </w:pPr>
      <w:r>
        <w:rPr>
          <w:b/>
          <w:color w:val="1B365D"/>
        </w:rPr>
        <w:t xml:space="preserve">GET /api/v1/analytics/live-summary : </w:t>
      </w:r>
      <w:r>
        <w:t>Synthèse temps réel des jauges de remplissage par porte et du chiffre d'affaires.</w:t>
      </w:r>
    </w:p>
    <w:p>
      <w:pPr>
        <w:pStyle w:val="ListBullet"/>
        <w:spacing w:before="0" w:after="60" w:line="276" w:lineRule="auto"/>
      </w:pPr>
      <w:r>
        <w:rPr>
          <w:b/>
          <w:color w:val="1B365D"/>
        </w:rPr>
        <w:t xml:space="preserve">GET /api/v1/analytics/export?format=csv : </w:t>
      </w:r>
      <w:r>
        <w:t>Génération et téléchargement des rapports financiers et d'accès aux formats CSV, PDF et Excel.</w:t>
      </w:r>
    </w:p>
    <w:p>
      <w:pPr>
        <w:keepNext/>
        <w:spacing w:before="360" w:after="160"/>
      </w:pPr>
      <w:r>
        <w:rPr>
          <w:b/>
          <w:color w:val="1B365D"/>
          <w:sz w:val="32"/>
        </w:rPr>
        <w:t>4. STRATÉGIE DE SYNCHRONISATION LOCAL / CLOUD (OFFLINE ENGINE)</w:t>
      </w:r>
    </w:p>
    <w:p>
      <w:pPr>
        <w:spacing w:before="0" w:after="100" w:line="276" w:lineRule="auto"/>
      </w:pPr>
      <w:r>
        <w:rPr>
          <w:i w:val="0"/>
        </w:rPr>
        <w:t>Pour garantir la conformité aux exigences FIFA Ready et assurer qu'aucun tourniquet ne soit bloqué en cas de panne réseau, le système intègre un moteur de synchronisation déconnecté :</w:t>
      </w:r>
    </w:p>
    <w:p>
      <w:pPr>
        <w:pStyle w:val="ListBullet"/>
        <w:spacing w:before="0" w:after="60" w:line="276" w:lineRule="auto"/>
      </w:pPr>
      <w:r>
        <w:rPr>
          <w:b/>
          <w:color w:val="1B365D"/>
        </w:rPr>
        <w:t xml:space="preserve">Pré-Chargement des Billets : </w:t>
      </w:r>
      <w:r>
        <w:t>Avant le début de chaque événement (H-4), le serveur local Dell R360 du stade télécharge l'intégralité des identifiants et Checksums des billets émis dans sa base Redis/RocksDB locale.</w:t>
      </w:r>
    </w:p>
    <w:p>
      <w:pPr>
        <w:pStyle w:val="ListBullet"/>
        <w:spacing w:before="0" w:after="60" w:line="276" w:lineRule="auto"/>
      </w:pPr>
      <w:r>
        <w:rPr>
          <w:b/>
          <w:color w:val="1B365D"/>
        </w:rPr>
        <w:t xml:space="preserve">Validation Locale Autonome : </w:t>
      </w:r>
      <w:r>
        <w:t>Pendant l'événement, les validations sont effectuées à 100% sur la base locale du stade avec un temps de réponse &lt; 0,15s.</w:t>
      </w:r>
    </w:p>
    <w:p>
      <w:pPr>
        <w:pStyle w:val="ListBullet"/>
        <w:spacing w:before="0" w:after="60" w:line="276" w:lineRule="auto"/>
      </w:pPr>
      <w:r>
        <w:rPr>
          <w:b/>
          <w:color w:val="1B365D"/>
        </w:rPr>
        <w:t xml:space="preserve">File d'Attente Locale : </w:t>
      </w:r>
      <w:r>
        <w:t>Les logs de passage sont accumulés dans une file d'attente locale sérialisée.</w:t>
      </w:r>
    </w:p>
    <w:p>
      <w:pPr>
        <w:pStyle w:val="ListBullet"/>
        <w:spacing w:before="0" w:after="60" w:line="276" w:lineRule="auto"/>
      </w:pPr>
      <w:r>
        <w:rPr>
          <w:b/>
          <w:color w:val="1B365D"/>
        </w:rPr>
        <w:t xml:space="preserve">Resynchronisation Transparente : </w:t>
      </w:r>
      <w:r>
        <w:t>Dès rétablissement du lien VPN IPSEC, un agent CDC (Change Data Capture) déverse en tâche de fond les logs accumulés vers la base PostgreSQL cloud sans impacter les tourniquets.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 xml:space="preserve">Somayar S.A.R.L. AU — Technical Architecture Document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DOSSIER DE CONCEPTION TECHNIQUE — STACK, DATA &amp; APIS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