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8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6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8"/>
    <w:bookmarkStart w:id="54" w:name="parabolas"/>
    <w:p>
      <w:pPr>
        <w:pStyle w:val="Heading2"/>
      </w:pPr>
      <w:r>
        <w:t xml:space="preserve">Parabolas</w:t>
      </w:r>
    </w:p>
    <w:p>
      <w:pPr>
        <w:pStyle w:val="FirstParagraph"/>
      </w:pPr>
      <w:r>
        <w:t xml:space="preserve">The following red &amp; blue hills are modeled by a parabola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2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3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4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5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2023-05-15T15:40:46Z</dcterms:created>
  <dcterms:modified xsi:type="dcterms:W3CDTF">2023-05-15T15:40:46Z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