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[Company Name]</w:t>
      </w:r>
      <w:r>
        <w:t xml:space="preserve"> </w:t>
      </w:r>
      <w:r>
        <w:t xml:space="preserve">Data Breach Response Policy</w:t>
      </w:r>
    </w:p>
    <w:p>
      <w:pPr>
        <w:pStyle w:val="BodyText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March 7, 2025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Data Breach Response Policy outlines the procedures [Company Name] will follow in the event of a data breach involving sensitive information. It provides a structured approach to identifying, containing, and responding to data breaches, minimizing their impact and ensuring compliance with relevant regulations. This policy applies to all employees, contractors, and vendors.</w:t>
      </w:r>
    </w:p>
    <w:bookmarkEnd w:id="20"/>
    <w:bookmarkStart w:id="21" w:name="purpose"/>
    <w:p>
      <w:pPr>
        <w:pStyle w:val="Heading2"/>
      </w:pPr>
      <w:r>
        <w:t xml:space="preserve">2. Purpose</w:t>
      </w:r>
    </w:p>
    <w:p>
      <w:pPr>
        <w:pStyle w:val="FirstParagraph"/>
      </w:pPr>
      <w:r>
        <w:t xml:space="preserve">The purpose of this policy is to:</w:t>
      </w:r>
    </w:p>
    <w:p>
      <w:pPr>
        <w:numPr>
          <w:ilvl w:val="0"/>
          <w:numId w:val="1001"/>
        </w:numPr>
        <w:pStyle w:val="Compact"/>
      </w:pPr>
      <w:r>
        <w:t xml:space="preserve">Provide a clear and consistent response to data breaches.</w:t>
      </w:r>
    </w:p>
    <w:p>
      <w:pPr>
        <w:numPr>
          <w:ilvl w:val="0"/>
          <w:numId w:val="1001"/>
        </w:numPr>
        <w:pStyle w:val="Compact"/>
      </w:pPr>
      <w:r>
        <w:t xml:space="preserve">Minimize the damage and disruption caused by data breaches.</w:t>
      </w:r>
    </w:p>
    <w:p>
      <w:pPr>
        <w:numPr>
          <w:ilvl w:val="0"/>
          <w:numId w:val="1001"/>
        </w:numPr>
        <w:pStyle w:val="Compact"/>
      </w:pPr>
      <w:r>
        <w:t xml:space="preserve">Protect the privacy and security of sensitive information.</w:t>
      </w:r>
    </w:p>
    <w:p>
      <w:pPr>
        <w:numPr>
          <w:ilvl w:val="0"/>
          <w:numId w:val="1001"/>
        </w:numPr>
        <w:pStyle w:val="Compact"/>
      </w:pPr>
      <w:r>
        <w:t xml:space="preserve">Comply with all applicable data breach notification laws and regulations (e.g., GDPR, CCPA, state-specific laws).</w:t>
      </w:r>
      <w:r>
        <w:t xml:space="preserve"> </w:t>
      </w:r>
      <w:r>
        <w:rPr>
          <w:iCs/>
          <w:i/>
        </w:rPr>
        <w:t xml:space="preserve">[Note: You’ll need to tailor this to the specific regulations that apply to your client’s location and industry.]</w:t>
      </w:r>
    </w:p>
    <w:p>
      <w:pPr>
        <w:numPr>
          <w:ilvl w:val="0"/>
          <w:numId w:val="1001"/>
        </w:numPr>
        <w:pStyle w:val="Compact"/>
      </w:pPr>
      <w:r>
        <w:t xml:space="preserve">Maintain customer trust and confidence.</w:t>
      </w:r>
    </w:p>
    <w:p>
      <w:pPr>
        <w:numPr>
          <w:ilvl w:val="0"/>
          <w:numId w:val="1001"/>
        </w:numPr>
        <w:pStyle w:val="Compact"/>
      </w:pPr>
      <w:r>
        <w:t xml:space="preserve">Facilitate a timely and effective recovery from data breaches.</w:t>
      </w:r>
    </w:p>
    <w:bookmarkEnd w:id="21"/>
    <w:bookmarkStart w:id="22" w:name="scope"/>
    <w:p>
      <w:pPr>
        <w:pStyle w:val="Heading2"/>
      </w:pPr>
      <w:r>
        <w:t xml:space="preserve">3. Scope</w:t>
      </w:r>
    </w:p>
    <w:p>
      <w:pPr>
        <w:pStyle w:val="FirstParagraph"/>
      </w:pPr>
      <w:r>
        <w:t xml:space="preserve">This policy applies to all data breaches involving [Company Name]’s sensitive information, regardless of the cause or location. This includes, but is not limited to: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Personal Information:</w:t>
      </w:r>
      <w:r>
        <w:t xml:space="preserve"> </w:t>
      </w:r>
      <w:r>
        <w:t xml:space="preserve">Names, addresses, Social Security numbers, driver’s license numbers, financial account information, medical information.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Confidential Business Information:</w:t>
      </w:r>
      <w:r>
        <w:t xml:space="preserve"> </w:t>
      </w:r>
      <w:r>
        <w:t xml:space="preserve">Trade secrets, financial data, customer lists, intellectual property.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Breaches Caused By:</w:t>
      </w:r>
      <w:r>
        <w:t xml:space="preserve"> </w:t>
      </w:r>
      <w:r>
        <w:t xml:space="preserve">Hacking, malware, phishing, employee negligence, lost or stolen devices, physical theft, unauthorized access.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Stored On:</w:t>
      </w:r>
      <w:r>
        <w:t xml:space="preserve"> </w:t>
      </w:r>
      <w:r>
        <w:t xml:space="preserve">Company systems, employee devices, cloud-based services, paper documents.</w:t>
      </w:r>
    </w:p>
    <w:bookmarkEnd w:id="22"/>
    <w:bookmarkStart w:id="27" w:name="policy"/>
    <w:p>
      <w:pPr>
        <w:pStyle w:val="Heading2"/>
      </w:pPr>
      <w:r>
        <w:t xml:space="preserve">4. Policy</w:t>
      </w:r>
    </w:p>
    <w:bookmarkStart w:id="23" w:name="data-breach-response-team-dbrt"/>
    <w:p>
      <w:pPr>
        <w:pStyle w:val="Heading3"/>
      </w:pPr>
      <w:r>
        <w:t xml:space="preserve">4.1. Data Breach Response Team (DBRT)</w:t>
      </w:r>
    </w:p>
    <w:p>
      <w:pPr>
        <w:numPr>
          <w:ilvl w:val="0"/>
          <w:numId w:val="1003"/>
        </w:numPr>
        <w:pStyle w:val="Compact"/>
      </w:pPr>
      <w:r>
        <w:t xml:space="preserve">A Data Breach Response Team (DBRT) is established to manage and coordinate the response to data breaches.</w:t>
      </w:r>
    </w:p>
    <w:p>
      <w:pPr>
        <w:numPr>
          <w:ilvl w:val="0"/>
          <w:numId w:val="1003"/>
        </w:numPr>
        <w:pStyle w:val="Compact"/>
      </w:pPr>
      <w:r>
        <w:t xml:space="preserve">The DBRT will consist of the following members: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Team Leader:</w:t>
      </w:r>
      <w:r>
        <w:t xml:space="preserve"> </w:t>
      </w:r>
      <w:r>
        <w:t xml:space="preserve">[Owner/CEO/Designated Person] - Overall responsibility for the data breach response.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Technical Lead:</w:t>
      </w:r>
      <w:r>
        <w:t xml:space="preserve"> </w:t>
      </w:r>
      <w:r>
        <w:t xml:space="preserve">[IT Support (Internal or External)] - Responsible for technical aspects of the investigation and containment.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Legal Counsel:</w:t>
      </w:r>
      <w:r>
        <w:t xml:space="preserve"> </w:t>
      </w:r>
      <w:r>
        <w:t xml:space="preserve">[External Legal Counsel -</w:t>
      </w:r>
      <w:r>
        <w:t xml:space="preserve"> </w:t>
      </w:r>
      <w:r>
        <w:rPr>
          <w:iCs/>
          <w:i/>
        </w:rPr>
        <w:t xml:space="preserve">Highly Recommended</w:t>
      </w:r>
      <w:r>
        <w:t xml:space="preserve">] - Provides legal advice and guidance.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Communications Lead:</w:t>
      </w:r>
      <w:r>
        <w:t xml:space="preserve"> </w:t>
      </w:r>
      <w:r>
        <w:t xml:space="preserve">[Office Manager/Designated Person] - Responsible for internal and external communications.</w:t>
      </w:r>
    </w:p>
    <w:p>
      <w:pPr>
        <w:numPr>
          <w:ilvl w:val="0"/>
          <w:numId w:val="1003"/>
        </w:numPr>
        <w:pStyle w:val="Compact"/>
      </w:pPr>
      <w:r>
        <w:t xml:space="preserve">The DBRT may be augmented with additional personnel (e.g., external cybersecurity experts) as needed.</w:t>
      </w:r>
    </w:p>
    <w:bookmarkEnd w:id="23"/>
    <w:bookmarkStart w:id="24" w:name="response-procedures"/>
    <w:p>
      <w:pPr>
        <w:pStyle w:val="Heading3"/>
      </w:pPr>
      <w:r>
        <w:t xml:space="preserve">4.2. Response Procedures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Identification and Reporting:</w:t>
      </w:r>
    </w:p>
    <w:p>
      <w:pPr>
        <w:numPr>
          <w:ilvl w:val="1"/>
          <w:numId w:val="1006"/>
        </w:numPr>
        <w:pStyle w:val="Compact"/>
      </w:pPr>
      <w:r>
        <w:t xml:space="preserve">Any suspected data breach must be reported immediately to [Designated Contact - e.g., IT Support, Office Manager, Owner].</w:t>
      </w:r>
    </w:p>
    <w:p>
      <w:pPr>
        <w:numPr>
          <w:ilvl w:val="1"/>
          <w:numId w:val="1006"/>
        </w:numPr>
        <w:pStyle w:val="Compact"/>
      </w:pPr>
      <w:r>
        <w:t xml:space="preserve">The report should include as much detail as possible about the suspected breach.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Initial Assessment:</w:t>
      </w:r>
    </w:p>
    <w:p>
      <w:pPr>
        <w:numPr>
          <w:ilvl w:val="1"/>
          <w:numId w:val="1007"/>
        </w:numPr>
        <w:pStyle w:val="Compact"/>
      </w:pPr>
      <w:r>
        <w:t xml:space="preserve">The DBRT will quickly assess the situation to determine if a breach has occurred and the potential scope and severity.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Containment:</w:t>
      </w:r>
    </w:p>
    <w:p>
      <w:pPr>
        <w:numPr>
          <w:ilvl w:val="1"/>
          <w:numId w:val="1008"/>
        </w:numPr>
        <w:pStyle w:val="Compact"/>
      </w:pPr>
      <w:r>
        <w:t xml:space="preserve">Take immediate steps to contain the breach and prevent further data loss. This may include:</w:t>
      </w:r>
    </w:p>
    <w:p>
      <w:pPr>
        <w:numPr>
          <w:ilvl w:val="2"/>
          <w:numId w:val="1009"/>
        </w:numPr>
        <w:pStyle w:val="Compact"/>
      </w:pPr>
      <w:r>
        <w:t xml:space="preserve">Isolating affected systems.</w:t>
      </w:r>
    </w:p>
    <w:p>
      <w:pPr>
        <w:numPr>
          <w:ilvl w:val="2"/>
          <w:numId w:val="1009"/>
        </w:numPr>
        <w:pStyle w:val="Compact"/>
      </w:pPr>
      <w:r>
        <w:t xml:space="preserve">Changing passwords.</w:t>
      </w:r>
    </w:p>
    <w:p>
      <w:pPr>
        <w:numPr>
          <w:ilvl w:val="2"/>
          <w:numId w:val="1009"/>
        </w:numPr>
        <w:pStyle w:val="Compact"/>
      </w:pPr>
      <w:r>
        <w:t xml:space="preserve">Disabling compromised accounts.</w:t>
      </w:r>
    </w:p>
    <w:p>
      <w:pPr>
        <w:numPr>
          <w:ilvl w:val="2"/>
          <w:numId w:val="1009"/>
        </w:numPr>
        <w:pStyle w:val="Compact"/>
      </w:pPr>
      <w:r>
        <w:t xml:space="preserve">Shutting down affected systems if necessary.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Investigation:</w:t>
      </w:r>
    </w:p>
    <w:p>
      <w:pPr>
        <w:numPr>
          <w:ilvl w:val="1"/>
          <w:numId w:val="1010"/>
        </w:numPr>
        <w:pStyle w:val="Compact"/>
      </w:pPr>
      <w:r>
        <w:t xml:space="preserve">The DBRT, with the assistance of the Technical Lead and potentially external experts, will conduct a thorough investigation to determine:</w:t>
      </w:r>
    </w:p>
    <w:p>
      <w:pPr>
        <w:numPr>
          <w:ilvl w:val="2"/>
          <w:numId w:val="1011"/>
        </w:numPr>
        <w:pStyle w:val="Compact"/>
      </w:pPr>
      <w:r>
        <w:t xml:space="preserve">The cause of the breach.</w:t>
      </w:r>
    </w:p>
    <w:p>
      <w:pPr>
        <w:numPr>
          <w:ilvl w:val="2"/>
          <w:numId w:val="1011"/>
        </w:numPr>
        <w:pStyle w:val="Compact"/>
      </w:pPr>
      <w:r>
        <w:t xml:space="preserve">The type and amount of data compromised.</w:t>
      </w:r>
    </w:p>
    <w:p>
      <w:pPr>
        <w:numPr>
          <w:ilvl w:val="2"/>
          <w:numId w:val="1011"/>
        </w:numPr>
        <w:pStyle w:val="Compact"/>
      </w:pPr>
      <w:r>
        <w:t xml:space="preserve">The individuals affected.</w:t>
      </w:r>
    </w:p>
    <w:p>
      <w:pPr>
        <w:numPr>
          <w:ilvl w:val="2"/>
          <w:numId w:val="1011"/>
        </w:numPr>
        <w:pStyle w:val="Compact"/>
      </w:pPr>
      <w:r>
        <w:t xml:space="preserve">The potential risks and impact.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Notification: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Legal Counsel will advise on notification obligations.</w:t>
      </w:r>
    </w:p>
    <w:p>
      <w:pPr>
        <w:numPr>
          <w:ilvl w:val="1"/>
          <w:numId w:val="1012"/>
        </w:numPr>
        <w:pStyle w:val="Compact"/>
      </w:pPr>
      <w:r>
        <w:t xml:space="preserve">If required by law or deemed appropriate by Legal Counsel, the DBRT will notify:</w:t>
      </w:r>
    </w:p>
    <w:p>
      <w:pPr>
        <w:numPr>
          <w:ilvl w:val="2"/>
          <w:numId w:val="1013"/>
        </w:numPr>
        <w:pStyle w:val="Compact"/>
      </w:pPr>
      <w:r>
        <w:t xml:space="preserve">Affected individuals.</w:t>
      </w:r>
    </w:p>
    <w:p>
      <w:pPr>
        <w:numPr>
          <w:ilvl w:val="2"/>
          <w:numId w:val="1013"/>
        </w:numPr>
        <w:pStyle w:val="Compact"/>
      </w:pPr>
      <w:r>
        <w:t xml:space="preserve">Regulatory authorities.</w:t>
      </w:r>
    </w:p>
    <w:p>
      <w:pPr>
        <w:numPr>
          <w:ilvl w:val="2"/>
          <w:numId w:val="1013"/>
        </w:numPr>
        <w:pStyle w:val="Compact"/>
      </w:pPr>
      <w:r>
        <w:t xml:space="preserve">Law enforcement (if appropriate).</w:t>
      </w:r>
    </w:p>
    <w:p>
      <w:pPr>
        <w:numPr>
          <w:ilvl w:val="1"/>
          <w:numId w:val="1012"/>
        </w:numPr>
        <w:pStyle w:val="Compact"/>
      </w:pPr>
      <w:r>
        <w:t xml:space="preserve">Notifications will be timely, accurate, and comply with all applicable laws and regulations.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Remediation and Recovery:</w:t>
      </w:r>
    </w:p>
    <w:p>
      <w:pPr>
        <w:numPr>
          <w:ilvl w:val="1"/>
          <w:numId w:val="1014"/>
        </w:numPr>
        <w:pStyle w:val="Compact"/>
      </w:pPr>
      <w:r>
        <w:t xml:space="preserve">Implement measures to remediate the vulnerabilities that led to the breach.</w:t>
      </w:r>
    </w:p>
    <w:p>
      <w:pPr>
        <w:numPr>
          <w:ilvl w:val="1"/>
          <w:numId w:val="1014"/>
        </w:numPr>
        <w:pStyle w:val="Compact"/>
      </w:pPr>
      <w:r>
        <w:t xml:space="preserve">Restore affected systems and data.</w:t>
      </w:r>
    </w:p>
    <w:p>
      <w:pPr>
        <w:numPr>
          <w:ilvl w:val="1"/>
          <w:numId w:val="1014"/>
        </w:numPr>
        <w:pStyle w:val="Compact"/>
      </w:pPr>
      <w:r>
        <w:t xml:space="preserve">Monitor systems for any signs of further compromise.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Post-Breach Review:</w:t>
      </w:r>
    </w:p>
    <w:p>
      <w:pPr>
        <w:numPr>
          <w:ilvl w:val="1"/>
          <w:numId w:val="1015"/>
        </w:numPr>
        <w:pStyle w:val="Compact"/>
      </w:pPr>
      <w:r>
        <w:t xml:space="preserve">Conduct a post-breach review to analyze the incident and the response.</w:t>
      </w:r>
    </w:p>
    <w:p>
      <w:pPr>
        <w:numPr>
          <w:ilvl w:val="1"/>
          <w:numId w:val="1015"/>
        </w:numPr>
        <w:pStyle w:val="Compact"/>
      </w:pPr>
      <w:r>
        <w:t xml:space="preserve">Identify lessons learned and improve security controls and this policy.</w:t>
      </w:r>
    </w:p>
    <w:p>
      <w:pPr>
        <w:numPr>
          <w:ilvl w:val="1"/>
          <w:numId w:val="1015"/>
        </w:numPr>
        <w:pStyle w:val="Compact"/>
      </w:pPr>
      <w:r>
        <w:t xml:space="preserve">Document the entire incident and response process.</w:t>
      </w:r>
    </w:p>
    <w:bookmarkEnd w:id="24"/>
    <w:bookmarkStart w:id="25" w:name="communication"/>
    <w:p>
      <w:pPr>
        <w:pStyle w:val="Heading3"/>
      </w:pPr>
      <w:r>
        <w:t xml:space="preserve">4.3. Communication</w:t>
      </w:r>
    </w:p>
    <w:p>
      <w:pPr>
        <w:numPr>
          <w:ilvl w:val="0"/>
          <w:numId w:val="1016"/>
        </w:numPr>
        <w:pStyle w:val="Compact"/>
      </w:pPr>
      <w:r>
        <w:t xml:space="preserve">The Communications Lead will be responsible for all internal and external communications related to the breach.</w:t>
      </w:r>
    </w:p>
    <w:p>
      <w:pPr>
        <w:numPr>
          <w:ilvl w:val="0"/>
          <w:numId w:val="1016"/>
        </w:numPr>
        <w:pStyle w:val="Compact"/>
      </w:pPr>
      <w:r>
        <w:t xml:space="preserve">Communication will be coordinated with Legal Counsel.</w:t>
      </w:r>
    </w:p>
    <w:p>
      <w:pPr>
        <w:numPr>
          <w:ilvl w:val="0"/>
          <w:numId w:val="1016"/>
        </w:numPr>
        <w:pStyle w:val="Compact"/>
      </w:pPr>
      <w:r>
        <w:t xml:space="preserve">A single point of contact will be designated for media inquiries.</w:t>
      </w:r>
    </w:p>
    <w:bookmarkEnd w:id="25"/>
    <w:bookmarkStart w:id="26" w:name="documentation"/>
    <w:p>
      <w:pPr>
        <w:pStyle w:val="Heading3"/>
      </w:pPr>
      <w:r>
        <w:t xml:space="preserve">4.4. Documentation</w:t>
      </w:r>
    </w:p>
    <w:p>
      <w:pPr>
        <w:numPr>
          <w:ilvl w:val="0"/>
          <w:numId w:val="1017"/>
        </w:numPr>
        <w:pStyle w:val="Compact"/>
      </w:pPr>
      <w:r>
        <w:t xml:space="preserve">All aspects of the data breach and the response will be thoroughly documented.</w:t>
      </w:r>
    </w:p>
    <w:p>
      <w:pPr>
        <w:numPr>
          <w:ilvl w:val="0"/>
          <w:numId w:val="1017"/>
        </w:numPr>
        <w:pStyle w:val="Compact"/>
      </w:pPr>
      <w:r>
        <w:t xml:space="preserve">Documentation will include:</w:t>
      </w:r>
    </w:p>
    <w:p>
      <w:pPr>
        <w:numPr>
          <w:ilvl w:val="1"/>
          <w:numId w:val="1018"/>
        </w:numPr>
        <w:pStyle w:val="Compact"/>
      </w:pPr>
      <w:r>
        <w:t xml:space="preserve">Incident reports.</w:t>
      </w:r>
    </w:p>
    <w:p>
      <w:pPr>
        <w:numPr>
          <w:ilvl w:val="1"/>
          <w:numId w:val="1018"/>
        </w:numPr>
        <w:pStyle w:val="Compact"/>
      </w:pPr>
      <w:r>
        <w:t xml:space="preserve">Investigation findings.</w:t>
      </w:r>
    </w:p>
    <w:p>
      <w:pPr>
        <w:numPr>
          <w:ilvl w:val="1"/>
          <w:numId w:val="1018"/>
        </w:numPr>
        <w:pStyle w:val="Compact"/>
      </w:pPr>
      <w:r>
        <w:t xml:space="preserve">Notification letters.</w:t>
      </w:r>
    </w:p>
    <w:p>
      <w:pPr>
        <w:numPr>
          <w:ilvl w:val="1"/>
          <w:numId w:val="1018"/>
        </w:numPr>
        <w:pStyle w:val="Compact"/>
      </w:pPr>
      <w:r>
        <w:t xml:space="preserve">Remediation steps.</w:t>
      </w:r>
    </w:p>
    <w:p>
      <w:pPr>
        <w:numPr>
          <w:ilvl w:val="1"/>
          <w:numId w:val="1018"/>
        </w:numPr>
        <w:pStyle w:val="Compact"/>
      </w:pPr>
      <w:r>
        <w:t xml:space="preserve">Post-breach review findings.</w:t>
      </w:r>
    </w:p>
    <w:bookmarkEnd w:id="26"/>
    <w:bookmarkEnd w:id="27"/>
    <w:bookmarkStart w:id="28" w:name="compliance"/>
    <w:p>
      <w:pPr>
        <w:pStyle w:val="Heading2"/>
      </w:pPr>
      <w:r>
        <w:t xml:space="preserve">5. Compliance</w:t>
      </w:r>
    </w:p>
    <w:p>
      <w:pPr>
        <w:pStyle w:val="FirstParagraph"/>
      </w:pPr>
      <w:r>
        <w:t xml:space="preserve">Failure to comply with this policy may result in disciplinary action.</w:t>
      </w:r>
    </w:p>
    <w:bookmarkEnd w:id="28"/>
    <w:bookmarkStart w:id="29" w:name="revision-history"/>
    <w:p>
      <w:pPr>
        <w:pStyle w:val="Heading2"/>
      </w:pPr>
      <w:r>
        <w:t xml:space="preserve">6. Revision 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7,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Shijie Yin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Policy Creation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2025-03-11T17:32:53Z</dcterms:created>
  <dcterms:modified xsi:type="dcterms:W3CDTF">2025-03-11T17:32:53Z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