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[Company Name]</w:t>
      </w:r>
      <w:r>
        <w:t xml:space="preserve"> </w:t>
      </w:r>
      <w:r>
        <w:t xml:space="preserve">Incident Response Plan</w:t>
      </w:r>
    </w:p>
    <w:p>
      <w:pPr>
        <w:pStyle w:val="BodyText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March 7, 2025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This Incident Response Plan (IRP) outlines the procedures [Company Name] will follow in the event of a security incident. It provides a structured approach to identifying, containing, eradicating, and recovering from security incidents, minimizing their impact on the business. This plan applies to all employees, contractors, and vendors.</w:t>
      </w:r>
    </w:p>
    <w:bookmarkEnd w:id="20"/>
    <w:bookmarkStart w:id="21" w:name="purpose"/>
    <w:p>
      <w:pPr>
        <w:pStyle w:val="Heading2"/>
      </w:pPr>
      <w:r>
        <w:t xml:space="preserve">2. Purpose</w:t>
      </w:r>
    </w:p>
    <w:p>
      <w:pPr>
        <w:pStyle w:val="FirstParagraph"/>
      </w:pPr>
      <w:r>
        <w:t xml:space="preserve">The purpose of this plan is to:</w:t>
      </w:r>
    </w:p>
    <w:p>
      <w:pPr>
        <w:numPr>
          <w:ilvl w:val="0"/>
          <w:numId w:val="1001"/>
        </w:numPr>
        <w:pStyle w:val="Compact"/>
      </w:pPr>
      <w:r>
        <w:t xml:space="preserve">Provide a clear and consistent response to security incidents.</w:t>
      </w:r>
    </w:p>
    <w:p>
      <w:pPr>
        <w:numPr>
          <w:ilvl w:val="0"/>
          <w:numId w:val="1001"/>
        </w:numPr>
        <w:pStyle w:val="Compact"/>
      </w:pPr>
      <w:r>
        <w:t xml:space="preserve">Minimize the damage and disruption caused by security incidents.</w:t>
      </w:r>
    </w:p>
    <w:p>
      <w:pPr>
        <w:numPr>
          <w:ilvl w:val="0"/>
          <w:numId w:val="1001"/>
        </w:numPr>
        <w:pStyle w:val="Compact"/>
      </w:pPr>
      <w:r>
        <w:t xml:space="preserve">Protect the confidentiality, integrity, and availability of company data and systems.</w:t>
      </w:r>
    </w:p>
    <w:p>
      <w:pPr>
        <w:numPr>
          <w:ilvl w:val="0"/>
          <w:numId w:val="1001"/>
        </w:numPr>
        <w:pStyle w:val="Compact"/>
      </w:pPr>
      <w:r>
        <w:t xml:space="preserve">Ensure compliance with relevant regulations and legal requirements.</w:t>
      </w:r>
    </w:p>
    <w:p>
      <w:pPr>
        <w:numPr>
          <w:ilvl w:val="0"/>
          <w:numId w:val="1001"/>
        </w:numPr>
        <w:pStyle w:val="Compact"/>
      </w:pPr>
      <w:r>
        <w:t xml:space="preserve">Facilitate a timely and effective recovery from security incidents.</w:t>
      </w:r>
    </w:p>
    <w:p>
      <w:pPr>
        <w:numPr>
          <w:ilvl w:val="0"/>
          <w:numId w:val="1001"/>
        </w:numPr>
        <w:pStyle w:val="Compact"/>
      </w:pPr>
      <w:r>
        <w:t xml:space="preserve">Learn from incidents to improve security posture.</w:t>
      </w:r>
    </w:p>
    <w:bookmarkEnd w:id="21"/>
    <w:bookmarkStart w:id="22" w:name="scope"/>
    <w:p>
      <w:pPr>
        <w:pStyle w:val="Heading2"/>
      </w:pPr>
      <w:r>
        <w:t xml:space="preserve">3. Scope</w:t>
      </w:r>
    </w:p>
    <w:p>
      <w:pPr>
        <w:pStyle w:val="FirstParagraph"/>
      </w:pPr>
      <w:r>
        <w:t xml:space="preserve">This plan covers all security incidents that could potentially impact [Company Name]’s information systems, data, or operations. This includes, but is not limited to: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Malware Infections:</w:t>
      </w:r>
      <w:r>
        <w:t xml:space="preserve"> </w:t>
      </w:r>
      <w:r>
        <w:t xml:space="preserve">Viruses, worms, trojans, ransomware.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Unauthorized Access:</w:t>
      </w:r>
      <w:r>
        <w:t xml:space="preserve"> </w:t>
      </w:r>
      <w:r>
        <w:t xml:space="preserve">Hacking attempts, unauthorized logins, data breaches.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Denial of Service (DoS) Attacks:</w:t>
      </w:r>
      <w:r>
        <w:t xml:space="preserve"> </w:t>
      </w:r>
      <w:r>
        <w:t xml:space="preserve">Attacks that disrupt access to company systems or networks.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Loss or Theft:</w:t>
      </w:r>
      <w:r>
        <w:t xml:space="preserve"> </w:t>
      </w:r>
      <w:r>
        <w:t xml:space="preserve">Loss or theft of company data, devices, or physical documents.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System Failures:</w:t>
      </w:r>
      <w:r>
        <w:t xml:space="preserve"> </w:t>
      </w:r>
      <w:r>
        <w:t xml:space="preserve">Hardware or software failures that compromise security.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Physical Security Breaches:</w:t>
      </w:r>
      <w:r>
        <w:t xml:space="preserve"> </w:t>
      </w:r>
      <w:r>
        <w:t xml:space="preserve">Unauthorized access to company facilities.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Social Engineering Attacks:</w:t>
      </w:r>
      <w:r>
        <w:t xml:space="preserve"> </w:t>
      </w:r>
      <w:r>
        <w:t xml:space="preserve">Phishing, baiting, pretexting.</w:t>
      </w:r>
    </w:p>
    <w:bookmarkEnd w:id="22"/>
    <w:bookmarkStart w:id="28" w:name="policy"/>
    <w:p>
      <w:pPr>
        <w:pStyle w:val="Heading2"/>
      </w:pPr>
      <w:r>
        <w:t xml:space="preserve">4. Policy</w:t>
      </w:r>
    </w:p>
    <w:bookmarkStart w:id="23" w:name="incident-response-team-irt"/>
    <w:p>
      <w:pPr>
        <w:pStyle w:val="Heading3"/>
      </w:pPr>
      <w:r>
        <w:t xml:space="preserve">4.1. Incident Response Team (IRT)</w:t>
      </w:r>
    </w:p>
    <w:p>
      <w:pPr>
        <w:numPr>
          <w:ilvl w:val="0"/>
          <w:numId w:val="1003"/>
        </w:numPr>
        <w:pStyle w:val="Compact"/>
      </w:pPr>
      <w:r>
        <w:t xml:space="preserve">An Incident Response Team (IRT) is established to manage and coordinate the response to security incidents.</w:t>
      </w:r>
    </w:p>
    <w:p>
      <w:pPr>
        <w:numPr>
          <w:ilvl w:val="0"/>
          <w:numId w:val="1003"/>
        </w:numPr>
        <w:pStyle w:val="Compact"/>
      </w:pPr>
      <w:r>
        <w:t xml:space="preserve">The IRT will consist of the following members: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Team Leader:</w:t>
      </w:r>
      <w:r>
        <w:t xml:space="preserve"> </w:t>
      </w:r>
      <w:r>
        <w:t xml:space="preserve">[Owner/CEO/Designated Person] - Overall responsibility for the incident response process.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Technical Lead:</w:t>
      </w:r>
      <w:r>
        <w:t xml:space="preserve"> </w:t>
      </w:r>
      <w:r>
        <w:t xml:space="preserve">[IT Support (Internal or External)] - Responsible for technical aspects of incident handling (containment, eradication, recovery).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Communications Lead:</w:t>
      </w:r>
      <w:r>
        <w:t xml:space="preserve"> </w:t>
      </w:r>
      <w:r>
        <w:t xml:space="preserve">[Office Manager/Designated Person] - Responsible for internal and external communications related to the incident.</w:t>
      </w:r>
    </w:p>
    <w:p>
      <w:pPr>
        <w:numPr>
          <w:ilvl w:val="0"/>
          <w:numId w:val="1003"/>
        </w:numPr>
        <w:pStyle w:val="Compact"/>
      </w:pPr>
      <w:r>
        <w:t xml:space="preserve">The IRT may be augmented with additional personnel as needed, depending on the nature and severity of the incident.</w:t>
      </w:r>
    </w:p>
    <w:bookmarkEnd w:id="23"/>
    <w:bookmarkStart w:id="24" w:name="incident-response-phases"/>
    <w:p>
      <w:pPr>
        <w:pStyle w:val="Heading3"/>
      </w:pPr>
      <w:r>
        <w:t xml:space="preserve">4.2. Incident Response Phases</w:t>
      </w:r>
    </w:p>
    <w:p>
      <w:pPr>
        <w:pStyle w:val="FirstParagraph"/>
      </w:pPr>
      <w:r>
        <w:t xml:space="preserve">The incident response process will follow these phases: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Preparation:</w:t>
      </w:r>
    </w:p>
    <w:p>
      <w:pPr>
        <w:numPr>
          <w:ilvl w:val="1"/>
          <w:numId w:val="1006"/>
        </w:numPr>
        <w:pStyle w:val="Compact"/>
      </w:pPr>
      <w:r>
        <w:t xml:space="preserve">Develop and maintain this Incident Response Plan.</w:t>
      </w:r>
    </w:p>
    <w:p>
      <w:pPr>
        <w:numPr>
          <w:ilvl w:val="1"/>
          <w:numId w:val="1006"/>
        </w:numPr>
        <w:pStyle w:val="Compact"/>
      </w:pPr>
      <w:r>
        <w:t xml:space="preserve">Establish and train the Incident Response Team.</w:t>
      </w:r>
    </w:p>
    <w:p>
      <w:pPr>
        <w:numPr>
          <w:ilvl w:val="1"/>
          <w:numId w:val="1006"/>
        </w:numPr>
        <w:pStyle w:val="Compact"/>
      </w:pPr>
      <w:r>
        <w:t xml:space="preserve">Implement security controls to prevent incidents.</w:t>
      </w:r>
    </w:p>
    <w:p>
      <w:pPr>
        <w:numPr>
          <w:ilvl w:val="1"/>
          <w:numId w:val="1006"/>
        </w:numPr>
        <w:pStyle w:val="Compact"/>
      </w:pPr>
      <w:r>
        <w:t xml:space="preserve">Conduct regular risk assessments and vulnerability scans.</w:t>
      </w:r>
    </w:p>
    <w:p>
      <w:pPr>
        <w:numPr>
          <w:ilvl w:val="1"/>
          <w:numId w:val="1006"/>
        </w:numPr>
        <w:pStyle w:val="Compact"/>
      </w:pPr>
      <w:r>
        <w:t xml:space="preserve">Maintain up-to-date contact information for the IRT and key personnel.</w:t>
      </w:r>
    </w:p>
    <w:p>
      <w:pPr>
        <w:numPr>
          <w:ilvl w:val="1"/>
          <w:numId w:val="1006"/>
        </w:numPr>
        <w:pStyle w:val="Compact"/>
      </w:pPr>
      <w:r>
        <w:t xml:space="preserve">Back up critical data regularly.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Identification:</w:t>
      </w:r>
    </w:p>
    <w:p>
      <w:pPr>
        <w:numPr>
          <w:ilvl w:val="1"/>
          <w:numId w:val="1007"/>
        </w:numPr>
        <w:pStyle w:val="Compact"/>
      </w:pPr>
      <w:r>
        <w:t xml:space="preserve">Monitor systems and networks for signs of suspicious activity.</w:t>
      </w:r>
    </w:p>
    <w:p>
      <w:pPr>
        <w:numPr>
          <w:ilvl w:val="1"/>
          <w:numId w:val="1007"/>
        </w:numPr>
        <w:pStyle w:val="Compact"/>
      </w:pPr>
      <w:r>
        <w:t xml:space="preserve">Detect and report potential security incidents.</w:t>
      </w:r>
    </w:p>
    <w:p>
      <w:pPr>
        <w:numPr>
          <w:ilvl w:val="1"/>
          <w:numId w:val="1007"/>
        </w:numPr>
        <w:pStyle w:val="Compact"/>
      </w:pPr>
      <w:r>
        <w:t xml:space="preserve">All employees are responsible for reporting suspected security incidents to the IRT immediately.</w:t>
      </w:r>
    </w:p>
    <w:p>
      <w:pPr>
        <w:numPr>
          <w:ilvl w:val="1"/>
          <w:numId w:val="1007"/>
        </w:numPr>
        <w:pStyle w:val="Compact"/>
      </w:pPr>
      <w:r>
        <w:t xml:space="preserve">The IRT will assess reported incidents to determine if they are actual security incidents.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Containment:</w:t>
      </w:r>
    </w:p>
    <w:p>
      <w:pPr>
        <w:numPr>
          <w:ilvl w:val="1"/>
          <w:numId w:val="1008"/>
        </w:numPr>
        <w:pStyle w:val="Compact"/>
      </w:pPr>
      <w:r>
        <w:t xml:space="preserve">Isolate affected systems or networks to prevent further damage or spread.</w:t>
      </w:r>
    </w:p>
    <w:p>
      <w:pPr>
        <w:numPr>
          <w:ilvl w:val="1"/>
          <w:numId w:val="1008"/>
        </w:numPr>
        <w:pStyle w:val="Compact"/>
      </w:pPr>
      <w:r>
        <w:t xml:space="preserve">Implement short-term fixes to limit the impact of the incident.</w:t>
      </w:r>
    </w:p>
    <w:p>
      <w:pPr>
        <w:numPr>
          <w:ilvl w:val="1"/>
          <w:numId w:val="1008"/>
        </w:numPr>
        <w:pStyle w:val="Compact"/>
      </w:pPr>
      <w:r>
        <w:t xml:space="preserve">Preserve evidence for further investigation.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Eradication:</w:t>
      </w:r>
    </w:p>
    <w:p>
      <w:pPr>
        <w:numPr>
          <w:ilvl w:val="1"/>
          <w:numId w:val="1009"/>
        </w:numPr>
        <w:pStyle w:val="Compact"/>
      </w:pPr>
      <w:r>
        <w:t xml:space="preserve">Remove the root cause of the incident (e.g., malware removal, vulnerability patching).</w:t>
      </w:r>
    </w:p>
    <w:p>
      <w:pPr>
        <w:numPr>
          <w:ilvl w:val="1"/>
          <w:numId w:val="1009"/>
        </w:numPr>
        <w:pStyle w:val="Compact"/>
      </w:pPr>
      <w:r>
        <w:t xml:space="preserve">Verify that the threat has been completely eliminated.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Recovery:</w:t>
      </w:r>
    </w:p>
    <w:p>
      <w:pPr>
        <w:numPr>
          <w:ilvl w:val="1"/>
          <w:numId w:val="1010"/>
        </w:numPr>
        <w:pStyle w:val="Compact"/>
      </w:pPr>
      <w:r>
        <w:t xml:space="preserve">Restore affected systems and data from backups.</w:t>
      </w:r>
    </w:p>
    <w:p>
      <w:pPr>
        <w:numPr>
          <w:ilvl w:val="1"/>
          <w:numId w:val="1010"/>
        </w:numPr>
        <w:pStyle w:val="Compact"/>
      </w:pPr>
      <w:r>
        <w:t xml:space="preserve">Verify that systems are functioning normally.</w:t>
      </w:r>
    </w:p>
    <w:p>
      <w:pPr>
        <w:numPr>
          <w:ilvl w:val="1"/>
          <w:numId w:val="1010"/>
        </w:numPr>
        <w:pStyle w:val="Compact"/>
      </w:pPr>
      <w:r>
        <w:t xml:space="preserve">Implement long-term fixes to prevent recurrence.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Post-Incident Activity (Lessons Learned):</w:t>
      </w:r>
    </w:p>
    <w:p>
      <w:pPr>
        <w:numPr>
          <w:ilvl w:val="1"/>
          <w:numId w:val="1011"/>
        </w:numPr>
        <w:pStyle w:val="Compact"/>
      </w:pPr>
      <w:r>
        <w:t xml:space="preserve">Conduct a post-incident review to analyze the incident and the response.</w:t>
      </w:r>
    </w:p>
    <w:p>
      <w:pPr>
        <w:numPr>
          <w:ilvl w:val="1"/>
          <w:numId w:val="1011"/>
        </w:numPr>
        <w:pStyle w:val="Compact"/>
      </w:pPr>
      <w:r>
        <w:t xml:space="preserve">Identify areas for improvement in the Incident Response Plan and security controls.</w:t>
      </w:r>
    </w:p>
    <w:p>
      <w:pPr>
        <w:numPr>
          <w:ilvl w:val="1"/>
          <w:numId w:val="1011"/>
        </w:numPr>
        <w:pStyle w:val="Compact"/>
      </w:pPr>
      <w:r>
        <w:t xml:space="preserve">Document lessons learned and implement changes to prevent similar incidents in the future.</w:t>
      </w:r>
    </w:p>
    <w:p>
      <w:pPr>
        <w:numPr>
          <w:ilvl w:val="1"/>
          <w:numId w:val="1011"/>
        </w:numPr>
        <w:pStyle w:val="Compact"/>
      </w:pPr>
      <w:r>
        <w:t xml:space="preserve">Update the incident response plan as needed.</w:t>
      </w:r>
    </w:p>
    <w:bookmarkEnd w:id="24"/>
    <w:bookmarkStart w:id="25" w:name="incident-reporting"/>
    <w:p>
      <w:pPr>
        <w:pStyle w:val="Heading3"/>
      </w:pPr>
      <w:r>
        <w:t xml:space="preserve">4.3. Incident Reporting</w:t>
      </w:r>
    </w:p>
    <w:p>
      <w:pPr>
        <w:numPr>
          <w:ilvl w:val="0"/>
          <w:numId w:val="1012"/>
        </w:numPr>
        <w:pStyle w:val="Compact"/>
      </w:pPr>
      <w:r>
        <w:t xml:space="preserve">All suspected security incidents must be reported immediately to [Designated Contact - e.g., IT Support, Office Manager, Owner].</w:t>
      </w:r>
    </w:p>
    <w:p>
      <w:pPr>
        <w:numPr>
          <w:ilvl w:val="0"/>
          <w:numId w:val="1012"/>
        </w:numPr>
        <w:pStyle w:val="Compact"/>
      </w:pPr>
      <w:r>
        <w:t xml:space="preserve">The report should include as much detail as possible, such as:</w:t>
      </w:r>
    </w:p>
    <w:p>
      <w:pPr>
        <w:numPr>
          <w:ilvl w:val="1"/>
          <w:numId w:val="1013"/>
        </w:numPr>
        <w:pStyle w:val="Compact"/>
      </w:pPr>
      <w:r>
        <w:t xml:space="preserve">Date and time of the incident.</w:t>
      </w:r>
    </w:p>
    <w:p>
      <w:pPr>
        <w:numPr>
          <w:ilvl w:val="1"/>
          <w:numId w:val="1013"/>
        </w:numPr>
        <w:pStyle w:val="Compact"/>
      </w:pPr>
      <w:r>
        <w:t xml:space="preserve">Description of the incident.</w:t>
      </w:r>
    </w:p>
    <w:p>
      <w:pPr>
        <w:numPr>
          <w:ilvl w:val="1"/>
          <w:numId w:val="1013"/>
        </w:numPr>
        <w:pStyle w:val="Compact"/>
      </w:pPr>
      <w:r>
        <w:t xml:space="preserve">Systems or data affected.</w:t>
      </w:r>
    </w:p>
    <w:p>
      <w:pPr>
        <w:numPr>
          <w:ilvl w:val="1"/>
          <w:numId w:val="1013"/>
        </w:numPr>
        <w:pStyle w:val="Compact"/>
      </w:pPr>
      <w:r>
        <w:t xml:space="preserve">Any observed symptoms or error messages.</w:t>
      </w:r>
    </w:p>
    <w:p>
      <w:pPr>
        <w:numPr>
          <w:ilvl w:val="1"/>
          <w:numId w:val="1013"/>
        </w:numPr>
        <w:pStyle w:val="Compact"/>
      </w:pPr>
      <w:r>
        <w:t xml:space="preserve">Contact information of the reporter.</w:t>
      </w:r>
    </w:p>
    <w:bookmarkEnd w:id="25"/>
    <w:bookmarkStart w:id="26" w:name="communication"/>
    <w:p>
      <w:pPr>
        <w:pStyle w:val="Heading3"/>
      </w:pPr>
      <w:r>
        <w:t xml:space="preserve">4.4. Communication</w:t>
      </w:r>
    </w:p>
    <w:p>
      <w:pPr>
        <w:numPr>
          <w:ilvl w:val="0"/>
          <w:numId w:val="1014"/>
        </w:numPr>
        <w:pStyle w:val="Compact"/>
      </w:pPr>
      <w:r>
        <w:t xml:space="preserve">The Communications Lead will be responsible for communicating with internal and external stakeholders, as needed.</w:t>
      </w:r>
    </w:p>
    <w:p>
      <w:pPr>
        <w:numPr>
          <w:ilvl w:val="0"/>
          <w:numId w:val="1014"/>
        </w:numPr>
        <w:pStyle w:val="Compact"/>
      </w:pPr>
      <w:r>
        <w:t xml:space="preserve">Communication will be timely, accurate, and appropriate for the audience.</w:t>
      </w:r>
    </w:p>
    <w:p>
      <w:pPr>
        <w:numPr>
          <w:ilvl w:val="0"/>
          <w:numId w:val="1014"/>
        </w:numPr>
        <w:pStyle w:val="Compact"/>
      </w:pPr>
      <w:r>
        <w:t xml:space="preserve">Legal counsel may be consulted before releasing information to external parties.</w:t>
      </w:r>
    </w:p>
    <w:bookmarkEnd w:id="26"/>
    <w:bookmarkStart w:id="27" w:name="evidence-handling"/>
    <w:p>
      <w:pPr>
        <w:pStyle w:val="Heading3"/>
      </w:pPr>
      <w:r>
        <w:t xml:space="preserve">4.5. Evidence Handling</w:t>
      </w:r>
    </w:p>
    <w:p>
      <w:pPr>
        <w:numPr>
          <w:ilvl w:val="0"/>
          <w:numId w:val="1015"/>
        </w:numPr>
        <w:pStyle w:val="Compact"/>
      </w:pPr>
      <w:r>
        <w:t xml:space="preserve">All evidence related to the incident (e.g., logs, system images, malware samples) must be preserved carefully.</w:t>
      </w:r>
    </w:p>
    <w:p>
      <w:pPr>
        <w:numPr>
          <w:ilvl w:val="0"/>
          <w:numId w:val="1015"/>
        </w:numPr>
        <w:pStyle w:val="Compact"/>
      </w:pPr>
      <w:r>
        <w:t xml:space="preserve">Chain of custody procedures will be followed to ensure the integrity of evidence.</w:t>
      </w:r>
    </w:p>
    <w:bookmarkEnd w:id="27"/>
    <w:bookmarkEnd w:id="28"/>
    <w:bookmarkStart w:id="29" w:name="compliance"/>
    <w:p>
      <w:pPr>
        <w:pStyle w:val="Heading2"/>
      </w:pPr>
      <w:r>
        <w:t xml:space="preserve">5. Compliance</w:t>
      </w:r>
    </w:p>
    <w:p>
      <w:pPr>
        <w:pStyle w:val="FirstParagraph"/>
      </w:pPr>
      <w:r>
        <w:t xml:space="preserve">Failure to comply with this plan may result in disciplinary action.</w:t>
      </w:r>
    </w:p>
    <w:bookmarkEnd w:id="29"/>
    <w:bookmarkStart w:id="30" w:name="revision-history"/>
    <w:p>
      <w:pPr>
        <w:pStyle w:val="Heading2"/>
      </w:pPr>
      <w:r>
        <w:t xml:space="preserve">6.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of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7,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Shijie Yin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Plan Creation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2025-03-11T17:32:55Z</dcterms:created>
  <dcterms:modified xsi:type="dcterms:W3CDTF">2025-03-11T17:32:55Z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