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120"/>
        <w:jc w:val="center"/>
      </w:pPr>
      <w:r>
        <w:rPr>
          <w:rFonts w:ascii="Arial" w:cs="Arial" w:eastAsia="Arial" w:hAnsi="Arial"/>
          <w:b/>
          <w:bCs/>
          <w:color w:val="8B0000"/>
          <w:sz w:val="72"/>
          <w:szCs w:val="72"/>
        </w:rPr>
        <w:t xml:space="preserve">KTOX</w:t>
      </w:r>
    </w:p>
    <w:p>
      <w:pPr>
        <w:spacing w:before="0" w:after="80"/>
        <w:jc w:val="center"/>
      </w:pPr>
      <w:r>
        <w:rPr>
          <w:rFonts w:ascii="Arial" w:cs="Arial" w:eastAsia="Arial" w:hAnsi="Arial"/>
          <w:color w:val="555555"/>
          <w:sz w:val="28"/>
          <w:szCs w:val="28"/>
        </w:rPr>
        <w:t xml:space="preserve">Network Penetration &amp; Purple Team Suite</w:t>
      </w:r>
    </w:p>
    <w:p>
      <w:pPr>
        <w:spacing w:before="0" w:after="480"/>
        <w:jc w:val="center"/>
      </w:pPr>
      <w:r>
        <w:rPr>
          <w:rFonts w:ascii="Arial" w:cs="Arial" w:eastAsia="Arial" w:hAnsi="Arial"/>
          <w:color w:val="888888"/>
          <w:sz w:val="22"/>
          <w:szCs w:val="22"/>
        </w:rPr>
        <w:t xml:space="preserve">github.com/wickednull/KTOx</w:t>
      </w:r>
    </w:p>
    <w:p>
      <w:pPr>
        <w:pBdr>
          <w:top w:val="single" w:color="8B0000" w:sz="4" w:space="2"/>
          <w:bottom w:val="single" w:color="8B0000" w:sz="4" w:space="2"/>
        </w:pBdr>
        <w:spacing w:before="0" w:after="120"/>
        <w:jc w:val="center"/>
      </w:pPr>
      <w:r>
        <w:rPr>
          <w:rFonts w:ascii="Arial" w:cs="Arial" w:eastAsia="Arial" w:hAnsi="Arial"/>
          <w:b/>
          <w:bCs/>
          <w:color w:val="8B0000"/>
          <w:sz w:val="32"/>
          <w:szCs w:val="32"/>
        </w:rPr>
        <w:t xml:space="preserve">LEGAL PROTECTION &amp; LIABILITY LIMITATION NOTICE</w:t>
      </w:r>
    </w:p>
    <w:p>
      <w:pPr>
        <w:spacing w:before="120" w:after="960"/>
        <w:jc w:val="center"/>
      </w:pPr>
      <w:r>
        <w:rPr>
          <w:rFonts w:ascii="Arial" w:cs="Arial" w:eastAsia="Arial" w:hAnsi="Arial"/>
          <w:color w:val="888888"/>
          <w:sz w:val="20"/>
          <w:szCs w:val="20"/>
        </w:rPr>
        <w:t xml:space="preserve">Effective Date: March 26, 2026  ·  Author: wickednull</w:t>
      </w:r>
    </w:p>
    <w:p>
      <w:pPr>
        <w:pBdr>
          <w:left w:val="thick" w:color="8B0000" w:sz="16" w:space="6"/>
        </w:pBdr>
        <w:spacing w:before="120" w:after="120" w:line="340"/>
        <w:ind w:left="360" w:right="360"/>
      </w:pPr>
      <w:r>
        <w:rPr>
          <w:rFonts w:ascii="Arial" w:cs="Arial" w:eastAsia="Arial" w:hAnsi="Arial"/>
          <w:color w:val="1A1A1A"/>
          <w:sz w:val="21"/>
          <w:szCs w:val="21"/>
        </w:rPr>
        <w:t xml:space="preserve">IMPORTANT: This document constitutes the complete legal notice, disclaimer of warranties, limitation of liability, and terms of permitted use for the KTOx software project. By downloading, installing, forking, or using this software in any form, you agree to be bound by these terms. If you do not agree, do not use this software.</w:t>
      </w:r>
    </w:p>
    <w:p>
      <w:pPr>
        <w:pBdr>
          <w:bottom w:val="single" w:color="CCCCCC" w:sz="4" w:space="1"/>
        </w:pBdr>
        <w:spacing w:before="160" w:after="160"/>
      </w:pPr>
      <w:r>
        <w:t xml:space="preserve"/>
      </w:r>
    </w:p>
    <w:p>
      <w:pPr>
        <w:pStyle w:val="Heading1"/>
        <w:pBdr>
          <w:bottom w:val="single" w:color="8B0000" w:sz="6" w:space="2"/>
        </w:pBdr>
        <w:spacing w:before="360" w:after="120"/>
      </w:pPr>
      <w:r>
        <w:rPr>
          <w:rFonts w:ascii="Arial" w:cs="Arial" w:eastAsia="Arial" w:hAnsi="Arial"/>
          <w:b/>
          <w:bCs/>
          <w:color w:val="8B0000"/>
          <w:sz w:val="28"/>
          <w:szCs w:val="28"/>
        </w:rPr>
        <w:t xml:space="preserve">1. Nature and Purpose of This Software</w:t>
      </w:r>
    </w:p>
    <w:p>
      <w:pPr>
        <w:spacing w:before="80" w:after="80"/>
      </w:pPr>
      <w:r>
        <w:t xml:space="preserve"/>
      </w:r>
    </w:p>
    <w:p>
      <w:pPr>
        <w:spacing w:before="80" w:after="80" w:line="360"/>
      </w:pPr>
      <w:r>
        <w:rPr>
          <w:rFonts w:ascii="Arial" w:cs="Arial" w:eastAsia="Arial" w:hAnsi="Arial"/>
          <w:color w:val="1A1A1A"/>
          <w:sz w:val="22"/>
          <w:szCs w:val="22"/>
        </w:rPr>
        <w:t xml:space="preserve">KTOx is a network security research and educational tool designed for use by authorized security professionals, penetration testers, network administrators, students, and researchers. It provides technical capabilities for analyzing, testing, and understanding network vulnerabilities within environments where the user has explicit legal authorization to do so.</w:t>
      </w:r>
    </w:p>
    <w:p>
      <w:pPr>
        <w:spacing w:before="80" w:after="80"/>
      </w:pPr>
      <w:r>
        <w:t xml:space="preserve"/>
      </w:r>
    </w:p>
    <w:p>
      <w:pPr>
        <w:spacing w:before="80" w:after="80" w:line="360"/>
      </w:pPr>
      <w:r>
        <w:rPr>
          <w:rFonts w:ascii="Arial" w:cs="Arial" w:eastAsia="Arial" w:hAnsi="Arial"/>
          <w:color w:val="1A1A1A"/>
          <w:sz w:val="22"/>
          <w:szCs w:val="22"/>
        </w:rPr>
        <w:t xml:space="preserve">KTOx is NOT designed, intended, or authorized for use against networks, systems, or devices that the user does not own or have explicit written permission to test. The capabilities present in this software are identical in nature to those found in widely distributed, commercially available, and open-source security tools such as Metasploit, Bettercap, Responder, Ettercap, Aircrack-ng, and the Kali Linux tool suite.</w:t>
      </w:r>
    </w:p>
    <w:p>
      <w:pPr>
        <w:spacing w:before="80" w:after="80"/>
      </w:pPr>
      <w:r>
        <w:t xml:space="preserve"/>
      </w:r>
    </w:p>
    <w:p>
      <w:pPr>
        <w:pStyle w:val="Heading3"/>
        <w:spacing w:before="200" w:after="60"/>
      </w:pPr>
      <w:r>
        <w:rPr>
          <w:rFonts w:ascii="Arial" w:cs="Arial" w:eastAsia="Arial" w:hAnsi="Arial"/>
          <w:b/>
          <w:bCs/>
          <w:color w:val="1A1A1A"/>
          <w:sz w:val="22"/>
          <w:szCs w:val="22"/>
        </w:rPr>
        <w:t xml:space="preserve">Recognized Security Research Tools — Comparable Examples:</w:t>
      </w:r>
    </w:p>
    <w:p>
      <w:pPr>
        <w:pStyle w:val="ListParagraph"/>
        <w:numPr>
          <w:ilvl w:val="0"/>
          <w:numId w:val="2"/>
        </w:numPr>
        <w:spacing w:before="40" w:after="40" w:line="320"/>
        <w:ind w:left="720"/>
      </w:pPr>
      <w:r>
        <w:rPr>
          <w:rFonts w:ascii="Arial" w:cs="Arial" w:eastAsia="Arial" w:hAnsi="Arial"/>
          <w:color w:val="1A1A1A"/>
          <w:sz w:val="22"/>
          <w:szCs w:val="22"/>
        </w:rPr>
        <w:t xml:space="preserve">Metasploit Framework — exploitation framework used industry-wide</w:t>
      </w:r>
    </w:p>
    <w:p>
      <w:pPr>
        <w:pStyle w:val="ListParagraph"/>
        <w:numPr>
          <w:ilvl w:val="0"/>
          <w:numId w:val="2"/>
        </w:numPr>
        <w:spacing w:before="40" w:after="40" w:line="320"/>
        <w:ind w:left="720"/>
      </w:pPr>
      <w:r>
        <w:rPr>
          <w:rFonts w:ascii="Arial" w:cs="Arial" w:eastAsia="Arial" w:hAnsi="Arial"/>
          <w:color w:val="1A1A1A"/>
          <w:sz w:val="22"/>
          <w:szCs w:val="22"/>
        </w:rPr>
        <w:t xml:space="preserve">Bettercap — network attack and MITM framework</w:t>
      </w:r>
    </w:p>
    <w:p>
      <w:pPr>
        <w:pStyle w:val="ListParagraph"/>
        <w:numPr>
          <w:ilvl w:val="0"/>
          <w:numId w:val="2"/>
        </w:numPr>
        <w:spacing w:before="40" w:after="40" w:line="320"/>
        <w:ind w:left="720"/>
      </w:pPr>
      <w:r>
        <w:rPr>
          <w:rFonts w:ascii="Arial" w:cs="Arial" w:eastAsia="Arial" w:hAnsi="Arial"/>
          <w:color w:val="1A1A1A"/>
          <w:sz w:val="22"/>
          <w:szCs w:val="22"/>
        </w:rPr>
        <w:t xml:space="preserve">Responder — LLMNR/NBT-NS/WPAD poisoner</w:t>
      </w:r>
    </w:p>
    <w:p>
      <w:pPr>
        <w:pStyle w:val="ListParagraph"/>
        <w:numPr>
          <w:ilvl w:val="0"/>
          <w:numId w:val="2"/>
        </w:numPr>
        <w:spacing w:before="40" w:after="40" w:line="320"/>
        <w:ind w:left="720"/>
      </w:pPr>
      <w:r>
        <w:rPr>
          <w:rFonts w:ascii="Arial" w:cs="Arial" w:eastAsia="Arial" w:hAnsi="Arial"/>
          <w:color w:val="1A1A1A"/>
          <w:sz w:val="22"/>
          <w:szCs w:val="22"/>
        </w:rPr>
        <w:t xml:space="preserve">Aircrack-ng — wireless network security toolkit</w:t>
      </w:r>
    </w:p>
    <w:p>
      <w:pPr>
        <w:pStyle w:val="ListParagraph"/>
        <w:numPr>
          <w:ilvl w:val="0"/>
          <w:numId w:val="2"/>
        </w:numPr>
        <w:spacing w:before="40" w:after="40" w:line="320"/>
        <w:ind w:left="720"/>
      </w:pPr>
      <w:r>
        <w:rPr>
          <w:rFonts w:ascii="Arial" w:cs="Arial" w:eastAsia="Arial" w:hAnsi="Arial"/>
          <w:color w:val="1A1A1A"/>
          <w:sz w:val="22"/>
          <w:szCs w:val="22"/>
        </w:rPr>
        <w:t xml:space="preserve">Wireshark — packet capture and analysis</w:t>
      </w:r>
    </w:p>
    <w:p>
      <w:pPr>
        <w:pStyle w:val="ListParagraph"/>
        <w:numPr>
          <w:ilvl w:val="0"/>
          <w:numId w:val="2"/>
        </w:numPr>
        <w:spacing w:before="40" w:after="40" w:line="320"/>
        <w:ind w:left="720"/>
      </w:pPr>
      <w:r>
        <w:rPr>
          <w:rFonts w:ascii="Arial" w:cs="Arial" w:eastAsia="Arial" w:hAnsi="Arial"/>
          <w:color w:val="1A1A1A"/>
          <w:sz w:val="22"/>
          <w:szCs w:val="22"/>
        </w:rPr>
        <w:t xml:space="preserve">nmap — network scanner and port enumerator</w:t>
      </w:r>
    </w:p>
    <w:p>
      <w:pPr>
        <w:spacing w:before="80" w:after="80"/>
      </w:pPr>
      <w:r>
        <w:t xml:space="preserve"/>
      </w:r>
    </w:p>
    <w:p>
      <w:pPr>
        <w:spacing w:before="80" w:after="80" w:line="360"/>
      </w:pPr>
      <w:r>
        <w:rPr>
          <w:rFonts w:ascii="Arial" w:cs="Arial" w:eastAsia="Arial" w:hAnsi="Arial"/>
          <w:color w:val="1A1A1A"/>
          <w:sz w:val="22"/>
          <w:szCs w:val="22"/>
        </w:rPr>
        <w:t xml:space="preserve">Like all of the above, KTOx is a dual-use tool. Its capabilities can be used for legitimate defensive security purposes or, if misused, for unauthorized activity. The legal or illegal nature of any particular use is determined entirely by the authorization status of the user, not by the existence of the tool itself.</w:t>
      </w:r>
    </w:p>
    <w:p>
      <w:pPr>
        <w:pBdr>
          <w:bottom w:val="single" w:color="CCCCCC" w:sz="4" w:space="1"/>
        </w:pBdr>
        <w:spacing w:before="160" w:after="160"/>
      </w:pPr>
      <w:r>
        <w:t xml:space="preserve"/>
      </w:r>
    </w:p>
    <w:p>
      <w:pPr>
        <w:pStyle w:val="Heading1"/>
        <w:pBdr>
          <w:bottom w:val="single" w:color="8B0000" w:sz="6" w:space="2"/>
        </w:pBdr>
        <w:spacing w:before="360" w:after="120"/>
      </w:pPr>
      <w:r>
        <w:rPr>
          <w:rFonts w:ascii="Arial" w:cs="Arial" w:eastAsia="Arial" w:hAnsi="Arial"/>
          <w:b/>
          <w:bCs/>
          <w:color w:val="8B0000"/>
          <w:sz w:val="28"/>
          <w:szCs w:val="28"/>
        </w:rPr>
        <w:t xml:space="preserve">2. Author's Disclaimer of Liability</w:t>
      </w:r>
    </w:p>
    <w:p>
      <w:pPr>
        <w:spacing w:before="80" w:after="80"/>
      </w:pPr>
      <w:r>
        <w:t xml:space="preserve"/>
      </w:r>
    </w:p>
    <w:p>
      <w:pPr>
        <w:pBdr>
          <w:left w:val="thick" w:color="8B0000" w:sz="16" w:space="6"/>
        </w:pBdr>
        <w:spacing w:before="120" w:after="120" w:line="340"/>
        <w:ind w:left="360" w:right="360"/>
      </w:pPr>
      <w:r>
        <w:rPr>
          <w:rFonts w:ascii="Arial" w:cs="Arial" w:eastAsia="Arial" w:hAnsi="Arial"/>
          <w:color w:val="1A1A1A"/>
          <w:sz w:val="21"/>
          <w:szCs w:val="21"/>
        </w:rPr>
        <w:t xml:space="preserve">THE AUTHOR (wickednull) EXPRESSLY DISCLAIMS ALL LIABILITY FOR ANY USE OF THIS SOFTWARE THAT VIOLATES APPLICABLE LAW. THE AUTHOR IS NOT RESPONSIBLE FOR, AND CANNOT CONTROL, HOW ANY THIRD PARTY CHOOSES TO USE THIS SOFTWARE.</w:t>
      </w:r>
    </w:p>
    <w:p>
      <w:pPr>
        <w:spacing w:before="80" w:after="80"/>
      </w:pPr>
      <w:r>
        <w:t xml:space="preserve"/>
      </w:r>
    </w:p>
    <w:p>
      <w:pPr>
        <w:spacing w:before="80" w:after="80" w:line="360"/>
      </w:pPr>
      <w:r>
        <w:rPr>
          <w:rFonts w:ascii="Arial" w:cs="Arial" w:eastAsia="Arial" w:hAnsi="Arial"/>
          <w:color w:val="1A1A1A"/>
          <w:sz w:val="22"/>
          <w:szCs w:val="22"/>
        </w:rPr>
        <w:t xml:space="preserve">The author of KTOx:</w:t>
      </w:r>
    </w:p>
    <w:p>
      <w:pPr>
        <w:pStyle w:val="ListParagraph"/>
        <w:numPr>
          <w:ilvl w:val="0"/>
          <w:numId w:val="2"/>
        </w:numPr>
        <w:spacing w:before="40" w:after="40" w:line="320"/>
        <w:ind w:left="720"/>
      </w:pPr>
      <w:r>
        <w:rPr>
          <w:rFonts w:ascii="Arial" w:cs="Arial" w:eastAsia="Arial" w:hAnsi="Arial"/>
          <w:color w:val="1A1A1A"/>
          <w:sz w:val="22"/>
          <w:szCs w:val="22"/>
        </w:rPr>
        <w:t xml:space="preserve">Did not create this software with the intent to facilitate unauthorized access to computer systems</w:t>
      </w:r>
    </w:p>
    <w:p>
      <w:pPr>
        <w:pStyle w:val="ListParagraph"/>
        <w:numPr>
          <w:ilvl w:val="0"/>
          <w:numId w:val="2"/>
        </w:numPr>
        <w:spacing w:before="40" w:after="40" w:line="320"/>
        <w:ind w:left="720"/>
      </w:pPr>
      <w:r>
        <w:rPr>
          <w:rFonts w:ascii="Arial" w:cs="Arial" w:eastAsia="Arial" w:hAnsi="Arial"/>
          <w:color w:val="1A1A1A"/>
          <w:sz w:val="22"/>
          <w:szCs w:val="22"/>
        </w:rPr>
        <w:t xml:space="preserve">Does not condone, encourage, or support the use of this software against systems without explicit authorization</w:t>
      </w:r>
    </w:p>
    <w:p>
      <w:pPr>
        <w:pStyle w:val="ListParagraph"/>
        <w:numPr>
          <w:ilvl w:val="0"/>
          <w:numId w:val="2"/>
        </w:numPr>
        <w:spacing w:before="40" w:after="40" w:line="320"/>
        <w:ind w:left="720"/>
      </w:pPr>
      <w:r>
        <w:rPr>
          <w:rFonts w:ascii="Arial" w:cs="Arial" w:eastAsia="Arial" w:hAnsi="Arial"/>
          <w:color w:val="1A1A1A"/>
          <w:sz w:val="22"/>
          <w:szCs w:val="22"/>
        </w:rPr>
        <w:t xml:space="preserve">Bears no responsibility for any damages, losses, legal consequences, or harm arising from unauthorized or illegal use of this software</w:t>
      </w:r>
    </w:p>
    <w:p>
      <w:pPr>
        <w:pStyle w:val="ListParagraph"/>
        <w:numPr>
          <w:ilvl w:val="0"/>
          <w:numId w:val="2"/>
        </w:numPr>
        <w:spacing w:before="40" w:after="40" w:line="320"/>
        <w:ind w:left="720"/>
      </w:pPr>
      <w:r>
        <w:rPr>
          <w:rFonts w:ascii="Arial" w:cs="Arial" w:eastAsia="Arial" w:hAnsi="Arial"/>
          <w:color w:val="1A1A1A"/>
          <w:sz w:val="22"/>
          <w:szCs w:val="22"/>
        </w:rPr>
        <w:t xml:space="preserve">Bears no responsibility for any damages arising from legitimate authorized use</w:t>
      </w:r>
    </w:p>
    <w:p>
      <w:pPr>
        <w:pStyle w:val="ListParagraph"/>
        <w:numPr>
          <w:ilvl w:val="0"/>
          <w:numId w:val="2"/>
        </w:numPr>
        <w:spacing w:before="40" w:after="40" w:line="320"/>
        <w:ind w:left="720"/>
      </w:pPr>
      <w:r>
        <w:rPr>
          <w:rFonts w:ascii="Arial" w:cs="Arial" w:eastAsia="Arial" w:hAnsi="Arial"/>
          <w:color w:val="1A1A1A"/>
          <w:sz w:val="22"/>
          <w:szCs w:val="22"/>
        </w:rPr>
        <w:t xml:space="preserve">Does not warrant that this software is free of defects, bugs, or unintended behaviors</w:t>
      </w:r>
    </w:p>
    <w:p>
      <w:pPr>
        <w:pStyle w:val="ListParagraph"/>
        <w:numPr>
          <w:ilvl w:val="0"/>
          <w:numId w:val="2"/>
        </w:numPr>
        <w:spacing w:before="40" w:after="40" w:line="320"/>
        <w:ind w:left="720"/>
      </w:pPr>
      <w:r>
        <w:rPr>
          <w:rFonts w:ascii="Arial" w:cs="Arial" w:eastAsia="Arial" w:hAnsi="Arial"/>
          <w:color w:val="1A1A1A"/>
          <w:sz w:val="22"/>
          <w:szCs w:val="22"/>
        </w:rPr>
        <w:t xml:space="preserve">Provides this software "AS IS" with no warranty of any kind, express or implied</w:t>
      </w:r>
    </w:p>
    <w:p>
      <w:pPr>
        <w:spacing w:before="80" w:after="80"/>
      </w:pPr>
      <w:r>
        <w:t xml:space="preserve"/>
      </w:r>
    </w:p>
    <w:p>
      <w:pPr>
        <w:spacing w:before="80" w:after="80" w:line="360"/>
      </w:pPr>
      <w:r>
        <w:rPr>
          <w:rFonts w:ascii="Arial" w:cs="Arial" w:eastAsia="Arial" w:hAnsi="Arial"/>
          <w:color w:val="1A1A1A"/>
          <w:sz w:val="22"/>
          <w:szCs w:val="22"/>
        </w:rPr>
        <w:t xml:space="preserve">This disclaimer is made to the fullest extent permitted by applicable law. In jurisdictions that do not permit full exclusion of liability, liability is limited to the maximum extent permitted by law.</w:t>
      </w:r>
    </w:p>
    <w:p>
      <w:pPr>
        <w:pBdr>
          <w:bottom w:val="single" w:color="CCCCCC" w:sz="4" w:space="1"/>
        </w:pBdr>
        <w:spacing w:before="160" w:after="160"/>
      </w:pPr>
      <w:r>
        <w:t xml:space="preserve"/>
      </w:r>
    </w:p>
    <w:p>
      <w:pPr>
        <w:pStyle w:val="Heading1"/>
        <w:pBdr>
          <w:bottom w:val="single" w:color="8B0000" w:sz="6" w:space="2"/>
        </w:pBdr>
        <w:spacing w:before="360" w:after="120"/>
      </w:pPr>
      <w:r>
        <w:rPr>
          <w:rFonts w:ascii="Arial" w:cs="Arial" w:eastAsia="Arial" w:hAnsi="Arial"/>
          <w:b/>
          <w:bCs/>
          <w:color w:val="8B0000"/>
          <w:sz w:val="28"/>
          <w:szCs w:val="28"/>
        </w:rPr>
        <w:t xml:space="preserve">3. License — GNU General Public License v3.0</w:t>
      </w:r>
    </w:p>
    <w:p>
      <w:pPr>
        <w:spacing w:before="80" w:after="80"/>
      </w:pPr>
      <w:r>
        <w:t xml:space="preserve"/>
      </w:r>
    </w:p>
    <w:p>
      <w:pPr>
        <w:spacing w:before="80" w:after="80" w:line="360"/>
      </w:pPr>
      <w:r>
        <w:rPr>
          <w:rFonts w:ascii="Arial" w:cs="Arial" w:eastAsia="Arial" w:hAnsi="Arial"/>
          <w:color w:val="1A1A1A"/>
          <w:sz w:val="22"/>
          <w:szCs w:val="22"/>
        </w:rPr>
        <w:t xml:space="preserve">KTOx is released under the GNU General Public License Version 3 (GPL-3.0). The full license text is available at: https://www.gnu.org/licenses/gpl-3.0.en.html</w:t>
      </w:r>
    </w:p>
    <w:p>
      <w:pPr>
        <w:spacing w:before="80" w:after="80"/>
      </w:pPr>
      <w:r>
        <w:t xml:space="preserve"/>
      </w:r>
    </w:p>
    <w:p>
      <w:pPr>
        <w:pStyle w:val="Heading3"/>
        <w:spacing w:before="200" w:after="60"/>
      </w:pPr>
      <w:r>
        <w:rPr>
          <w:rFonts w:ascii="Arial" w:cs="Arial" w:eastAsia="Arial" w:hAnsi="Arial"/>
          <w:b/>
          <w:bCs/>
          <w:color w:val="1A1A1A"/>
          <w:sz w:val="22"/>
          <w:szCs w:val="22"/>
        </w:rPr>
        <w:t xml:space="preserve">Summary of Your Rights Under GPL-3.0:</w:t>
      </w:r>
    </w:p>
    <w:p>
      <w:pPr>
        <w:pStyle w:val="ListParagraph"/>
        <w:numPr>
          <w:ilvl w:val="0"/>
          <w:numId w:val="2"/>
        </w:numPr>
        <w:spacing w:before="40" w:after="40" w:line="320"/>
        <w:ind w:left="720"/>
      </w:pPr>
      <w:r>
        <w:rPr>
          <w:rFonts w:ascii="Arial" w:cs="Arial" w:eastAsia="Arial" w:hAnsi="Arial"/>
          <w:color w:val="1A1A1A"/>
          <w:sz w:val="22"/>
          <w:szCs w:val="22"/>
        </w:rPr>
        <w:t xml:space="preserve">You may use, copy, and distribute this software freely</w:t>
      </w:r>
    </w:p>
    <w:p>
      <w:pPr>
        <w:pStyle w:val="ListParagraph"/>
        <w:numPr>
          <w:ilvl w:val="0"/>
          <w:numId w:val="2"/>
        </w:numPr>
        <w:spacing w:before="40" w:after="40" w:line="320"/>
        <w:ind w:left="720"/>
      </w:pPr>
      <w:r>
        <w:rPr>
          <w:rFonts w:ascii="Arial" w:cs="Arial" w:eastAsia="Arial" w:hAnsi="Arial"/>
          <w:color w:val="1A1A1A"/>
          <w:sz w:val="22"/>
          <w:szCs w:val="22"/>
        </w:rPr>
        <w:t xml:space="preserve">You may modify this software and distribute your modifications</w:t>
      </w:r>
    </w:p>
    <w:p>
      <w:pPr>
        <w:pStyle w:val="ListParagraph"/>
        <w:numPr>
          <w:ilvl w:val="0"/>
          <w:numId w:val="2"/>
        </w:numPr>
        <w:spacing w:before="40" w:after="40" w:line="320"/>
        <w:ind w:left="720"/>
      </w:pPr>
      <w:r>
        <w:rPr>
          <w:rFonts w:ascii="Arial" w:cs="Arial" w:eastAsia="Arial" w:hAnsi="Arial"/>
          <w:color w:val="1A1A1A"/>
          <w:sz w:val="22"/>
          <w:szCs w:val="22"/>
        </w:rPr>
        <w:t xml:space="preserve">All distributions — modified or unmodified — must include the source code or a written offer to provide it</w:t>
      </w:r>
    </w:p>
    <w:p>
      <w:pPr>
        <w:pStyle w:val="ListParagraph"/>
        <w:numPr>
          <w:ilvl w:val="0"/>
          <w:numId w:val="2"/>
        </w:numPr>
        <w:spacing w:before="40" w:after="40" w:line="320"/>
        <w:ind w:left="720"/>
      </w:pPr>
      <w:r>
        <w:rPr>
          <w:rFonts w:ascii="Arial" w:cs="Arial" w:eastAsia="Arial" w:hAnsi="Arial"/>
          <w:color w:val="1A1A1A"/>
          <w:sz w:val="22"/>
          <w:szCs w:val="22"/>
        </w:rPr>
        <w:t xml:space="preserve">All distributions must retain this license and copyright notices</w:t>
      </w:r>
    </w:p>
    <w:p>
      <w:pPr>
        <w:pStyle w:val="ListParagraph"/>
        <w:numPr>
          <w:ilvl w:val="0"/>
          <w:numId w:val="2"/>
        </w:numPr>
        <w:spacing w:before="40" w:after="40" w:line="320"/>
        <w:ind w:left="720"/>
      </w:pPr>
      <w:r>
        <w:rPr>
          <w:rFonts w:ascii="Arial" w:cs="Arial" w:eastAsia="Arial" w:hAnsi="Arial"/>
          <w:color w:val="1A1A1A"/>
          <w:sz w:val="22"/>
          <w:szCs w:val="22"/>
        </w:rPr>
        <w:t xml:space="preserve">You may not impose additional restrictions on recipients' exercise of GPL-3.0 rights</w:t>
      </w:r>
    </w:p>
    <w:p>
      <w:pPr>
        <w:pStyle w:val="ListParagraph"/>
        <w:numPr>
          <w:ilvl w:val="0"/>
          <w:numId w:val="2"/>
        </w:numPr>
        <w:spacing w:before="40" w:after="40" w:line="320"/>
        <w:ind w:left="720"/>
      </w:pPr>
      <w:r>
        <w:rPr>
          <w:rFonts w:ascii="Arial" w:cs="Arial" w:eastAsia="Arial" w:hAnsi="Arial"/>
          <w:color w:val="1A1A1A"/>
          <w:sz w:val="22"/>
          <w:szCs w:val="22"/>
        </w:rPr>
        <w:t xml:space="preserve">You may not sublicense this software under different terms</w:t>
      </w:r>
    </w:p>
    <w:p>
      <w:pPr>
        <w:spacing w:before="80" w:after="80"/>
      </w:pPr>
      <w:r>
        <w:t xml:space="preserve"/>
      </w:r>
    </w:p>
    <w:p>
      <w:pPr>
        <w:pStyle w:val="Heading3"/>
        <w:spacing w:before="200" w:after="60"/>
      </w:pPr>
      <w:r>
        <w:rPr>
          <w:rFonts w:ascii="Arial" w:cs="Arial" w:eastAsia="Arial" w:hAnsi="Arial"/>
          <w:b/>
          <w:bCs/>
          <w:color w:val="1A1A1A"/>
          <w:sz w:val="22"/>
          <w:szCs w:val="22"/>
        </w:rPr>
        <w:t xml:space="preserve">Conditions That Cannot Be Waived by This License:</w:t>
      </w:r>
    </w:p>
    <w:p>
      <w:pPr>
        <w:pStyle w:val="ListParagraph"/>
        <w:numPr>
          <w:ilvl w:val="0"/>
          <w:numId w:val="2"/>
        </w:numPr>
        <w:spacing w:before="40" w:after="40" w:line="320"/>
        <w:ind w:left="720"/>
      </w:pPr>
      <w:r>
        <w:rPr>
          <w:rFonts w:ascii="Arial" w:cs="Arial" w:eastAsia="Arial" w:hAnsi="Arial"/>
          <w:color w:val="1A1A1A"/>
          <w:sz w:val="22"/>
          <w:szCs w:val="22"/>
        </w:rPr>
        <w:t xml:space="preserve">GPL-3.0 does not grant you permission to use this software in violation of criminal law</w:t>
      </w:r>
    </w:p>
    <w:p>
      <w:pPr>
        <w:pStyle w:val="ListParagraph"/>
        <w:numPr>
          <w:ilvl w:val="0"/>
          <w:numId w:val="2"/>
        </w:numPr>
        <w:spacing w:before="40" w:after="40" w:line="320"/>
        <w:ind w:left="720"/>
      </w:pPr>
      <w:r>
        <w:rPr>
          <w:rFonts w:ascii="Arial" w:cs="Arial" w:eastAsia="Arial" w:hAnsi="Arial"/>
          <w:color w:val="1A1A1A"/>
          <w:sz w:val="22"/>
          <w:szCs w:val="22"/>
        </w:rPr>
        <w:t xml:space="preserve">GPL-3.0 does not grant you permission to use this software against systems you are not authorized to test</w:t>
      </w:r>
    </w:p>
    <w:p>
      <w:pPr>
        <w:pStyle w:val="ListParagraph"/>
        <w:numPr>
          <w:ilvl w:val="0"/>
          <w:numId w:val="2"/>
        </w:numPr>
        <w:spacing w:before="40" w:after="40" w:line="320"/>
        <w:ind w:left="720"/>
      </w:pPr>
      <w:r>
        <w:rPr>
          <w:rFonts w:ascii="Arial" w:cs="Arial" w:eastAsia="Arial" w:hAnsi="Arial"/>
          <w:color w:val="1A1A1A"/>
          <w:sz w:val="22"/>
          <w:szCs w:val="22"/>
        </w:rPr>
        <w:t xml:space="preserve">Redistribution requires preservation of all copyright notices and this legal notice</w:t>
      </w:r>
    </w:p>
    <w:p>
      <w:pPr>
        <w:spacing w:before="80" w:after="80"/>
      </w:pPr>
      <w:r>
        <w:t xml:space="preserve"/>
      </w:r>
    </w:p>
    <w:p>
      <w:pPr>
        <w:pBdr>
          <w:left w:val="thick" w:color="8B0000" w:sz="16" w:space="6"/>
        </w:pBdr>
        <w:spacing w:before="120" w:after="120" w:line="340"/>
        <w:ind w:left="360" w:right="360"/>
      </w:pPr>
      <w:r>
        <w:rPr>
          <w:rFonts w:ascii="Arial" w:cs="Arial" w:eastAsia="Arial" w:hAnsi="Arial"/>
          <w:color w:val="1A1A1A"/>
          <w:sz w:val="21"/>
          <w:szCs w:val="21"/>
        </w:rPr>
        <w:t xml:space="preserve">GPL-3.0 is a copyleft license. Any software that incorporates, derives from, or links to KTOx must itself be released under GPL-3.0 or a compatible license. You cannot incorporate KTOx code into proprietary closed-source software.</w:t>
      </w:r>
    </w:p>
    <w:p>
      <w:pPr>
        <w:pBdr>
          <w:bottom w:val="single" w:color="CCCCCC" w:sz="4" w:space="1"/>
        </w:pBdr>
        <w:spacing w:before="160" w:after="160"/>
      </w:pPr>
      <w:r>
        <w:t xml:space="preserve"/>
      </w:r>
    </w:p>
    <w:p>
      <w:pPr>
        <w:pStyle w:val="Heading1"/>
        <w:pBdr>
          <w:bottom w:val="single" w:color="8B0000" w:sz="6" w:space="2"/>
        </w:pBdr>
        <w:spacing w:before="360" w:after="120"/>
      </w:pPr>
      <w:r>
        <w:rPr>
          <w:rFonts w:ascii="Arial" w:cs="Arial" w:eastAsia="Arial" w:hAnsi="Arial"/>
          <w:b/>
          <w:bCs/>
          <w:color w:val="8B0000"/>
          <w:sz w:val="28"/>
          <w:szCs w:val="28"/>
        </w:rPr>
        <w:t xml:space="preserve">4. Permitted and Prohibited Uses</w:t>
      </w:r>
    </w:p>
    <w:p>
      <w:pPr>
        <w:spacing w:before="80" w:after="80"/>
      </w:pPr>
      <w:r>
        <w:t xml:space="preserve"/>
      </w:r>
    </w:p>
    <w:p>
      <w:pPr>
        <w:pStyle w:val="Heading3"/>
        <w:spacing w:before="200" w:after="60"/>
      </w:pPr>
      <w:r>
        <w:rPr>
          <w:rFonts w:ascii="Arial" w:cs="Arial" w:eastAsia="Arial" w:hAnsi="Arial"/>
          <w:b/>
          <w:bCs/>
          <w:color w:val="1A1A1A"/>
          <w:sz w:val="22"/>
          <w:szCs w:val="22"/>
        </w:rPr>
        <w:t xml:space="preserve">Permitted Uses (non-exhaustive):</w:t>
      </w:r>
    </w:p>
    <w:p>
      <w:pPr>
        <w:pStyle w:val="ListParagraph"/>
        <w:numPr>
          <w:ilvl w:val="0"/>
          <w:numId w:val="2"/>
        </w:numPr>
        <w:spacing w:before="40" w:after="40" w:line="320"/>
        <w:ind w:left="720"/>
      </w:pPr>
      <w:r>
        <w:rPr>
          <w:rFonts w:ascii="Arial" w:cs="Arial" w:eastAsia="Arial" w:hAnsi="Arial"/>
          <w:color w:val="1A1A1A"/>
          <w:sz w:val="22"/>
          <w:szCs w:val="22"/>
        </w:rPr>
        <w:t xml:space="preserve">Penetration testing on networks and systems you own</w:t>
      </w:r>
    </w:p>
    <w:p>
      <w:pPr>
        <w:pStyle w:val="ListParagraph"/>
        <w:numPr>
          <w:ilvl w:val="0"/>
          <w:numId w:val="2"/>
        </w:numPr>
        <w:spacing w:before="40" w:after="40" w:line="320"/>
        <w:ind w:left="720"/>
      </w:pPr>
      <w:r>
        <w:rPr>
          <w:rFonts w:ascii="Arial" w:cs="Arial" w:eastAsia="Arial" w:hAnsi="Arial"/>
          <w:color w:val="1A1A1A"/>
          <w:sz w:val="22"/>
          <w:szCs w:val="22"/>
        </w:rPr>
        <w:t xml:space="preserve">Penetration testing under a signed Statement of Work or Rules of Engagement</w:t>
      </w:r>
    </w:p>
    <w:p>
      <w:pPr>
        <w:pStyle w:val="ListParagraph"/>
        <w:numPr>
          <w:ilvl w:val="0"/>
          <w:numId w:val="2"/>
        </w:numPr>
        <w:spacing w:before="40" w:after="40" w:line="320"/>
        <w:ind w:left="720"/>
      </w:pPr>
      <w:r>
        <w:rPr>
          <w:rFonts w:ascii="Arial" w:cs="Arial" w:eastAsia="Arial" w:hAnsi="Arial"/>
          <w:color w:val="1A1A1A"/>
          <w:sz w:val="22"/>
          <w:szCs w:val="22"/>
        </w:rPr>
        <w:t xml:space="preserve">Security research in isolated lab environments</w:t>
      </w:r>
    </w:p>
    <w:p>
      <w:pPr>
        <w:pStyle w:val="ListParagraph"/>
        <w:numPr>
          <w:ilvl w:val="0"/>
          <w:numId w:val="2"/>
        </w:numPr>
        <w:spacing w:before="40" w:after="40" w:line="320"/>
        <w:ind w:left="720"/>
      </w:pPr>
      <w:r>
        <w:rPr>
          <w:rFonts w:ascii="Arial" w:cs="Arial" w:eastAsia="Arial" w:hAnsi="Arial"/>
          <w:color w:val="1A1A1A"/>
          <w:sz w:val="22"/>
          <w:szCs w:val="22"/>
        </w:rPr>
        <w:t xml:space="preserve">Educational use in cybersecurity courses and training programs</w:t>
      </w:r>
    </w:p>
    <w:p>
      <w:pPr>
        <w:pStyle w:val="ListParagraph"/>
        <w:numPr>
          <w:ilvl w:val="0"/>
          <w:numId w:val="2"/>
        </w:numPr>
        <w:spacing w:before="40" w:after="40" w:line="320"/>
        <w:ind w:left="720"/>
      </w:pPr>
      <w:r>
        <w:rPr>
          <w:rFonts w:ascii="Arial" w:cs="Arial" w:eastAsia="Arial" w:hAnsi="Arial"/>
          <w:color w:val="1A1A1A"/>
          <w:sz w:val="22"/>
          <w:szCs w:val="22"/>
        </w:rPr>
        <w:t xml:space="preserve">CTF (Capture the Flag) competitions</w:t>
      </w:r>
    </w:p>
    <w:p>
      <w:pPr>
        <w:pStyle w:val="ListParagraph"/>
        <w:numPr>
          <w:ilvl w:val="0"/>
          <w:numId w:val="2"/>
        </w:numPr>
        <w:spacing w:before="40" w:after="40" w:line="320"/>
        <w:ind w:left="720"/>
      </w:pPr>
      <w:r>
        <w:rPr>
          <w:rFonts w:ascii="Arial" w:cs="Arial" w:eastAsia="Arial" w:hAnsi="Arial"/>
          <w:color w:val="1A1A1A"/>
          <w:sz w:val="22"/>
          <w:szCs w:val="22"/>
        </w:rPr>
        <w:t xml:space="preserve">Testing your own organization's network security posture</w:t>
      </w:r>
    </w:p>
    <w:p>
      <w:pPr>
        <w:pStyle w:val="ListParagraph"/>
        <w:numPr>
          <w:ilvl w:val="0"/>
          <w:numId w:val="2"/>
        </w:numPr>
        <w:spacing w:before="40" w:after="40" w:line="320"/>
        <w:ind w:left="720"/>
      </w:pPr>
      <w:r>
        <w:rPr>
          <w:rFonts w:ascii="Arial" w:cs="Arial" w:eastAsia="Arial" w:hAnsi="Arial"/>
          <w:color w:val="1A1A1A"/>
          <w:sz w:val="22"/>
          <w:szCs w:val="22"/>
        </w:rPr>
        <w:t xml:space="preserve">Academic research with appropriate institutional oversight</w:t>
      </w:r>
    </w:p>
    <w:p>
      <w:pPr>
        <w:pStyle w:val="ListParagraph"/>
        <w:numPr>
          <w:ilvl w:val="0"/>
          <w:numId w:val="2"/>
        </w:numPr>
        <w:spacing w:before="40" w:after="40" w:line="320"/>
        <w:ind w:left="720"/>
      </w:pPr>
      <w:r>
        <w:rPr>
          <w:rFonts w:ascii="Arial" w:cs="Arial" w:eastAsia="Arial" w:hAnsi="Arial"/>
          <w:color w:val="1A1A1A"/>
          <w:sz w:val="22"/>
          <w:szCs w:val="22"/>
        </w:rPr>
        <w:t xml:space="preserve">Defensive security — identifying and remediating vulnerabilities before attackers do</w:t>
      </w:r>
    </w:p>
    <w:p>
      <w:pPr>
        <w:spacing w:before="80" w:after="80"/>
      </w:pPr>
      <w:r>
        <w:t xml:space="preserve"/>
      </w:r>
    </w:p>
    <w:p>
      <w:pPr>
        <w:pStyle w:val="Heading3"/>
        <w:spacing w:before="200" w:after="60"/>
      </w:pPr>
      <w:r>
        <w:rPr>
          <w:rFonts w:ascii="Arial" w:cs="Arial" w:eastAsia="Arial" w:hAnsi="Arial"/>
          <w:b/>
          <w:bCs/>
          <w:color w:val="1A1A1A"/>
          <w:sz w:val="22"/>
          <w:szCs w:val="22"/>
        </w:rPr>
        <w:t xml:space="preserve">Prohibited Uses (non-exhaustive):</w:t>
      </w:r>
    </w:p>
    <w:p>
      <w:pPr>
        <w:pStyle w:val="ListParagraph"/>
        <w:numPr>
          <w:ilvl w:val="0"/>
          <w:numId w:val="2"/>
        </w:numPr>
        <w:spacing w:before="40" w:after="40" w:line="320"/>
        <w:ind w:left="720"/>
      </w:pPr>
      <w:r>
        <w:rPr>
          <w:rFonts w:ascii="Arial" w:cs="Arial" w:eastAsia="Arial" w:hAnsi="Arial"/>
          <w:color w:val="1A1A1A"/>
          <w:sz w:val="22"/>
          <w:szCs w:val="22"/>
        </w:rPr>
        <w:t xml:space="preserve">Using this software against any network, device, or system without explicit written authorization from the owner</w:t>
      </w:r>
    </w:p>
    <w:p>
      <w:pPr>
        <w:pStyle w:val="ListParagraph"/>
        <w:numPr>
          <w:ilvl w:val="0"/>
          <w:numId w:val="2"/>
        </w:numPr>
        <w:spacing w:before="40" w:after="40" w:line="320"/>
        <w:ind w:left="720"/>
      </w:pPr>
      <w:r>
        <w:rPr>
          <w:rFonts w:ascii="Arial" w:cs="Arial" w:eastAsia="Arial" w:hAnsi="Arial"/>
          <w:color w:val="1A1A1A"/>
          <w:sz w:val="22"/>
          <w:szCs w:val="22"/>
        </w:rPr>
        <w:t xml:space="preserve">Using this software to intercept, capture, or exfiltrate data from unauthorized parties</w:t>
      </w:r>
    </w:p>
    <w:p>
      <w:pPr>
        <w:pStyle w:val="ListParagraph"/>
        <w:numPr>
          <w:ilvl w:val="0"/>
          <w:numId w:val="2"/>
        </w:numPr>
        <w:spacing w:before="40" w:after="40" w:line="320"/>
        <w:ind w:left="720"/>
      </w:pPr>
      <w:r>
        <w:rPr>
          <w:rFonts w:ascii="Arial" w:cs="Arial" w:eastAsia="Arial" w:hAnsi="Arial"/>
          <w:color w:val="1A1A1A"/>
          <w:sz w:val="22"/>
          <w:szCs w:val="22"/>
        </w:rPr>
        <w:t xml:space="preserve">Using this software to disrupt, degrade, or deny services to unauthorized parties</w:t>
      </w:r>
    </w:p>
    <w:p>
      <w:pPr>
        <w:pStyle w:val="ListParagraph"/>
        <w:numPr>
          <w:ilvl w:val="0"/>
          <w:numId w:val="2"/>
        </w:numPr>
        <w:spacing w:before="40" w:after="40" w:line="320"/>
        <w:ind w:left="720"/>
      </w:pPr>
      <w:r>
        <w:rPr>
          <w:rFonts w:ascii="Arial" w:cs="Arial" w:eastAsia="Arial" w:hAnsi="Arial"/>
          <w:color w:val="1A1A1A"/>
          <w:sz w:val="22"/>
          <w:szCs w:val="22"/>
        </w:rPr>
        <w:t xml:space="preserve">Using this software in furtherance of any criminal enterprise</w:t>
      </w:r>
    </w:p>
    <w:p>
      <w:pPr>
        <w:pStyle w:val="ListParagraph"/>
        <w:numPr>
          <w:ilvl w:val="0"/>
          <w:numId w:val="2"/>
        </w:numPr>
        <w:spacing w:before="40" w:after="40" w:line="320"/>
        <w:ind w:left="720"/>
      </w:pPr>
      <w:r>
        <w:rPr>
          <w:rFonts w:ascii="Arial" w:cs="Arial" w:eastAsia="Arial" w:hAnsi="Arial"/>
          <w:color w:val="1A1A1A"/>
          <w:sz w:val="22"/>
          <w:szCs w:val="22"/>
        </w:rPr>
        <w:t xml:space="preserve">Redistributing this software with false claims about its purpose or capabilities</w:t>
      </w:r>
    </w:p>
    <w:p>
      <w:pPr>
        <w:pStyle w:val="ListParagraph"/>
        <w:numPr>
          <w:ilvl w:val="0"/>
          <w:numId w:val="2"/>
        </w:numPr>
        <w:spacing w:before="40" w:after="40" w:line="320"/>
        <w:ind w:left="720"/>
      </w:pPr>
      <w:r>
        <w:rPr>
          <w:rFonts w:ascii="Arial" w:cs="Arial" w:eastAsia="Arial" w:hAnsi="Arial"/>
          <w:color w:val="1A1A1A"/>
          <w:sz w:val="22"/>
          <w:szCs w:val="22"/>
        </w:rPr>
        <w:t xml:space="preserve">Removing, modifying, or obscuring this legal notice or the GPL-3.0 license</w:t>
      </w:r>
    </w:p>
    <w:p>
      <w:pPr>
        <w:spacing w:before="80" w:after="80"/>
      </w:pPr>
      <w:r>
        <w:t xml:space="preserve"/>
      </w:r>
    </w:p>
    <w:p>
      <w:pPr>
        <w:pBdr>
          <w:left w:val="thick" w:color="8B0000" w:sz="16" w:space="6"/>
        </w:pBdr>
        <w:spacing w:before="120" w:after="120" w:line="340"/>
        <w:ind w:left="360" w:right="360"/>
      </w:pPr>
      <w:r>
        <w:rPr>
          <w:rFonts w:ascii="Arial" w:cs="Arial" w:eastAsia="Arial" w:hAnsi="Arial"/>
          <w:color w:val="1A1A1A"/>
          <w:sz w:val="21"/>
          <w:szCs w:val="21"/>
        </w:rPr>
        <w:t xml:space="preserve">A verbal conversation is NOT authorization. Proper authorization requires explicit written permission from the system owner, specifying the scope of testing, the dates of engagement, and the systems in scope. When in doubt, get it in writing before you begin.</w:t>
      </w:r>
    </w:p>
    <w:p>
      <w:pPr>
        <w:pBdr>
          <w:bottom w:val="single" w:color="CCCCCC" w:sz="4" w:space="1"/>
        </w:pBdr>
        <w:spacing w:before="160" w:after="160"/>
      </w:pPr>
      <w:r>
        <w:t xml:space="preserve"/>
      </w:r>
    </w:p>
    <w:p>
      <w:pPr>
        <w:pStyle w:val="Heading1"/>
        <w:pBdr>
          <w:bottom w:val="single" w:color="8B0000" w:sz="6" w:space="2"/>
        </w:pBdr>
        <w:spacing w:before="360" w:after="120"/>
      </w:pPr>
      <w:r>
        <w:rPr>
          <w:rFonts w:ascii="Arial" w:cs="Arial" w:eastAsia="Arial" w:hAnsi="Arial"/>
          <w:b/>
          <w:bCs/>
          <w:color w:val="8B0000"/>
          <w:sz w:val="28"/>
          <w:szCs w:val="28"/>
        </w:rPr>
        <w:t xml:space="preserve">5. Applicable Law — United States</w:t>
      </w:r>
    </w:p>
    <w:p>
      <w:pPr>
        <w:spacing w:before="80" w:after="80"/>
      </w:pPr>
      <w:r>
        <w:t xml:space="preserve"/>
      </w:r>
    </w:p>
    <w:p>
      <w:pPr>
        <w:spacing w:before="80" w:after="80" w:line="360"/>
      </w:pPr>
      <w:r>
        <w:rPr>
          <w:rFonts w:ascii="Arial" w:cs="Arial" w:eastAsia="Arial" w:hAnsi="Arial"/>
          <w:color w:val="1A1A1A"/>
          <w:sz w:val="22"/>
          <w:szCs w:val="22"/>
        </w:rPr>
        <w:t xml:space="preserve">Users in the United States should be aware of the following primary federal statutes. This is not legal advice — consult a licensed attorney for guidance on your specific situation.</w:t>
      </w:r>
    </w:p>
    <w:p>
      <w:pPr>
        <w:spacing w:before="80" w:after="80"/>
      </w:pPr>
      <w:r>
        <w:t xml:space="preserve"/>
      </w:r>
    </w:p>
    <w:p>
      <w:pPr>
        <w:pStyle w:val="Heading3"/>
        <w:spacing w:before="200" w:after="60"/>
      </w:pPr>
      <w:r>
        <w:rPr>
          <w:rFonts w:ascii="Arial" w:cs="Arial" w:eastAsia="Arial" w:hAnsi="Arial"/>
          <w:b/>
          <w:bCs/>
          <w:color w:val="1A1A1A"/>
          <w:sz w:val="22"/>
          <w:szCs w:val="22"/>
        </w:rPr>
        <w:t xml:space="preserve">Computer Fraud and Abuse Act (CFAA) — 18 U.S.C. § 1030</w:t>
      </w:r>
    </w:p>
    <w:p>
      <w:pPr>
        <w:spacing w:before="80" w:after="80" w:line="360"/>
      </w:pPr>
      <w:r>
        <w:rPr>
          <w:rFonts w:ascii="Arial" w:cs="Arial" w:eastAsia="Arial" w:hAnsi="Arial"/>
          <w:color w:val="1A1A1A"/>
          <w:sz w:val="22"/>
          <w:szCs w:val="22"/>
        </w:rPr>
        <w:t xml:space="preserve">The CFAA is the primary federal statute governing unauthorized computer access. It prohibits:</w:t>
      </w:r>
    </w:p>
    <w:p>
      <w:pPr>
        <w:pStyle w:val="ListParagraph"/>
        <w:numPr>
          <w:ilvl w:val="0"/>
          <w:numId w:val="2"/>
        </w:numPr>
        <w:spacing w:before="40" w:after="40" w:line="320"/>
        <w:ind w:left="720"/>
      </w:pPr>
      <w:r>
        <w:rPr>
          <w:rFonts w:ascii="Arial" w:cs="Arial" w:eastAsia="Arial" w:hAnsi="Arial"/>
          <w:color w:val="1A1A1A"/>
          <w:sz w:val="22"/>
          <w:szCs w:val="22"/>
        </w:rPr>
        <w:t xml:space="preserve">Accessing a protected computer without authorization or in excess of authorization</w:t>
      </w:r>
    </w:p>
    <w:p>
      <w:pPr>
        <w:pStyle w:val="ListParagraph"/>
        <w:numPr>
          <w:ilvl w:val="0"/>
          <w:numId w:val="2"/>
        </w:numPr>
        <w:spacing w:before="40" w:after="40" w:line="320"/>
        <w:ind w:left="720"/>
      </w:pPr>
      <w:r>
        <w:rPr>
          <w:rFonts w:ascii="Arial" w:cs="Arial" w:eastAsia="Arial" w:hAnsi="Arial"/>
          <w:color w:val="1A1A1A"/>
          <w:sz w:val="22"/>
          <w:szCs w:val="22"/>
        </w:rPr>
        <w:t xml:space="preserve">Intentionally causing damage to protected computers</w:t>
      </w:r>
    </w:p>
    <w:p>
      <w:pPr>
        <w:pStyle w:val="ListParagraph"/>
        <w:numPr>
          <w:ilvl w:val="0"/>
          <w:numId w:val="2"/>
        </w:numPr>
        <w:spacing w:before="40" w:after="40" w:line="320"/>
        <w:ind w:left="720"/>
      </w:pPr>
      <w:r>
        <w:rPr>
          <w:rFonts w:ascii="Arial" w:cs="Arial" w:eastAsia="Arial" w:hAnsi="Arial"/>
          <w:color w:val="1A1A1A"/>
          <w:sz w:val="22"/>
          <w:szCs w:val="22"/>
        </w:rPr>
        <w:t xml:space="preserve">Trafficking in computer passwords</w:t>
      </w:r>
    </w:p>
    <w:p>
      <w:pPr>
        <w:spacing w:before="80" w:after="80"/>
      </w:pPr>
      <w:r>
        <w:t xml:space="preserve"/>
      </w:r>
    </w:p>
    <w:p>
      <w:pPr>
        <w:spacing w:before="80" w:after="80" w:line="360"/>
      </w:pPr>
      <w:r>
        <w:rPr>
          <w:rFonts w:ascii="Arial" w:cs="Arial" w:eastAsia="Arial" w:hAnsi="Arial"/>
          <w:color w:val="1A1A1A"/>
          <w:sz w:val="22"/>
          <w:szCs w:val="22"/>
        </w:rPr>
        <w:t xml:space="preserve">KTOx used without proper authorization may violate the CFAA. Penalties include fines and imprisonment of up to 10 years for first offenses involving serious damage.</w:t>
      </w:r>
    </w:p>
    <w:p>
      <w:pPr>
        <w:spacing w:before="80" w:after="80"/>
      </w:pPr>
      <w:r>
        <w:t xml:space="preserve"/>
      </w:r>
    </w:p>
    <w:p>
      <w:pPr>
        <w:pStyle w:val="Heading3"/>
        <w:spacing w:before="200" w:after="60"/>
      </w:pPr>
      <w:r>
        <w:rPr>
          <w:rFonts w:ascii="Arial" w:cs="Arial" w:eastAsia="Arial" w:hAnsi="Arial"/>
          <w:b/>
          <w:bCs/>
          <w:color w:val="1A1A1A"/>
          <w:sz w:val="22"/>
          <w:szCs w:val="22"/>
        </w:rPr>
        <w:t xml:space="preserve">Electronic Communications Privacy Act (ECPA) — 18 U.S.C. §§ 2510-2523</w:t>
      </w:r>
    </w:p>
    <w:p>
      <w:pPr>
        <w:spacing w:before="80" w:after="80" w:line="360"/>
      </w:pPr>
      <w:r>
        <w:rPr>
          <w:rFonts w:ascii="Arial" w:cs="Arial" w:eastAsia="Arial" w:hAnsi="Arial"/>
          <w:color w:val="1A1A1A"/>
          <w:sz w:val="22"/>
          <w:szCs w:val="22"/>
        </w:rPr>
        <w:t xml:space="preserve">The ECPA prohibits the intentional interception of electronic communications without authorization. Network traffic interception using tools like KTOx's MITM or sniffing modules without authorization may violate the ECPA. Exceptions exist for network administrators monitoring their own systems.</w:t>
      </w:r>
    </w:p>
    <w:p>
      <w:pPr>
        <w:spacing w:before="80" w:after="80"/>
      </w:pPr>
      <w:r>
        <w:t xml:space="preserve"/>
      </w:r>
    </w:p>
    <w:p>
      <w:pPr>
        <w:pStyle w:val="Heading3"/>
        <w:spacing w:before="200" w:after="60"/>
      </w:pPr>
      <w:r>
        <w:rPr>
          <w:rFonts w:ascii="Arial" w:cs="Arial" w:eastAsia="Arial" w:hAnsi="Arial"/>
          <w:b/>
          <w:bCs/>
          <w:color w:val="1A1A1A"/>
          <w:sz w:val="22"/>
          <w:szCs w:val="22"/>
        </w:rPr>
        <w:t xml:space="preserve">Wiretap Act — 18 U.S.C. § 2511</w:t>
      </w:r>
    </w:p>
    <w:p>
      <w:pPr>
        <w:spacing w:before="80" w:after="80" w:line="360"/>
      </w:pPr>
      <w:r>
        <w:rPr>
          <w:rFonts w:ascii="Arial" w:cs="Arial" w:eastAsia="Arial" w:hAnsi="Arial"/>
          <w:color w:val="1A1A1A"/>
          <w:sz w:val="22"/>
          <w:szCs w:val="22"/>
        </w:rPr>
        <w:t xml:space="preserve">Prohibits intentional interception of wire, oral, or electronic communications. Capturing credentials, session cookies, or packet data from unauthorized targets may constitute a felony wiretap violation.</w:t>
      </w:r>
    </w:p>
    <w:p>
      <w:pPr>
        <w:spacing w:before="80" w:after="80"/>
      </w:pPr>
      <w:r>
        <w:t xml:space="preserve"/>
      </w:r>
    </w:p>
    <w:p>
      <w:pPr>
        <w:pBdr>
          <w:bottom w:val="single" w:color="CCCCCC" w:sz="4" w:space="1"/>
        </w:pBdr>
        <w:spacing w:before="160" w:after="160"/>
      </w:pPr>
      <w:r>
        <w:t xml:space="preserve"/>
      </w:r>
    </w:p>
    <w:p>
      <w:pPr>
        <w:pStyle w:val="Heading1"/>
        <w:pBdr>
          <w:bottom w:val="single" w:color="8B0000" w:sz="6" w:space="2"/>
        </w:pBdr>
        <w:spacing w:before="360" w:after="120"/>
      </w:pPr>
      <w:r>
        <w:rPr>
          <w:rFonts w:ascii="Arial" w:cs="Arial" w:eastAsia="Arial" w:hAnsi="Arial"/>
          <w:b/>
          <w:bCs/>
          <w:color w:val="8B0000"/>
          <w:sz w:val="28"/>
          <w:szCs w:val="28"/>
        </w:rPr>
        <w:t xml:space="preserve">6. Applicable Law — International</w:t>
      </w:r>
    </w:p>
    <w:p>
      <w:pPr>
        <w:spacing w:before="80" w:after="80"/>
      </w:pPr>
      <w:r>
        <w:t xml:space="preserve"/>
      </w:r>
    </w:p>
    <w:p>
      <w:pPr>
        <w:spacing w:before="80" w:after="80" w:line="360"/>
      </w:pPr>
      <w:r>
        <w:rPr>
          <w:rFonts w:ascii="Arial" w:cs="Arial" w:eastAsia="Arial" w:hAnsi="Arial"/>
          <w:color w:val="1A1A1A"/>
          <w:sz w:val="22"/>
          <w:szCs w:val="22"/>
        </w:rPr>
        <w:t xml:space="preserve">KTOx is published and maintained from the United States. Users in other jurisdictions are solely responsible for compliance with their local laws. The following is a non-exhaustive reference: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Jurisdiction</w:t>
            </w:r>
          </w:p>
        </w:tc>
        <w:tc>
          <w:tcPr>
            <w:tcW w:type="dxa" w:w="358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Primary Statute</w:t>
            </w:r>
          </w:p>
        </w:tc>
        <w:tc>
          <w:tcPr>
            <w:tcW w:type="dxa" w:w="358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Key Prohibition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United Kingdom</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Computer Misuse Act 1990</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Unauthorized access; maximum 10 years imprisonment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European Union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Directive 2013/40/EU</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Attacks against information systems; harmonized EU-wide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Canada</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Criminal Code §§ 342.1, 430</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Unauthorized computer use; mischief in relation to data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Australia</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Cybercrime Act 2001</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Unauthorized access or modification of data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Germany</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 202a StGB</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Espionage of data; unauthorized interception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Japan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Unauthorized Computer Access Law</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Unauthorized access prohibition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Singapore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Computer Misuse Act (Cap. 50A)</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Unauthorized access; up to 10 years imprisonment</w:t>
            </w:r>
          </w:p>
        </w:tc>
      </w:tr>
    </w:tbl>
    <w:p>
      <w:pPr>
        <w:spacing w:before="80" w:after="80"/>
      </w:pPr>
      <w:r>
        <w:t xml:space="preserve"/>
      </w:r>
    </w:p>
    <w:p>
      <w:pPr>
        <w:spacing w:before="80" w:after="80" w:line="360"/>
      </w:pPr>
      <w:r>
        <w:rPr>
          <w:rFonts w:ascii="Arial" w:cs="Arial" w:eastAsia="Arial" w:hAnsi="Arial"/>
          <w:color w:val="1A1A1A"/>
          <w:sz w:val="22"/>
          <w:szCs w:val="22"/>
        </w:rPr>
        <w:t xml:space="preserve">This table is for reference only and is not exhaustive. Laws change frequently. Always consult a licensed attorney in your jurisdiction before conducting security testing.</w:t>
      </w:r>
    </w:p>
    <w:p>
      <w:pPr>
        <w:pBdr>
          <w:bottom w:val="single" w:color="CCCCCC" w:sz="4" w:space="1"/>
        </w:pBdr>
        <w:spacing w:before="160" w:after="160"/>
      </w:pPr>
      <w:r>
        <w:t xml:space="preserve"/>
      </w:r>
    </w:p>
    <w:p>
      <w:pPr>
        <w:pStyle w:val="Heading1"/>
        <w:pBdr>
          <w:bottom w:val="single" w:color="8B0000" w:sz="6" w:space="2"/>
        </w:pBdr>
        <w:spacing w:before="360" w:after="120"/>
      </w:pPr>
      <w:r>
        <w:rPr>
          <w:rFonts w:ascii="Arial" w:cs="Arial" w:eastAsia="Arial" w:hAnsi="Arial"/>
          <w:b/>
          <w:bCs/>
          <w:color w:val="8B0000"/>
          <w:sz w:val="28"/>
          <w:szCs w:val="28"/>
        </w:rPr>
        <w:t xml:space="preserve">7. Responsible Disclosure</w:t>
      </w:r>
    </w:p>
    <w:p>
      <w:pPr>
        <w:spacing w:before="80" w:after="80"/>
      </w:pPr>
      <w:r>
        <w:t xml:space="preserve"/>
      </w:r>
    </w:p>
    <w:p>
      <w:pPr>
        <w:spacing w:before="80" w:after="80" w:line="360"/>
      </w:pPr>
      <w:r>
        <w:rPr>
          <w:rFonts w:ascii="Arial" w:cs="Arial" w:eastAsia="Arial" w:hAnsi="Arial"/>
          <w:color w:val="1A1A1A"/>
          <w:sz w:val="22"/>
          <w:szCs w:val="22"/>
        </w:rPr>
        <w:t xml:space="preserve">If you use KTOx or any security tool to discover vulnerabilities in systems you are authorized to test, the author encourages responsible disclosure practices:</w:t>
      </w:r>
    </w:p>
    <w:p>
      <w:pPr>
        <w:spacing w:before="80" w:after="80"/>
      </w:pPr>
      <w:r>
        <w:t xml:space="preserve"/>
      </w:r>
    </w:p>
    <w:p>
      <w:pPr>
        <w:pStyle w:val="ListParagraph"/>
        <w:numPr>
          <w:ilvl w:val="0"/>
          <w:numId w:val="2"/>
        </w:numPr>
        <w:spacing w:before="40" w:after="40" w:line="320"/>
        <w:ind w:left="720"/>
      </w:pPr>
      <w:r>
        <w:rPr>
          <w:rFonts w:ascii="Arial" w:cs="Arial" w:eastAsia="Arial" w:hAnsi="Arial"/>
          <w:color w:val="1A1A1A"/>
          <w:sz w:val="22"/>
          <w:szCs w:val="22"/>
        </w:rPr>
        <w:t xml:space="preserve">Notify the affected organization privately before any public disclosure</w:t>
      </w:r>
    </w:p>
    <w:p>
      <w:pPr>
        <w:pStyle w:val="ListParagraph"/>
        <w:numPr>
          <w:ilvl w:val="0"/>
          <w:numId w:val="2"/>
        </w:numPr>
        <w:spacing w:before="40" w:after="40" w:line="320"/>
        <w:ind w:left="720"/>
      </w:pPr>
      <w:r>
        <w:rPr>
          <w:rFonts w:ascii="Arial" w:cs="Arial" w:eastAsia="Arial" w:hAnsi="Arial"/>
          <w:color w:val="1A1A1A"/>
          <w:sz w:val="22"/>
          <w:szCs w:val="22"/>
        </w:rPr>
        <w:t xml:space="preserve">Allow reasonable time for remediation (industry standard: 90 days)</w:t>
      </w:r>
    </w:p>
    <w:p>
      <w:pPr>
        <w:pStyle w:val="ListParagraph"/>
        <w:numPr>
          <w:ilvl w:val="0"/>
          <w:numId w:val="2"/>
        </w:numPr>
        <w:spacing w:before="40" w:after="40" w:line="320"/>
        <w:ind w:left="720"/>
      </w:pPr>
      <w:r>
        <w:rPr>
          <w:rFonts w:ascii="Arial" w:cs="Arial" w:eastAsia="Arial" w:hAnsi="Arial"/>
          <w:color w:val="1A1A1A"/>
          <w:sz w:val="22"/>
          <w:szCs w:val="22"/>
        </w:rPr>
        <w:t xml:space="preserve">Do not exploit the vulnerability beyond what is necessary to demonstrate its existence</w:t>
      </w:r>
    </w:p>
    <w:p>
      <w:pPr>
        <w:pStyle w:val="ListParagraph"/>
        <w:numPr>
          <w:ilvl w:val="0"/>
          <w:numId w:val="2"/>
        </w:numPr>
        <w:spacing w:before="40" w:after="40" w:line="320"/>
        <w:ind w:left="720"/>
      </w:pPr>
      <w:r>
        <w:rPr>
          <w:rFonts w:ascii="Arial" w:cs="Arial" w:eastAsia="Arial" w:hAnsi="Arial"/>
          <w:color w:val="1A1A1A"/>
          <w:sz w:val="22"/>
          <w:szCs w:val="22"/>
        </w:rPr>
        <w:t xml:space="preserve">Do not retain, sell, or publish sensitive data obtained during testing</w:t>
      </w:r>
    </w:p>
    <w:p>
      <w:pPr>
        <w:pStyle w:val="ListParagraph"/>
        <w:numPr>
          <w:ilvl w:val="0"/>
          <w:numId w:val="2"/>
        </w:numPr>
        <w:spacing w:before="40" w:after="40" w:line="320"/>
        <w:ind w:left="720"/>
      </w:pPr>
      <w:r>
        <w:rPr>
          <w:rFonts w:ascii="Arial" w:cs="Arial" w:eastAsia="Arial" w:hAnsi="Arial"/>
          <w:color w:val="1A1A1A"/>
          <w:sz w:val="22"/>
          <w:szCs w:val="22"/>
        </w:rPr>
        <w:t xml:space="preserve">Follow any applicable bug bounty program rules</w:t>
      </w:r>
    </w:p>
    <w:p>
      <w:pPr>
        <w:spacing w:before="80" w:after="80"/>
      </w:pPr>
      <w:r>
        <w:t xml:space="preserve"/>
      </w:r>
    </w:p>
    <w:p>
      <w:pPr>
        <w:spacing w:before="80" w:after="80" w:line="360"/>
      </w:pPr>
      <w:r>
        <w:rPr>
          <w:rFonts w:ascii="Arial" w:cs="Arial" w:eastAsia="Arial" w:hAnsi="Arial"/>
          <w:color w:val="1A1A1A"/>
          <w:sz w:val="22"/>
          <w:szCs w:val="22"/>
        </w:rPr>
        <w:t xml:space="preserve">Responsible disclosure protects researchers legally and ethically. It also builds the goodwill and trust that enables the security research community to continue operating.</w:t>
      </w:r>
    </w:p>
    <w:p>
      <w:pPr>
        <w:pBdr>
          <w:bottom w:val="single" w:color="CCCCCC" w:sz="4" w:space="1"/>
        </w:pBdr>
        <w:spacing w:before="160" w:after="160"/>
      </w:pPr>
      <w:r>
        <w:t xml:space="preserve"/>
      </w:r>
    </w:p>
    <w:p>
      <w:pPr>
        <w:pStyle w:val="Heading1"/>
        <w:pBdr>
          <w:bottom w:val="single" w:color="8B0000" w:sz="6" w:space="2"/>
        </w:pBdr>
        <w:spacing w:before="360" w:after="120"/>
      </w:pPr>
      <w:r>
        <w:rPr>
          <w:rFonts w:ascii="Arial" w:cs="Arial" w:eastAsia="Arial" w:hAnsi="Arial"/>
          <w:b/>
          <w:bCs/>
          <w:color w:val="8B0000"/>
          <w:sz w:val="28"/>
          <w:szCs w:val="28"/>
        </w:rPr>
        <w:t xml:space="preserve">8. No Warranty</w:t>
      </w:r>
    </w:p>
    <w:p>
      <w:pPr>
        <w:spacing w:before="80" w:after="80"/>
      </w:pPr>
      <w:r>
        <w:t xml:space="preserve"/>
      </w:r>
    </w:p>
    <w:p>
      <w:pPr>
        <w:pBdr>
          <w:left w:val="thick" w:color="8B0000" w:sz="16" w:space="6"/>
        </w:pBdr>
        <w:spacing w:before="120" w:after="120" w:line="340"/>
        <w:ind w:left="360" w:right="360"/>
      </w:pPr>
      <w:r>
        <w:rPr>
          <w:rFonts w:ascii="Arial" w:cs="Arial" w:eastAsia="Arial" w:hAnsi="Arial"/>
          <w:color w:val="1A1A1A"/>
          <w:sz w:val="21"/>
          <w:szCs w:val="21"/>
        </w:rPr>
        <w:t xml:space="preserve">THIS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pPr>
        <w:spacing w:before="80" w:after="80"/>
      </w:pPr>
      <w:r>
        <w:t xml:space="preserve"/>
      </w:r>
    </w:p>
    <w:p>
      <w:pPr>
        <w:spacing w:before="80" w:after="80" w:line="360"/>
      </w:pPr>
      <w:r>
        <w:rPr>
          <w:rFonts w:ascii="Arial" w:cs="Arial" w:eastAsia="Arial" w:hAnsi="Arial"/>
          <w:color w:val="1A1A1A"/>
          <w:sz w:val="22"/>
          <w:szCs w:val="22"/>
        </w:rPr>
        <w:t xml:space="preserve">The author makes no representation that:</w:t>
      </w:r>
    </w:p>
    <w:p>
      <w:pPr>
        <w:pStyle w:val="ListParagraph"/>
        <w:numPr>
          <w:ilvl w:val="0"/>
          <w:numId w:val="2"/>
        </w:numPr>
        <w:spacing w:before="40" w:after="40" w:line="320"/>
        <w:ind w:left="720"/>
      </w:pPr>
      <w:r>
        <w:rPr>
          <w:rFonts w:ascii="Arial" w:cs="Arial" w:eastAsia="Arial" w:hAnsi="Arial"/>
          <w:color w:val="1A1A1A"/>
          <w:sz w:val="22"/>
          <w:szCs w:val="22"/>
        </w:rPr>
        <w:t xml:space="preserve">This software will work correctly in all environments</w:t>
      </w:r>
    </w:p>
    <w:p>
      <w:pPr>
        <w:pStyle w:val="ListParagraph"/>
        <w:numPr>
          <w:ilvl w:val="0"/>
          <w:numId w:val="2"/>
        </w:numPr>
        <w:spacing w:before="40" w:after="40" w:line="320"/>
        <w:ind w:left="720"/>
      </w:pPr>
      <w:r>
        <w:rPr>
          <w:rFonts w:ascii="Arial" w:cs="Arial" w:eastAsia="Arial" w:hAnsi="Arial"/>
          <w:color w:val="1A1A1A"/>
          <w:sz w:val="22"/>
          <w:szCs w:val="22"/>
        </w:rPr>
        <w:t xml:space="preserve">This software is free from bugs, vulnerabilities, or security flaws</w:t>
      </w:r>
    </w:p>
    <w:p>
      <w:pPr>
        <w:pStyle w:val="ListParagraph"/>
        <w:numPr>
          <w:ilvl w:val="0"/>
          <w:numId w:val="2"/>
        </w:numPr>
        <w:spacing w:before="40" w:after="40" w:line="320"/>
        <w:ind w:left="720"/>
      </w:pPr>
      <w:r>
        <w:rPr>
          <w:rFonts w:ascii="Arial" w:cs="Arial" w:eastAsia="Arial" w:hAnsi="Arial"/>
          <w:color w:val="1A1A1A"/>
          <w:sz w:val="22"/>
          <w:szCs w:val="22"/>
        </w:rPr>
        <w:t xml:space="preserve">This software will not cause unintended damage to networks or systems</w:t>
      </w:r>
    </w:p>
    <w:p>
      <w:pPr>
        <w:pStyle w:val="ListParagraph"/>
        <w:numPr>
          <w:ilvl w:val="0"/>
          <w:numId w:val="2"/>
        </w:numPr>
        <w:spacing w:before="40" w:after="40" w:line="320"/>
        <w:ind w:left="720"/>
      </w:pPr>
      <w:r>
        <w:rPr>
          <w:rFonts w:ascii="Arial" w:cs="Arial" w:eastAsia="Arial" w:hAnsi="Arial"/>
          <w:color w:val="1A1A1A"/>
          <w:sz w:val="22"/>
          <w:szCs w:val="22"/>
        </w:rPr>
        <w:t xml:space="preserve">This software will meet any particular security standard or certification</w:t>
      </w:r>
    </w:p>
    <w:p>
      <w:pPr>
        <w:pBdr>
          <w:bottom w:val="single" w:color="CCCCCC" w:sz="4" w:space="1"/>
        </w:pBdr>
        <w:spacing w:before="160" w:after="160"/>
      </w:pPr>
      <w:r>
        <w:t xml:space="preserve"/>
      </w:r>
    </w:p>
    <w:p>
      <w:pPr>
        <w:pStyle w:val="Heading1"/>
        <w:pBdr>
          <w:bottom w:val="single" w:color="8B0000" w:sz="6" w:space="2"/>
        </w:pBdr>
        <w:spacing w:before="360" w:after="120"/>
      </w:pPr>
      <w:r>
        <w:rPr>
          <w:rFonts w:ascii="Arial" w:cs="Arial" w:eastAsia="Arial" w:hAnsi="Arial"/>
          <w:b/>
          <w:bCs/>
          <w:color w:val="8B0000"/>
          <w:sz w:val="28"/>
          <w:szCs w:val="28"/>
        </w:rPr>
        <w:t xml:space="preserve">9. Third-Party Components</w:t>
      </w:r>
    </w:p>
    <w:p>
      <w:pPr>
        <w:spacing w:before="80" w:after="80"/>
      </w:pPr>
      <w:r>
        <w:t xml:space="preserve"/>
      </w:r>
    </w:p>
    <w:p>
      <w:pPr>
        <w:spacing w:before="80" w:after="80" w:line="360"/>
      </w:pPr>
      <w:r>
        <w:rPr>
          <w:rFonts w:ascii="Arial" w:cs="Arial" w:eastAsia="Arial" w:hAnsi="Arial"/>
          <w:color w:val="1A1A1A"/>
          <w:sz w:val="22"/>
          <w:szCs w:val="22"/>
        </w:rPr>
        <w:t xml:space="preserve">KTOx builds upon and incorporates concepts from the following open-source projects, each of which carries its own license:</w:t>
      </w:r>
    </w:p>
    <w:p>
      <w:pPr>
        <w:spacing w:before="80" w:after="80"/>
      </w:pPr>
      <w:r>
        <w:t xml:space="preserve"/>
      </w:r>
    </w:p>
    <w:p>
      <w:pPr>
        <w:pStyle w:val="ListParagraph"/>
        <w:numPr>
          <w:ilvl w:val="0"/>
          <w:numId w:val="2"/>
        </w:numPr>
        <w:spacing w:before="40" w:after="40" w:line="320"/>
        <w:ind w:left="720"/>
      </w:pPr>
      <w:r>
        <w:rPr>
          <w:rFonts w:ascii="Arial" w:cs="Arial" w:eastAsia="Arial" w:hAnsi="Arial"/>
          <w:color w:val="1A1A1A"/>
          <w:sz w:val="22"/>
          <w:szCs w:val="22"/>
        </w:rPr>
        <w:t xml:space="preserve">KickThemOut (MIT License) — Nikolaos Kamarinakis &amp; David Schütz — original ARP engine</w:t>
      </w:r>
    </w:p>
    <w:p>
      <w:pPr>
        <w:pStyle w:val="ListParagraph"/>
        <w:numPr>
          <w:ilvl w:val="0"/>
          <w:numId w:val="2"/>
        </w:numPr>
        <w:spacing w:before="40" w:after="40" w:line="320"/>
        <w:ind w:left="720"/>
      </w:pPr>
      <w:r>
        <w:rPr>
          <w:rFonts w:ascii="Arial" w:cs="Arial" w:eastAsia="Arial" w:hAnsi="Arial"/>
          <w:color w:val="1A1A1A"/>
          <w:sz w:val="22"/>
          <w:szCs w:val="22"/>
        </w:rPr>
        <w:t xml:space="preserve">Scapy (GPL-2.0) — packet manipulation library</w:t>
      </w:r>
    </w:p>
    <w:p>
      <w:pPr>
        <w:pStyle w:val="ListParagraph"/>
        <w:numPr>
          <w:ilvl w:val="0"/>
          <w:numId w:val="2"/>
        </w:numPr>
        <w:spacing w:before="40" w:after="40" w:line="320"/>
        <w:ind w:left="720"/>
      </w:pPr>
      <w:r>
        <w:rPr>
          <w:rFonts w:ascii="Arial" w:cs="Arial" w:eastAsia="Arial" w:hAnsi="Arial"/>
          <w:color w:val="1A1A1A"/>
          <w:sz w:val="22"/>
          <w:szCs w:val="22"/>
        </w:rPr>
        <w:t xml:space="preserve">Rich (MIT License) — terminal formatting library</w:t>
      </w:r>
    </w:p>
    <w:p>
      <w:pPr>
        <w:pStyle w:val="ListParagraph"/>
        <w:numPr>
          <w:ilvl w:val="0"/>
          <w:numId w:val="2"/>
        </w:numPr>
        <w:spacing w:before="40" w:after="40" w:line="320"/>
        <w:ind w:left="720"/>
      </w:pPr>
      <w:r>
        <w:rPr>
          <w:rFonts w:ascii="Arial" w:cs="Arial" w:eastAsia="Arial" w:hAnsi="Arial"/>
          <w:color w:val="1A1A1A"/>
          <w:sz w:val="22"/>
          <w:szCs w:val="22"/>
        </w:rPr>
        <w:t xml:space="preserve">Flask (BSD-3-Clause) — web framework for live dashboard</w:t>
      </w:r>
    </w:p>
    <w:p>
      <w:pPr>
        <w:pStyle w:val="ListParagraph"/>
        <w:numPr>
          <w:ilvl w:val="0"/>
          <w:numId w:val="2"/>
        </w:numPr>
        <w:spacing w:before="40" w:after="40" w:line="320"/>
        <w:ind w:left="720"/>
      </w:pPr>
      <w:r>
        <w:rPr>
          <w:rFonts w:ascii="Arial" w:cs="Arial" w:eastAsia="Arial" w:hAnsi="Arial"/>
          <w:color w:val="1A1A1A"/>
          <w:sz w:val="22"/>
          <w:szCs w:val="22"/>
        </w:rPr>
        <w:t xml:space="preserve">CustomTkinter (MIT License) — GUI framework</w:t>
      </w:r>
    </w:p>
    <w:p>
      <w:pPr>
        <w:pStyle w:val="ListParagraph"/>
        <w:numPr>
          <w:ilvl w:val="0"/>
          <w:numId w:val="2"/>
        </w:numPr>
        <w:spacing w:before="40" w:after="40" w:line="320"/>
        <w:ind w:left="720"/>
      </w:pPr>
      <w:r>
        <w:rPr>
          <w:rFonts w:ascii="Arial" w:cs="Arial" w:eastAsia="Arial" w:hAnsi="Arial"/>
          <w:color w:val="1A1A1A"/>
          <w:sz w:val="22"/>
          <w:szCs w:val="22"/>
        </w:rPr>
        <w:t xml:space="preserve">Python-nmap (GPL-3.0) — nmap Python bindings</w:t>
      </w:r>
    </w:p>
    <w:p>
      <w:pPr>
        <w:spacing w:before="80" w:after="80"/>
      </w:pPr>
      <w:r>
        <w:t xml:space="preserve"/>
      </w:r>
    </w:p>
    <w:p>
      <w:pPr>
        <w:spacing w:before="80" w:after="80" w:line="360"/>
      </w:pPr>
      <w:r>
        <w:rPr>
          <w:rFonts w:ascii="Arial" w:cs="Arial" w:eastAsia="Arial" w:hAnsi="Arial"/>
          <w:color w:val="1A1A1A"/>
          <w:sz w:val="22"/>
          <w:szCs w:val="22"/>
        </w:rPr>
        <w:t xml:space="preserve">Users are responsible for compliance with all third-party licenses. The GPL-3.0 license of KTOx is compatible with the licenses of all incorporated components.</w:t>
      </w:r>
    </w:p>
    <w:p>
      <w:pPr>
        <w:pBdr>
          <w:bottom w:val="single" w:color="CCCCCC" w:sz="4" w:space="1"/>
        </w:pBdr>
        <w:spacing w:before="160" w:after="160"/>
      </w:pPr>
      <w:r>
        <w:t xml:space="preserve"/>
      </w:r>
    </w:p>
    <w:p>
      <w:pPr>
        <w:pStyle w:val="Heading1"/>
        <w:pBdr>
          <w:bottom w:val="single" w:color="8B0000" w:sz="6" w:space="2"/>
        </w:pBdr>
        <w:spacing w:before="360" w:after="120"/>
      </w:pPr>
      <w:r>
        <w:rPr>
          <w:rFonts w:ascii="Arial" w:cs="Arial" w:eastAsia="Arial" w:hAnsi="Arial"/>
          <w:b/>
          <w:bCs/>
          <w:color w:val="8B0000"/>
          <w:sz w:val="28"/>
          <w:szCs w:val="28"/>
        </w:rPr>
        <w:t xml:space="preserve">10. Copyright Notice</w:t>
      </w:r>
    </w:p>
    <w:p>
      <w:pPr>
        <w:spacing w:before="80" w:after="80"/>
      </w:pPr>
      <w:r>
        <w:t xml:space="preserve"/>
      </w:r>
    </w:p>
    <w:p>
      <w:pPr>
        <w:spacing w:before="80" w:after="80" w:line="360"/>
      </w:pPr>
      <w:r>
        <w:rPr>
          <w:rFonts w:ascii="Arial" w:cs="Arial" w:eastAsia="Arial" w:hAnsi="Arial"/>
          <w:color w:val="1A1A1A"/>
          <w:sz w:val="22"/>
          <w:szCs w:val="22"/>
        </w:rPr>
        <w:t xml:space="preserve">Copyright (C) 2026 wickednull (github.com/wickednull). All rights reserved.</w:t>
      </w:r>
    </w:p>
    <w:p>
      <w:pPr>
        <w:spacing w:before="80" w:after="80"/>
      </w:pPr>
      <w:r>
        <w:t xml:space="preserve"/>
      </w:r>
    </w:p>
    <w:p>
      <w:pPr>
        <w:spacing w:before="80" w:after="80" w:line="360"/>
      </w:pPr>
      <w:r>
        <w:rPr>
          <w:rFonts w:ascii="Arial" w:cs="Arial" w:eastAsia="Arial" w:hAnsi="Arial"/>
          <w:color w:val="1A1A1A"/>
          <w:sz w:val="22"/>
          <w:szCs w:val="22"/>
        </w:rPr>
        <w:t xml:space="preserve">ARP engine adapted from KickThemOut, Copyright (C) 2017-2018 Nikolaos Kamarinakis and David Schutz.</w:t>
      </w:r>
    </w:p>
    <w:p>
      <w:pPr>
        <w:spacing w:before="80" w:after="80"/>
      </w:pPr>
      <w:r>
        <w:t xml:space="preserve"/>
      </w:r>
    </w:p>
    <w:p>
      <w:pPr>
        <w:spacing w:before="80" w:after="80" w:line="360"/>
      </w:pPr>
      <w:r>
        <w:rPr>
          <w:rFonts w:ascii="Arial" w:cs="Arial" w:eastAsia="Arial" w:hAnsi="Arial"/>
          <w:color w:val="1A1A1A"/>
          <w:sz w:val="22"/>
          <w:szCs w:val="22"/>
        </w:rPr>
        <w:t xml:space="preserve">This program is free software: you can redistribute it and/or modify it under the terms of the GNU General Public License as published by the Free Software Foundation, either version 3 of the License, or (at your option) any later version.</w:t>
      </w:r>
    </w:p>
    <w:p>
      <w:pPr>
        <w:spacing w:before="80" w:after="80"/>
      </w:pPr>
      <w:r>
        <w:t xml:space="preserve"/>
      </w:r>
    </w:p>
    <w:p>
      <w:pPr>
        <w:spacing w:before="80" w:after="80" w:line="360"/>
      </w:pPr>
      <w:r>
        <w:rPr>
          <w:rFonts w:ascii="Arial" w:cs="Arial" w:eastAsia="Arial" w:hAnsi="Arial"/>
          <w:color w:val="1A1A1A"/>
          <w:sz w:val="22"/>
          <w:szCs w:val="22"/>
        </w:rPr>
        <w:t xml:space="preserve">This program is distributed in the hope that it will be useful, but WITHOUT ANY WARRANTY; without even the implied warranty of MERCHANTABILITY or FITNESS FOR A PARTICULAR PURPOSE. See the GNU General Public License for more details.</w:t>
      </w:r>
    </w:p>
    <w:p>
      <w:pPr>
        <w:pBdr>
          <w:bottom w:val="single" w:color="CCCCCC" w:sz="4" w:space="1"/>
        </w:pBdr>
        <w:spacing w:before="160" w:after="160"/>
      </w:pPr>
      <w:r>
        <w:t xml:space="preserve"/>
      </w:r>
    </w:p>
    <w:p>
      <w:pPr>
        <w:pStyle w:val="Heading1"/>
        <w:pBdr>
          <w:bottom w:val="single" w:color="8B0000" w:sz="6" w:space="2"/>
        </w:pBdr>
        <w:spacing w:before="360" w:after="120"/>
      </w:pPr>
      <w:r>
        <w:rPr>
          <w:rFonts w:ascii="Arial" w:cs="Arial" w:eastAsia="Arial" w:hAnsi="Arial"/>
          <w:b/>
          <w:bCs/>
          <w:color w:val="8B0000"/>
          <w:sz w:val="28"/>
          <w:szCs w:val="28"/>
        </w:rPr>
        <w:t xml:space="preserve">11. Contact and Reporting Misuse</w:t>
      </w:r>
    </w:p>
    <w:p>
      <w:pPr>
        <w:spacing w:before="80" w:after="80"/>
      </w:pPr>
      <w:r>
        <w:t xml:space="preserve"/>
      </w:r>
    </w:p>
    <w:p>
      <w:pPr>
        <w:spacing w:before="80" w:after="80" w:line="360"/>
      </w:pPr>
      <w:r>
        <w:rPr>
          <w:rFonts w:ascii="Arial" w:cs="Arial" w:eastAsia="Arial" w:hAnsi="Arial"/>
          <w:color w:val="1A1A1A"/>
          <w:sz w:val="22"/>
          <w:szCs w:val="22"/>
        </w:rPr>
        <w:t xml:space="preserve">If you observe KTOx being used unlawfully or in violation of these terms, or if you have questions about permitted use, contact the author via:</w:t>
      </w:r>
    </w:p>
    <w:p>
      <w:pPr>
        <w:spacing w:before="80" w:after="80"/>
      </w:pPr>
      <w:r>
        <w:t xml:space="preserve"/>
      </w:r>
    </w:p>
    <w:p>
      <w:pPr>
        <w:pStyle w:val="ListParagraph"/>
        <w:numPr>
          <w:ilvl w:val="0"/>
          <w:numId w:val="2"/>
        </w:numPr>
        <w:spacing w:before="40" w:after="40" w:line="320"/>
        <w:ind w:left="720"/>
      </w:pPr>
      <w:r>
        <w:rPr>
          <w:rFonts w:ascii="Arial" w:cs="Arial" w:eastAsia="Arial" w:hAnsi="Arial"/>
          <w:color w:val="1A1A1A"/>
          <w:sz w:val="22"/>
          <w:szCs w:val="22"/>
        </w:rPr>
        <w:t xml:space="preserve">GitHub Issues: https://github.com/wickednull/KTOx/issues</w:t>
      </w:r>
    </w:p>
    <w:p>
      <w:pPr>
        <w:pStyle w:val="ListParagraph"/>
        <w:numPr>
          <w:ilvl w:val="0"/>
          <w:numId w:val="2"/>
        </w:numPr>
        <w:spacing w:before="40" w:after="40" w:line="320"/>
        <w:ind w:left="720"/>
      </w:pPr>
      <w:r>
        <w:rPr>
          <w:rFonts w:ascii="Arial" w:cs="Arial" w:eastAsia="Arial" w:hAnsi="Arial"/>
          <w:color w:val="1A1A1A"/>
          <w:sz w:val="22"/>
          <w:szCs w:val="22"/>
        </w:rPr>
        <w:t xml:space="preserve">GitHub Profile: https://github.com/wickednull</w:t>
      </w:r>
    </w:p>
    <w:p>
      <w:pPr>
        <w:spacing w:before="80" w:after="80"/>
      </w:pPr>
      <w:r>
        <w:t xml:space="preserve"/>
      </w:r>
    </w:p>
    <w:p>
      <w:pPr>
        <w:spacing w:before="80" w:after="80" w:line="360"/>
      </w:pPr>
      <w:r>
        <w:rPr>
          <w:rFonts w:ascii="Arial" w:cs="Arial" w:eastAsia="Arial" w:hAnsi="Arial"/>
          <w:color w:val="1A1A1A"/>
          <w:sz w:val="22"/>
          <w:szCs w:val="22"/>
        </w:rPr>
        <w:t xml:space="preserve">Reports of misuse may be forwarded to appropriate law enforcement agencies at the author's discretion.</w:t>
      </w:r>
    </w:p>
    <w:p>
      <w:pPr>
        <w:pBdr>
          <w:bottom w:val="single" w:color="CCCCCC" w:sz="4" w:space="1"/>
        </w:pBdr>
        <w:spacing w:before="160" w:after="160"/>
      </w:pPr>
      <w:r>
        <w:t xml:space="preserve"/>
      </w:r>
    </w:p>
    <w:p>
      <w:pPr>
        <w:spacing w:before="80" w:after="80"/>
      </w:pPr>
      <w:r>
        <w:t xml:space="preserve"/>
      </w:r>
    </w:p>
    <w:p>
      <w:pPr>
        <w:spacing w:before="80" w:after="80"/>
      </w:pPr>
      <w:r>
        <w:t xml:space="preserve"/>
      </w:r>
    </w:p>
    <w:p>
      <w:pPr>
        <w:spacing w:before="480" w:after="80"/>
        <w:jc w:val="center"/>
      </w:pPr>
      <w:r>
        <w:rPr>
          <w:rFonts w:ascii="Arial" w:cs="Arial" w:eastAsia="Arial" w:hAnsi="Arial"/>
          <w:color w:val="8B0000"/>
          <w:sz w:val="22"/>
          <w:szCs w:val="22"/>
        </w:rPr>
        <w:t xml:space="preserve">─────────────────────────────────────────</w:t>
      </w:r>
    </w:p>
    <w:p>
      <w:pPr>
        <w:spacing w:before="0" w:after="40"/>
        <w:jc w:val="center"/>
      </w:pPr>
      <w:r>
        <w:rPr>
          <w:rFonts w:ascii="Arial" w:cs="Arial" w:eastAsia="Arial" w:hAnsi="Arial"/>
          <w:b/>
          <w:bCs/>
          <w:color w:val="8B0000"/>
          <w:sz w:val="28"/>
          <w:szCs w:val="28"/>
        </w:rPr>
        <w:t xml:space="preserve">wickednull</w:t>
      </w:r>
    </w:p>
    <w:p>
      <w:pPr>
        <w:spacing w:before="0" w:after="40"/>
        <w:jc w:val="center"/>
      </w:pPr>
      <w:r>
        <w:rPr>
          <w:rFonts w:ascii="Arial" w:cs="Arial" w:eastAsia="Arial" w:hAnsi="Arial"/>
          <w:color w:val="555555"/>
          <w:sz w:val="22"/>
          <w:szCs w:val="22"/>
        </w:rPr>
        <w:t xml:space="preserve">Author &amp; Maintainer, KTOx</w:t>
      </w:r>
    </w:p>
    <w:p>
      <w:pPr>
        <w:spacing w:before="0" w:after="40"/>
        <w:jc w:val="center"/>
      </w:pPr>
      <w:r>
        <w:rPr>
          <w:rFonts w:ascii="Arial" w:cs="Arial" w:eastAsia="Arial" w:hAnsi="Arial"/>
          <w:color w:val="888888"/>
          <w:sz w:val="20"/>
          <w:szCs w:val="20"/>
        </w:rPr>
        <w:t xml:space="preserve">Effective: March 26, 2026</w:t>
      </w:r>
    </w:p>
    <w:p>
      <w:pPr>
        <w:spacing w:before="0" w:after="80"/>
        <w:jc w:val="center"/>
      </w:pPr>
      <w:r>
        <w:rPr>
          <w:rFonts w:ascii="Arial" w:cs="Arial" w:eastAsia="Arial" w:hAnsi="Arial"/>
          <w:color w:val="888888"/>
          <w:sz w:val="20"/>
          <w:szCs w:val="20"/>
        </w:rPr>
        <w:t xml:space="preserve">github.com/wickednull/KTOx</w:t>
      </w:r>
    </w:p>
    <w:p>
      <w:pPr>
        <w:spacing w:before="0" w:after="0"/>
        <w:jc w:val="center"/>
      </w:pPr>
      <w:r>
        <w:rPr>
          <w:rFonts w:ascii="Arial" w:cs="Arial" w:eastAsia="Arial" w:hAnsi="Arial"/>
          <w:color w:val="8B0000"/>
          <w:sz w:val="22"/>
          <w:szCs w:val="22"/>
        </w:rPr>
        <w:t xml:space="preser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8B0000"/>
      <w:sz w:val="28"/>
      <w:szCs w:val="28"/>
    </w:rPr>
  </w:style>
  <w:style w:type="paragraph" w:styleId="Heading2">
    <w:name w:val="Heading 2"/>
    <w:basedOn w:val="Normal"/>
    <w:next w:val="Normal"/>
    <w:qFormat/>
    <w:pPr>
      <w:spacing w:before="280" w:after="80"/>
      <w:outlineLvl w:val="1"/>
    </w:pPr>
    <w:rPr>
      <w:rFonts w:ascii="Arial" w:cs="Arial" w:eastAsia="Arial" w:hAnsi="Arial"/>
      <w:b/>
      <w:bCs/>
      <w:color w:val="8B0000"/>
      <w:sz w:val="24"/>
      <w:szCs w:val="24"/>
    </w:rPr>
  </w:style>
  <w:style w:type="paragraph" w:styleId="Heading3">
    <w:name w:val="Heading 3"/>
    <w:basedOn w:val="Normal"/>
    <w:next w:val="Normal"/>
    <w:qFormat/>
    <w:pPr>
      <w:spacing w:before="200" w:after="60"/>
      <w:outlineLvl w:val="2"/>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2026-03-26T00:38:31.417Z</dcterms:created>
  <dcterms:modified xsi:type="dcterms:W3CDTF">2026-03-26T00:38:31.418Z</dcterms:modified>
</cp:coreProperties>
</file>

<file path=docProps/custom.xml><?xml version="1.0" encoding="utf-8"?>
<Properties xmlns="http://schemas.openxmlformats.org/officeDocument/2006/custom-properties" xmlns:vt="http://schemas.openxmlformats.org/officeDocument/2006/docPropsVTypes"/>
</file>