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40"/>
      </w:pPr>
      <w:r>
        <w:t xml:space="preserve">KC MENA — Globals (Header, Footer, Contact Drawer)</w:t>
      </w:r>
    </w:p>
    <w:p>
      <w:pPr>
        <w:spacing w:after="360"/>
      </w:pPr>
      <w:r>
        <w:rPr>
          <w:i/>
          <w:iCs/>
          <w:color w:val="666666"/>
        </w:rPr>
        <w:t xml:space="preserve">Paste-ready starter. Keep the [ID] headings so feedback maps 1:1 to the audit sheet. Long copy is written here only; short copy also lives in KC-Content-Audit.xlsx. (Meta titles/descriptions are managed on the 'Page SEO' sheet, not here.)</w:t>
      </w:r>
    </w:p>
    <w:p>
      <w:pPr>
        <w:pStyle w:val="Heading1"/>
        <w:spacing w:after="160" w:before="360"/>
      </w:pPr>
      <w:r>
        <w:t xml:space="preserve">Header &amp; Navigation</w:t>
      </w:r>
    </w:p>
    <w:p>
      <w:pPr>
        <w:pStyle w:val="Heading2"/>
        <w:spacing w:after="120" w:before="280"/>
      </w:pPr>
      <w:r>
        <w:t xml:space="preserve">[GLB-01] Header &amp; Navigation</w:t>
      </w:r>
    </w:p>
    <w:p>
      <w:pPr>
        <w:spacing w:after="160" w:line="276"/>
      </w:pPr>
      <w:r>
        <w:t xml:space="preserve">Logo (links Home). Nav: About Us, Local Business, Global Business, News, Careers. Right: 'Contact Us' link (opens Contact Drawer) + mobile hamburger. Same header on every page.</w:t>
      </w:r>
    </w:p>
    <w:p>
      <w:pPr>
        <w:pStyle w:val="Heading1"/>
        <w:spacing w:after="160" w:before="360"/>
      </w:pPr>
      <w:r>
        <w:t xml:space="preserve">Footer</w:t>
      </w:r>
    </w:p>
    <w:p>
      <w:pPr>
        <w:pStyle w:val="Heading2"/>
        <w:spacing w:after="120" w:before="280"/>
      </w:pPr>
      <w:r>
        <w:t xml:space="preserve">[GLB-02] Footer</w:t>
      </w:r>
    </w:p>
    <w:p>
      <w:pPr>
        <w:spacing w:after="160" w:line="276"/>
      </w:pPr>
      <w:r>
        <w:t xml:space="preserve">Brand block: logo, copy 'Kasumigaseki MENA connects regional opportunity with the discipline, capital strength, and operating expertise of Kasumigaseki Capital.', address 'Dubai Hills Estate, Business Park 4, Office 304-305, Dubai, UAE', LinkedIn + Kasumigaseki Capital corporate site links.</w:t>
      </w:r>
    </w:p>
    <w:p>
      <w:pPr>
        <w:spacing w:after="160" w:line="276"/>
      </w:pPr>
      <w:r>
        <w:t xml:space="preserve">Columns — Company: About Us, Careers, News, Contact Us. Local Business: Overview, Development, Investment &amp; Asset Management, Food &amp; Beverage. Global Business: Overview, Global Map (map.kasumigaseki.ae), Logistics (logiflag.com), Hotel Business (favhospitalitygroup.com), Healthcare (kc-welfare.co.jp). Media &amp; Resources: Parent IR, Kasumigaseki Capital news, Global Site.</w:t>
      </w:r>
    </w:p>
    <w:p>
      <w:pPr>
        <w:spacing w:after="160" w:line="276"/>
      </w:pPr>
      <w:r>
        <w:t xml:space="preserve">Legal links + copyright.</w:t>
      </w:r>
    </w:p>
    <w:p>
      <w:pPr>
        <w:pStyle w:val="Heading1"/>
        <w:spacing w:after="160" w:before="360"/>
      </w:pPr>
      <w:r>
        <w:t xml:space="preserve">Contact Drawer</w:t>
      </w:r>
    </w:p>
    <w:p>
      <w:pPr>
        <w:pStyle w:val="Heading2"/>
        <w:spacing w:after="120" w:before="280"/>
      </w:pPr>
      <w:r>
        <w:t xml:space="preserve">[GLB-03] Contact Drawer</w:t>
      </w:r>
    </w:p>
    <w:p>
      <w:pPr>
        <w:spacing w:after="160" w:line="276"/>
      </w:pPr>
      <w:r>
        <w:t xml:space="preserve">Eyebrow 'Get in Touch'; H2 'Contact Us'; intro 'Reach the Kasumigaseki MENA team, or visit one of our company locations.'</w:t>
      </w:r>
    </w:p>
    <w:p>
      <w:pPr>
        <w:spacing w:after="160" w:line="276"/>
      </w:pPr>
      <w:r>
        <w:t xml:space="preserve">Locations: Dubai Office (Dubai Hills Estate, Business Park 4, Office 304-305); Sales Centre (Business Bay); Miami Location (Miami, Florida); Kasumigaseki Restaurant (Vida Emirates Hills).</w:t>
      </w:r>
    </w:p>
    <w:p>
      <w:pPr>
        <w:spacing w:after="160" w:line="276"/>
      </w:pPr>
      <w:r>
        <w:t xml:space="preserve">Form: Full Name, Email, Message. Submit 'Send Enquiry'. Currently mailto: fallback via /js/site.js (contact_submissions table + Salesforce dual-write queued for Phase 3).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2026-09-10T23:25:17.317Z</dcterms:created>
  <dcterms:modified xsi:type="dcterms:W3CDTF">2026-09-10T23:25:17.317Z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