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Real Estate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Real Estate</w:t>
      </w:r>
    </w:p>
    <w:p>
      <w:pPr>
        <w:pStyle w:val="Heading2"/>
        <w:spacing w:after="120" w:before="280"/>
      </w:pPr>
      <w:r>
        <w:t xml:space="preserve">[RE-02] HERO — image first, text over it</w:t>
      </w:r>
    </w:p>
    <w:p>
      <w:pPr>
        <w:spacing w:after="160" w:line="276"/>
      </w:pPr>
      <w:r>
        <w:t xml:space="preserve">Page title (H1): Investment &amp; Asset Management</w:t>
      </w:r>
    </w:p>
    <w:p>
      <w:pPr>
        <w:pStyle w:val="Heading2"/>
        <w:spacing w:after="120" w:before="280"/>
      </w:pPr>
      <w:r>
        <w:t xml:space="preserve">[RE-03] INVESTMENT NUMBERS</w:t>
      </w:r>
    </w:p>
    <w:p>
      <w:pPr>
        <w:spacing w:after="160" w:line="276"/>
      </w:pPr>
      <w:r>
        <w:t xml:space="preserve">Kicker: By The Numbers</w:t>
      </w:r>
    </w:p>
    <w:p>
      <w:pPr>
        <w:spacing w:after="160" w:line="276"/>
      </w:pPr>
      <w:r>
        <w:t xml:space="preserve">Heading (H2): A regional investment and asset management business built around disciplined underwriting, selective market access, and long-term value creation.</w:t>
      </w:r>
    </w:p>
    <w:p>
      <w:pPr>
        <w:spacing w:after="160" w:line="276"/>
      </w:pPr>
      <w:r>
        <w:t xml:space="preserve">Stat: 4 — Key Dubai Districts</w:t>
      </w:r>
    </w:p>
    <w:p>
      <w:pPr>
        <w:spacing w:after="160" w:line="276"/>
      </w:pPr>
      <w:r>
        <w:t xml:space="preserve">Stat: $156.5M — Active Assets</w:t>
      </w:r>
    </w:p>
    <w:p>
      <w:pPr>
        <w:spacing w:after="160" w:line="276"/>
      </w:pPr>
      <w:r>
        <w:t xml:space="preserve">Stat: 60 — Investment Exposure</w:t>
      </w:r>
    </w:p>
    <w:p>
      <w:pPr>
        <w:spacing w:after="160" w:line="276"/>
      </w:pPr>
      <w:r>
        <w:t xml:space="preserve">Stat: 26 + 3 — Units + Plots</w:t>
      </w:r>
    </w:p>
    <w:p>
      <w:pPr>
        <w:spacing w:after="160" w:line="276"/>
      </w:pPr>
      <w:r>
        <w:t xml:space="preserve">Link: "As of February 28, 2026"</w:t>
      </w:r>
    </w:p>
    <w:p>
      <w:pPr>
        <w:pStyle w:val="Heading2"/>
        <w:spacing w:after="120" w:before="280"/>
      </w:pPr>
      <w:r>
        <w:t xml:space="preserve">[RE-04] INVESTMENT BUSINESS</w:t>
      </w:r>
    </w:p>
    <w:p>
      <w:pPr>
        <w:spacing w:after="160" w:line="276"/>
      </w:pPr>
      <w:r>
        <w:t xml:space="preserve">Kicker: Investment &amp; Asset Management</w:t>
      </w:r>
    </w:p>
    <w:p>
      <w:pPr>
        <w:spacing w:after="160" w:line="276"/>
      </w:pPr>
      <w:r>
        <w:t xml:space="preserve">Heading (H2): This is not a listings business. It is an investment business.</w:t>
      </w:r>
    </w:p>
    <w:p>
      <w:pPr>
        <w:spacing w:after="160" w:line="276"/>
      </w:pPr>
      <w:r>
        <w:t xml:space="preserve">Paragraph: Kasumigaseki MENA identifies inefficiencies in product, location, pricing, and timing. The current Dubai portfolio spans high-performing districts including Downtown, Dubai Hills, Hartland, and Palm Jumeirah.</w:t>
      </w:r>
    </w:p>
    <w:p>
      <w:pPr>
        <w:spacing w:after="160" w:line="276"/>
      </w:pPr>
      <w:r>
        <w:t xml:space="preserve">Link: Investment enquiries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Kasumigaseki MENA's investment and asset management business has deployed US$304.4 million across 60 residential units in Dubai's strongest districts — Downtown, Dubai Hills, Hartland and Palm Jumeirah — with 26 units and three plots actively held as of February 28, 2026. We identify inefficiencies in product, location and timing, and underwrite for the long term.</w:t>
      </w:r>
    </w:p>
    <w:p>
      <w:pPr>
        <w:pStyle w:val="Heading2"/>
        <w:spacing w:after="120" w:before="280"/>
      </w:pPr>
      <w:r>
        <w:t xml:space="preserve">[RE-05] WHY DUBAI</w:t>
      </w:r>
    </w:p>
    <w:p>
      <w:pPr>
        <w:spacing w:after="160" w:line="276"/>
      </w:pPr>
      <w:r>
        <w:t xml:space="preserve">Kicker: Why Dubai, Why Now</w:t>
      </w:r>
    </w:p>
    <w:p>
      <w:pPr>
        <w:spacing w:after="160" w:line="276"/>
      </w:pPr>
      <w:r>
        <w:t xml:space="preserve">Heading (H2): The thesis is built on growth, liquidity, and international relevance.</w:t>
      </w:r>
    </w:p>
    <w:p>
      <w:pPr>
        <w:spacing w:after="160" w:line="276"/>
      </w:pPr>
      <w:r>
        <w:t xml:space="preserve">Paragraph: The long-term market case is supported by continued population growth, infrastructure expansion, Dubai's 2040 urban master plan, and globally mobile investors seeking security, connectivity, and a tax-efficient base.</w:t>
      </w:r>
    </w:p>
    <w:p>
      <w:pPr>
        <w:pStyle w:val="Heading2"/>
        <w:spacing w:after="120" w:before="280"/>
      </w:pPr>
      <w:r>
        <w:t xml:space="preserve">[RE-06] PLATFORM ROLE</w:t>
      </w:r>
    </w:p>
    <w:p>
      <w:pPr>
        <w:spacing w:after="160" w:line="276"/>
      </w:pPr>
      <w:r>
        <w:t xml:space="preserve">Kicker: Platform Role</w:t>
      </w:r>
    </w:p>
    <w:p>
      <w:pPr>
        <w:spacing w:after="160" w:line="276"/>
      </w:pPr>
      <w:r>
        <w:t xml:space="preserve">Heading (H2): The proposition is built around access, discipline, and market logic.</w:t>
      </w:r>
    </w:p>
    <w:p>
      <w:pPr>
        <w:spacing w:after="160" w:line="276"/>
      </w:pPr>
      <w:r>
        <w:t xml:space="preserve">Paragraph: The business supports more than acquisition: it covers sourcing, underwriting, financial modeling, transaction support, asset strategy after closing, repositioning, leasing logic, resale preparation, and development planning.</w:t>
      </w:r>
    </w:p>
    <w:p>
      <w:pPr>
        <w:spacing w:after="160" w:line="276"/>
      </w:pPr>
      <w:r>
        <w:t xml:space="preserve">Link: Contact the team</w:t>
      </w:r>
    </w:p>
    <w:p>
      <w:pPr>
        <w:pStyle w:val="Heading2"/>
        <w:spacing w:after="120" w:before="280"/>
      </w:pPr>
      <w:r>
        <w:t xml:space="preserve">[RE-07] CONTACT</w:t>
      </w:r>
    </w:p>
    <w:p>
      <w:pPr>
        <w:spacing w:after="160" w:line="276"/>
      </w:pPr>
      <w:r>
        <w:t xml:space="preserve">Kicker: Contact Us</w:t>
      </w:r>
    </w:p>
    <w:p>
      <w:pPr>
        <w:spacing w:after="160" w:line="276"/>
      </w:pPr>
      <w:r>
        <w:t xml:space="preserve">Heading (H2): Let our team get back to you.</w:t>
      </w:r>
    </w:p>
    <w:p>
      <w:pPr>
        <w:spacing w:after="160" w:line="276"/>
      </w:pPr>
      <w:r>
        <w:t xml:space="preserve">Heading (H3): Dubai Office</w:t>
      </w:r>
    </w:p>
    <w:p>
      <w:pPr>
        <w:spacing w:after="160" w:line="276"/>
      </w:pPr>
      <w:r>
        <w:t xml:space="preserve">Paragraph: Dubai Hills EstateBusiness Park 4, Dubai, UAEOffice 304-305</w:t>
      </w:r>
    </w:p>
    <w:p>
      <w:pPr>
        <w:spacing w:after="160" w:line="276"/>
      </w:pPr>
      <w:r>
        <w:t xml:space="preserve">Link: Open in Maps ↗</w:t>
      </w:r>
    </w:p>
    <w:p>
      <w:pPr>
        <w:spacing w:after="160" w:line="276"/>
      </w:pPr>
      <w:r>
        <w:t xml:space="preserve">Heading (H3): Get in Touch</w:t>
      </w:r>
    </w:p>
    <w:p>
      <w:pPr>
        <w:spacing w:after="160" w:line="276"/>
      </w:pPr>
      <w:r>
        <w:t xml:space="preserve">Paragraph: Reach the Kasumigaseki MENA team for corporate, investor, and business enquiries.</w:t>
      </w:r>
    </w:p>
    <w:p>
      <w:pPr>
        <w:spacing w:after="160" w:line="276"/>
      </w:pPr>
      <w:r>
        <w:t xml:space="preserve">Paragraph: +971 43 88 3099</w:t>
      </w:r>
    </w:p>
    <w:p>
      <w:pPr>
        <w:spacing w:after="160" w:line="276"/>
      </w:pPr>
      <w:r>
        <w:t xml:space="preserve">Paragraph: info.dubai@kasumigaseki.co.jp</w:t>
      </w:r>
    </w:p>
    <w:p>
      <w:pPr>
        <w:spacing w:after="160" w:line="276"/>
      </w:pPr>
      <w:r>
        <w:t xml:space="preserve">Form field: Full Name</w:t>
      </w:r>
    </w:p>
    <w:p>
      <w:pPr>
        <w:spacing w:after="160" w:line="276"/>
      </w:pPr>
      <w:r>
        <w:t xml:space="preserve">Form field: Email</w:t>
      </w:r>
    </w:p>
    <w:p>
      <w:pPr>
        <w:spacing w:after="160" w:line="276"/>
      </w:pPr>
      <w:r>
        <w:t xml:space="preserve">Form field: Phone</w:t>
      </w:r>
    </w:p>
    <w:p>
      <w:pPr>
        <w:spacing w:after="160" w:line="276"/>
      </w:pPr>
      <w:r>
        <w:t xml:space="preserve">Form field: Enquiry Type — placeholder: "Development, Investment, F&amp;B..."</w:t>
      </w:r>
    </w:p>
    <w:p>
      <w:pPr>
        <w:spacing w:after="160" w:line="276"/>
      </w:pPr>
      <w:r>
        <w:t xml:space="preserve">Form field: Message</w:t>
      </w:r>
    </w:p>
    <w:p>
      <w:pPr>
        <w:spacing w:after="160" w:line="276"/>
      </w:pPr>
      <w:r>
        <w:t xml:space="preserve">Button: Send Enquiry</w:t>
      </w:r>
    </w:p>
    <w:p>
      <w:pPr>
        <w:spacing w:after="160" w:line="276"/>
      </w:pPr>
      <w:r>
        <w:t xml:space="preserve">Stat: Thank you — your enquiry has been noted. Our team will be in touch shortly.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2026-09-10T23:25:17.359Z</dcterms:created>
  <dcterms:modified xsi:type="dcterms:W3CDTF">2026-09-10T23:25:17.359Z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