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Real Estate Development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Real Estate Development</w:t>
      </w:r>
    </w:p>
    <w:p>
      <w:pPr>
        <w:pStyle w:val="Heading2"/>
        <w:spacing w:after="120" w:before="280"/>
      </w:pPr>
      <w:r>
        <w:t xml:space="preserve">[RED-02] HERO — image first, text over it</w:t>
      </w:r>
    </w:p>
    <w:p>
      <w:pPr>
        <w:spacing w:after="160" w:line="276"/>
      </w:pPr>
      <w:r>
        <w:t xml:space="preserve">Page title (H1): Development</w:t>
      </w:r>
    </w:p>
    <w:p>
      <w:pPr>
        <w:pStyle w:val="Heading2"/>
        <w:spacing w:after="120" w:before="280"/>
      </w:pPr>
      <w:r>
        <w:t xml:space="preserve">[RED-03] DEVELOPMENT NUMBERS</w:t>
      </w:r>
    </w:p>
    <w:p>
      <w:pPr>
        <w:spacing w:after="160" w:line="276"/>
      </w:pPr>
      <w:r>
        <w:t xml:space="preserve">Kicker: By The Numbers</w:t>
      </w:r>
    </w:p>
    <w:p>
      <w:pPr>
        <w:spacing w:after="160" w:line="276"/>
      </w:pPr>
      <w:r>
        <w:t xml:space="preserve">Heading (H2): A development business that connects land strategy, product creation, capital structuring, and sales execution across Dubai and the wider GCC.</w:t>
      </w:r>
    </w:p>
    <w:p>
      <w:pPr>
        <w:spacing w:after="160" w:line="276"/>
      </w:pPr>
      <w:r>
        <w:t xml:space="preserve">Stat: 14,000 — Sales Experience Center (sq ft)</w:t>
      </w:r>
    </w:p>
    <w:p>
      <w:pPr>
        <w:spacing w:after="160" w:line="276"/>
      </w:pPr>
      <w:r>
        <w:t xml:space="preserve">Stat: 20–30 — Staff Capacity</w:t>
      </w:r>
    </w:p>
    <w:p>
      <w:pPr>
        <w:spacing w:after="160" w:line="276"/>
      </w:pPr>
      <w:r>
        <w:t xml:space="preserve">Stat: 452,389 — Built-Up Area (sq ft)</w:t>
      </w:r>
    </w:p>
    <w:p>
      <w:pPr>
        <w:spacing w:after="160" w:line="276"/>
      </w:pPr>
      <w:r>
        <w:t xml:space="preserve">Stat: 203,575 — Gross Sellable Area (GSA, sq ft)</w:t>
      </w:r>
    </w:p>
    <w:p>
      <w:pPr>
        <w:spacing w:after="160" w:line="276"/>
      </w:pPr>
      <w:r>
        <w:t xml:space="preserve">Link: "As of February 28, 2026"</w:t>
      </w:r>
    </w:p>
    <w:p>
      <w:pPr>
        <w:pStyle w:val="Heading2"/>
        <w:spacing w:after="120" w:before="280"/>
      </w:pPr>
      <w:r>
        <w:t xml:space="preserve">[RED-04] DEVELOPMENT STRATEGY</w:t>
      </w:r>
    </w:p>
    <w:p>
      <w:pPr>
        <w:spacing w:after="160" w:line="276"/>
      </w:pPr>
      <w:r>
        <w:t xml:space="preserve">Kicker: Development Strategy</w:t>
      </w:r>
    </w:p>
    <w:p>
      <w:pPr>
        <w:spacing w:after="160" w:line="276"/>
      </w:pPr>
      <w:r>
        <w:t xml:space="preserve">Heading (H2): Development starts with strategy, but commercialization has to be built in from day one.</w:t>
      </w:r>
    </w:p>
    <w:p>
      <w:pPr>
        <w:spacing w:after="160" w:line="276"/>
      </w:pPr>
      <w:r>
        <w:t xml:space="preserve">Paragraph: Kasumigaseki's model starts by creating value before vertical construction begins: sourcing land, refining the product, shaping the planning strategy, and setting the capital roadmap early. That is how margins are protected before the market starts pricing the project.</w:t>
      </w:r>
    </w:p>
    <w:p>
      <w:pPr>
        <w:spacing w:after="160" w:line="276"/>
      </w:pPr>
      <w:r>
        <w:t xml:space="preserve">Link: Discuss development</w:t>
      </w:r>
    </w:p>
    <w:p>
      <w:pPr>
        <w:pStyle w:val="Heading2"/>
        <w:spacing w:after="120" w:before="280"/>
      </w:pPr>
      <w:r>
        <w:t xml:space="preserve">[RED-05] DEVELOPMENT PROCESS</w:t>
      </w:r>
    </w:p>
    <w:p>
      <w:pPr>
        <w:spacing w:after="160" w:line="276"/>
      </w:pPr>
      <w:r>
        <w:t xml:space="preserve">Kicker: Development Process</w:t>
      </w:r>
    </w:p>
    <w:p>
      <w:pPr>
        <w:spacing w:after="160" w:line="276"/>
      </w:pPr>
      <w:r>
        <w:t xml:space="preserve">Heading (H2): The model moves from land value to development, launch, and stabilized exit with a clear capital roadmap.</w:t>
      </w:r>
    </w:p>
    <w:p>
      <w:pPr>
        <w:spacing w:after="160" w:line="276"/>
      </w:pPr>
      <w:r>
        <w:t xml:space="preserve">Paragraph: The GCC model expands into project-specific SPEs and JVs, including cooperation with Daito Trust Construction, so Kasumigaseki can control product quality, sales, and execution deeper into the cycle.</w:t>
      </w:r>
    </w:p>
    <w:p>
      <w:pPr>
        <w:pStyle w:val="Heading2"/>
        <w:spacing w:after="120" w:before="280"/>
      </w:pPr>
      <w:r>
        <w:t xml:space="preserve">[RED-06] MEYDAN HORIZON</w:t>
      </w:r>
    </w:p>
    <w:p>
      <w:pPr>
        <w:spacing w:after="160" w:line="276"/>
      </w:pPr>
      <w:r>
        <w:t xml:space="preserve">Kicker: Meydan Horizon</w:t>
      </w:r>
    </w:p>
    <w:p>
      <w:pPr>
        <w:spacing w:after="160" w:line="276"/>
      </w:pPr>
      <w:r>
        <w:t xml:space="preserve">Heading (H2): Sales execution and customer experience are built into the development model.</w:t>
      </w:r>
    </w:p>
    <w:p>
      <w:pPr>
        <w:spacing w:after="160" w:line="276"/>
      </w:pPr>
      <w:r>
        <w:t xml:space="preserve">Paragraph: Meydan Horizon is the first branded residential development, planned as a landmark mixed-use project with 452,389 sq ft of built-up area on a 28,273 sq ft plot and 203,575 sq ft of gross sellable area. The Business Bay sales center adds a dedicated launch layer with 14,000 sq ft of client, meeting, cafe, and backend workspace for 20 to 30 staff.</w:t>
      </w:r>
    </w:p>
    <w:p>
      <w:pPr>
        <w:spacing w:after="160" w:line="276"/>
      </w:pPr>
      <w:r>
        <w:t xml:space="preserve">Link: Contact the team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Meydan Horizon is Kasumigaseki MENA's first branded residential development: 452,389 sq ft of built-up area opposite Ras Al Khor Wildlife Sanctuary, offering elegantly designed one- to three-bedroom luxury residences with direct access to Dubai's core districts.</w:t>
      </w:r>
    </w:p>
    <w:p>
      <w:pPr>
        <w:pStyle w:val="Heading2"/>
        <w:spacing w:after="120" w:before="280"/>
      </w:pPr>
      <w:r>
        <w:t xml:space="preserve">[RED-07] CONTACT</w:t>
      </w:r>
    </w:p>
    <w:p>
      <w:pPr>
        <w:spacing w:after="160" w:line="276"/>
      </w:pPr>
      <w:r>
        <w:t xml:space="preserve">Kicker: Contact Us</w:t>
      </w:r>
    </w:p>
    <w:p>
      <w:pPr>
        <w:spacing w:after="160" w:line="276"/>
      </w:pPr>
      <w:r>
        <w:t xml:space="preserve">Heading (H2): Let our team get back to you.</w:t>
      </w:r>
    </w:p>
    <w:p>
      <w:pPr>
        <w:spacing w:after="160" w:line="276"/>
      </w:pPr>
      <w:r>
        <w:t xml:space="preserve">Heading (H3): Dubai Office</w:t>
      </w:r>
    </w:p>
    <w:p>
      <w:pPr>
        <w:spacing w:after="160" w:line="276"/>
      </w:pPr>
      <w:r>
        <w:t xml:space="preserve">Paragraph: Dubai Hills EstateBusiness Park 4, Dubai, UAEOffice 304-305</w:t>
      </w:r>
    </w:p>
    <w:p>
      <w:pPr>
        <w:spacing w:after="160" w:line="276"/>
      </w:pPr>
      <w:r>
        <w:t xml:space="preserve">Link: Open in Maps ↗</w:t>
      </w:r>
    </w:p>
    <w:p>
      <w:pPr>
        <w:spacing w:after="160" w:line="276"/>
      </w:pPr>
      <w:r>
        <w:t xml:space="preserve">Heading (H3): Get in Touch</w:t>
      </w:r>
    </w:p>
    <w:p>
      <w:pPr>
        <w:spacing w:after="160" w:line="276"/>
      </w:pPr>
      <w:r>
        <w:t xml:space="preserve">Paragraph: Reach the Kasumigaseki MENA team for corporate, investor, and business enquiries.</w:t>
      </w:r>
    </w:p>
    <w:p>
      <w:pPr>
        <w:spacing w:after="160" w:line="276"/>
      </w:pPr>
      <w:r>
        <w:t xml:space="preserve">Paragraph: +971 43 88 3099</w:t>
      </w:r>
    </w:p>
    <w:p>
      <w:pPr>
        <w:spacing w:after="160" w:line="276"/>
      </w:pPr>
      <w:r>
        <w:t xml:space="preserve">Paragraph: info.dubai@kasumigaseki.co.jp</w:t>
      </w:r>
    </w:p>
    <w:p>
      <w:pPr>
        <w:spacing w:after="160" w:line="276"/>
      </w:pPr>
      <w:r>
        <w:t xml:space="preserve">Form field: Full Name</w:t>
      </w:r>
    </w:p>
    <w:p>
      <w:pPr>
        <w:spacing w:after="160" w:line="276"/>
      </w:pPr>
      <w:r>
        <w:t xml:space="preserve">Form field: Email</w:t>
      </w:r>
    </w:p>
    <w:p>
      <w:pPr>
        <w:spacing w:after="160" w:line="276"/>
      </w:pPr>
      <w:r>
        <w:t xml:space="preserve">Form field: Phone</w:t>
      </w:r>
    </w:p>
    <w:p>
      <w:pPr>
        <w:spacing w:after="160" w:line="276"/>
      </w:pPr>
      <w:r>
        <w:t xml:space="preserve">Form field: Enquiry Type — placeholder: "Development, Investment, F&amp;B..."</w:t>
      </w:r>
    </w:p>
    <w:p>
      <w:pPr>
        <w:spacing w:after="160" w:line="276"/>
      </w:pPr>
      <w:r>
        <w:t xml:space="preserve">Form field: Message</w:t>
      </w:r>
    </w:p>
    <w:p>
      <w:pPr>
        <w:spacing w:after="160" w:line="276"/>
      </w:pPr>
      <w:r>
        <w:t xml:space="preserve">Button: Send Enquiry</w:t>
      </w:r>
    </w:p>
    <w:p>
      <w:pPr>
        <w:spacing w:after="160" w:line="276"/>
      </w:pPr>
      <w:r>
        <w:t xml:space="preserve">Stat: Thank you — your enquiry has been noted. Our team will be in touch shortly.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2026-09-10T23:25:17.364Z</dcterms:created>
  <dcterms:modified xsi:type="dcterms:W3CDTF">2026-09-10T23:25:17.364Z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