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KPD — Legacy</w:t>
      </w:r>
    </w:p>
    <w:p>
      <w:r>
        <w:t>Tracker rows: LEG-01 … LEG-07 · Feedback: leave in the 'Client feedback' column of the audit sheet (cite the ID).</w:t>
      </w:r>
    </w:p>
    <w:p>
      <w:pPr>
        <w:pStyle w:val="Heading1"/>
      </w:pPr>
      <w:r>
        <w:t>[LEG-01] Hero (id: top)</w:t>
      </w:r>
    </w:p>
    <w:p>
      <w:r>
        <w:rPr>
          <w:i/>
          <w:color w:val="808080"/>
          <w:sz w:val="19"/>
        </w:rPr>
        <w:t>Type: Hero · Status: Drafted</w:t>
      </w:r>
    </w:p>
    <w:p>
      <w:r>
        <w:rPr>
          <w:i/>
          <w:color w:val="606060"/>
          <w:sz w:val="20"/>
        </w:rPr>
        <w:t>CURRENT</w:t>
      </w:r>
    </w:p>
    <w:p>
      <w:r>
        <w:t>Kicker: 'Legacy'.</w:t>
      </w:r>
    </w:p>
    <w:p>
      <w:r>
        <w:t>H1: 'A long-horizon platform'.</w:t>
      </w:r>
    </w:p>
    <w:p>
      <w:r>
        <w:t>Intro: 'From Tokyo to Dubai, the KPD platform is shaped by disciplined capital, measured execution, and development value built to hold over time.'</w:t>
      </w:r>
    </w:p>
    <w:p>
      <w:r>
        <w:rPr>
          <w:i/>
          <w:color w:val="606060"/>
          <w:sz w:val="20"/>
        </w:rPr>
        <w:t>REWRITTEN (SEO/AEO)</w:t>
      </w:r>
    </w:p>
    <w:p>
      <w:r>
        <w:t>Kicker: 'Legacy'. H1 kept: 'A long-horizon platform'. Intro: 'From Tokyo to Dubai - the KPD platform is shaped by disciplined capital, measured execution and development value built to hold over time.'</w:t>
      </w:r>
    </w:p>
    <w:p>
      <w:pPr>
        <w:pStyle w:val="Heading1"/>
      </w:pPr>
      <w:r>
        <w:t>[LEG-02] Timeline 2014 — Foundations of the platform</w:t>
      </w:r>
    </w:p>
    <w:p>
      <w:r>
        <w:rPr>
          <w:i/>
          <w:color w:val="808080"/>
          <w:sz w:val="19"/>
        </w:rPr>
        <w:t>Type: Timeline · Status: Drafted</w:t>
      </w:r>
    </w:p>
    <w:p>
      <w:r>
        <w:rPr>
          <w:i/>
          <w:color w:val="606060"/>
          <w:sz w:val="20"/>
        </w:rPr>
        <w:t>CURRENT</w:t>
      </w:r>
    </w:p>
    <w:p>
      <w:r>
        <w:t>The early phase centered on site logic, underwriting rigor, and a belief that every design decision should begin with commercial clarity.</w:t>
      </w:r>
    </w:p>
    <w:p>
      <w:r>
        <w:t>The first chapter was less about scale and more about method. Opportunity screening, demand discipline, and feasibility-led thinking became the base layer for how the platform would evaluate, prioritize, and shape future developments.</w:t>
      </w:r>
    </w:p>
    <w:p>
      <w:r>
        <w:rPr>
          <w:i/>
          <w:color w:val="606060"/>
          <w:sz w:val="20"/>
        </w:rPr>
        <w:t>REWRITTEN (SEO/AEO)</w:t>
      </w:r>
    </w:p>
    <w:p>
      <w:r>
        <w:t>2014 - Foundations of the platform</w:t>
      </w:r>
    </w:p>
    <w:p>
      <w:r>
        <w:t>The early phase centered on site logic, underwriting rigor and a belief that every design decision should begin with commercial clarity.</w:t>
      </w:r>
    </w:p>
    <w:p>
      <w:r>
        <w:t>The first chapter was less about scale and more about method. Opportunity screening, demand discipline and feasibility-led thinking became the base layer for how the platform would evaluate, prioritize and shape future developments.</w:t>
      </w:r>
    </w:p>
    <w:p>
      <w:pPr>
        <w:pStyle w:val="Heading1"/>
      </w:pPr>
      <w:r>
        <w:t>[LEG-03] Timeline 2016 — Boutique residential focus sharpens</w:t>
      </w:r>
    </w:p>
    <w:p>
      <w:r>
        <w:rPr>
          <w:i/>
          <w:color w:val="808080"/>
          <w:sz w:val="19"/>
        </w:rPr>
        <w:t>Type: Timeline · Status: Drafted</w:t>
      </w:r>
    </w:p>
    <w:p>
      <w:r>
        <w:rPr>
          <w:i/>
          <w:color w:val="606060"/>
          <w:sz w:val="20"/>
        </w:rPr>
        <w:t>CURRENT</w:t>
      </w:r>
    </w:p>
    <w:p>
      <w:r>
        <w:t>Early residential briefs helped define a clearer position around privacy, livability, and product quality over volume-driven development.</w:t>
      </w:r>
    </w:p>
    <w:p>
      <w:r>
        <w:t>The residential lens matured into a stronger product philosophy. Layout efficiency, calm arrival experiences, and long-term habitability started to influence how the platform translated commercial strategy into the language of everyday living.</w:t>
      </w:r>
    </w:p>
    <w:p>
      <w:r>
        <w:rPr>
          <w:i/>
          <w:color w:val="606060"/>
          <w:sz w:val="20"/>
        </w:rPr>
        <w:t>REWRITTEN (SEO/AEO)</w:t>
      </w:r>
    </w:p>
    <w:p>
      <w:r>
        <w:t>2016 - Boutique residential focus sharpens</w:t>
      </w:r>
    </w:p>
    <w:p>
      <w:r>
        <w:t>Early residential briefs defined a clearer position around privacy, livability and product quality over volume-driven development.</w:t>
      </w:r>
    </w:p>
    <w:p>
      <w:r>
        <w:t>The residential lens matured into a product philosophy. Layout efficiency, calm arrival experiences and long-term habitability started to influence how the platform translated commercial strategy into the language of everyday living.</w:t>
      </w:r>
    </w:p>
    <w:p>
      <w:pPr>
        <w:pStyle w:val="Heading1"/>
      </w:pPr>
      <w:r>
        <w:t>[LEG-04] Timeline 2018 — Hospitality and mixed-use capability expands</w:t>
      </w:r>
    </w:p>
    <w:p>
      <w:r>
        <w:rPr>
          <w:i/>
          <w:color w:val="808080"/>
          <w:sz w:val="19"/>
        </w:rPr>
        <w:t>Type: Timeline · Status: Drafted</w:t>
      </w:r>
    </w:p>
    <w:p>
      <w:r>
        <w:rPr>
          <w:i/>
          <w:color w:val="606060"/>
          <w:sz w:val="20"/>
        </w:rPr>
        <w:t>CURRENT</w:t>
      </w:r>
    </w:p>
    <w:p>
      <w:r>
        <w:t>The platform broadened beyond one asset type, bringing placemaking, operational thinking, and return discipline into a wider development model.</w:t>
      </w:r>
    </w:p>
    <w:p>
      <w:r>
        <w:t>Hospitality and mixed-use opportunities introduced a richer operating layer. The development story now had to hold together brand, user flow, public realm, and asset performance in one cohesive strategy rather than as separate conversations.</w:t>
      </w:r>
    </w:p>
    <w:p>
      <w:r>
        <w:rPr>
          <w:i/>
          <w:color w:val="606060"/>
          <w:sz w:val="20"/>
        </w:rPr>
        <w:t>REWRITTEN (SEO/AEO)</w:t>
      </w:r>
    </w:p>
    <w:p>
      <w:r>
        <w:t>2018 - Hospitality and mixed-use capability expands</w:t>
      </w:r>
    </w:p>
    <w:p>
      <w:r>
        <w:t>The platform broadened beyond one asset type, bringing placemaking, operational thinking and return discipline into a wider development model.</w:t>
      </w:r>
    </w:p>
    <w:p>
      <w:r>
        <w:t>Hospitality and mixed-use opportunities introduced a richer operating layer. The development story now had to hold together brand, user flow, public realm and asset performance in one cohesive strategy rather than as separate conversations.</w:t>
      </w:r>
    </w:p>
    <w:p>
      <w:pPr>
        <w:pStyle w:val="Heading1"/>
      </w:pPr>
      <w:r>
        <w:t>[LEG-05] Timeline 2020 — Execution systems become more deliberate</w:t>
      </w:r>
    </w:p>
    <w:p>
      <w:r>
        <w:rPr>
          <w:i/>
          <w:color w:val="808080"/>
          <w:sz w:val="19"/>
        </w:rPr>
        <w:t>Type: Timeline · Status: Drafted</w:t>
      </w:r>
    </w:p>
    <w:p>
      <w:r>
        <w:rPr>
          <w:i/>
          <w:color w:val="606060"/>
          <w:sz w:val="20"/>
        </w:rPr>
        <w:t>CURRENT</w:t>
      </w:r>
    </w:p>
    <w:p>
      <w:r>
        <w:t>Consultant alignment, delivery governance, and budget coordination matured into a more controlled framework for moving from concept to handover.</w:t>
      </w:r>
    </w:p>
    <w:p>
      <w:r>
        <w:t>This phase deepened the platform's delivery confidence. Programme logic, cost control, design decision-making, and handover preparedness were treated as a single operating system rather than isolated workstreams.</w:t>
      </w:r>
    </w:p>
    <w:p>
      <w:r>
        <w:rPr>
          <w:i/>
          <w:color w:val="606060"/>
          <w:sz w:val="20"/>
        </w:rPr>
        <w:t>REWRITTEN (SEO/AEO)</w:t>
      </w:r>
    </w:p>
    <w:p>
      <w:r>
        <w:t>2020 - Execution systems become more deliberate</w:t>
      </w:r>
    </w:p>
    <w:p>
      <w:r>
        <w:t>Consultant alignment, delivery governance and budget coordination matured into a controlled framework for moving from concept to handover.</w:t>
      </w:r>
    </w:p>
    <w:p>
      <w:r>
        <w:t>This phase deepened the platform's delivery confidence. Programme logic, cost control, design decision-making and handover preparedness were treated as a single operating system rather than isolated workstreams.</w:t>
      </w:r>
    </w:p>
    <w:p>
      <w:pPr>
        <w:pStyle w:val="Heading1"/>
      </w:pPr>
      <w:r>
        <w:t>[LEG-06] Timeline 2023 — Regional ambition takes a clearer shape</w:t>
      </w:r>
    </w:p>
    <w:p>
      <w:r>
        <w:rPr>
          <w:i/>
          <w:color w:val="808080"/>
          <w:sz w:val="19"/>
        </w:rPr>
        <w:t>Type: Timeline · Status: Drafted</w:t>
      </w:r>
    </w:p>
    <w:p>
      <w:r>
        <w:rPr>
          <w:i/>
          <w:color w:val="606060"/>
          <w:sz w:val="20"/>
        </w:rPr>
        <w:t>CURRENT</w:t>
      </w:r>
    </w:p>
    <w:p>
      <w:r>
        <w:t>A stronger Middle East lens sharpened the platform's opportunity selection around urban demand, investor confidence, and resilient end-user value.</w:t>
      </w:r>
    </w:p>
    <w:p>
      <w:r>
        <w:t>The legacy was no longer just operational; it became directional. Market selection, product timing, and the balance between identity and commercial logic began to point more clearly toward a refined regional platform and a sharper development voice.</w:t>
      </w:r>
    </w:p>
    <w:p>
      <w:r>
        <w:rPr>
          <w:i/>
          <w:color w:val="606060"/>
          <w:sz w:val="20"/>
        </w:rPr>
        <w:t>REWRITTEN (SEO/AEO)</w:t>
      </w:r>
    </w:p>
    <w:p>
      <w:r>
        <w:t>2023 - Regional ambition takes a clearer shape</w:t>
      </w:r>
    </w:p>
    <w:p>
      <w:r>
        <w:t>A stronger Middle East lens sharpened the platform's opportunity selection around urban demand, investor confidence and resilient end-user value.</w:t>
      </w:r>
    </w:p>
    <w:p>
      <w:r>
        <w:t>The legacy was no longer just operational; it became directional. Market selection, product timing and the balance between identity and commercial logic began to point toward a refined regional platform and a sharper development voice.</w:t>
      </w:r>
    </w:p>
    <w:p>
      <w:pPr>
        <w:pStyle w:val="Heading1"/>
      </w:pPr>
      <w:r>
        <w:t>[LEG-07] Timeline 2026 — Emerald Villa marks the current chapter</w:t>
      </w:r>
    </w:p>
    <w:p>
      <w:r>
        <w:rPr>
          <w:i/>
          <w:color w:val="808080"/>
          <w:sz w:val="19"/>
        </w:rPr>
        <w:t>Type: Timeline · Status: Drafted</w:t>
      </w:r>
    </w:p>
    <w:p>
      <w:r>
        <w:rPr>
          <w:i/>
          <w:color w:val="606060"/>
          <w:sz w:val="20"/>
        </w:rPr>
        <w:t>CURRENT</w:t>
      </w:r>
    </w:p>
    <w:p>
      <w:r>
        <w:t>The present expression of the legacy is more focused: boutique scale, stronger identity, and developments shaped for enduring value rather than short-lived momentum.</w:t>
      </w:r>
    </w:p>
    <w:p>
      <w:r>
        <w:t>The current moment shows a more distilled version of the story. Projects like Emerald Villa and Dubai Hills Mansion reflect the platform's move toward precise scale, elevated livability, and a development process that remains calm, commercially grounded, and durable by design.</w:t>
      </w:r>
    </w:p>
    <w:p>
      <w:r>
        <w:rPr>
          <w:i/>
          <w:color w:val="606060"/>
          <w:sz w:val="20"/>
        </w:rPr>
        <w:t>REWRITTEN (SEO/AEO)</w:t>
      </w:r>
    </w:p>
    <w:p>
      <w:r>
        <w:t>2026 - Emerald Villa marks the current chapter</w:t>
      </w:r>
    </w:p>
    <w:p>
      <w:r>
        <w:t>The present expression of the legacy is more focused: boutique scale, stronger identity, and developments shaped for enduring value rather than short-lived momentum.</w:t>
      </w:r>
    </w:p>
    <w:p>
      <w:r>
        <w:t>Projects like Emerald Villa and Dubai Hills Mansion reflect the platform's move toward precise scale, elevated livability and a development process that remains calm, commercially grounded and durable by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