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80D19" w14:textId="5EDA53DE" w:rsidR="0087119A" w:rsidRPr="00D73A15" w:rsidRDefault="00DC1117" w:rsidP="00D73A15">
      <w:pPr>
        <w:jc w:val="center"/>
        <w:rPr>
          <w:rFonts w:ascii="Calibri" w:hAnsi="Calibri" w:cs="Calibri"/>
          <w:b/>
          <w:bCs/>
          <w:sz w:val="32"/>
          <w:szCs w:val="32"/>
        </w:rPr>
      </w:pPr>
      <w:proofErr w:type="spellStart"/>
      <w:r w:rsidRPr="00DC1117">
        <w:rPr>
          <w:rFonts w:ascii="Calibri" w:hAnsi="Calibri" w:cs="Calibri"/>
          <w:b/>
          <w:bCs/>
          <w:sz w:val="32"/>
          <w:szCs w:val="32"/>
        </w:rPr>
        <w:t>AroundtheClock</w:t>
      </w:r>
      <w:proofErr w:type="spellEnd"/>
      <w:r w:rsidRPr="00DC1117">
        <w:rPr>
          <w:rFonts w:ascii="Calibri" w:hAnsi="Calibri" w:cs="Calibri"/>
          <w:b/>
          <w:bCs/>
          <w:sz w:val="32"/>
          <w:szCs w:val="32"/>
        </w:rPr>
        <w:t xml:space="preserve"> Expands Regional Footprint with Beirut Office Launc</w:t>
      </w:r>
      <w:r w:rsidR="00D73A15">
        <w:rPr>
          <w:rFonts w:ascii="Calibri" w:hAnsi="Calibri" w:cs="Calibri"/>
          <w:b/>
          <w:bCs/>
          <w:sz w:val="32"/>
          <w:szCs w:val="32"/>
        </w:rPr>
        <w:t>h</w:t>
      </w:r>
    </w:p>
    <w:p w14:paraId="60875543" w14:textId="77777777" w:rsidR="0087119A" w:rsidRDefault="0087119A" w:rsidP="00DC1117">
      <w:pPr>
        <w:spacing w:after="0" w:line="240" w:lineRule="auto"/>
        <w:jc w:val="both"/>
        <w:rPr>
          <w:rFonts w:ascii="Calibri" w:hAnsi="Calibri" w:cs="Calibri"/>
          <w:b/>
          <w:bCs/>
        </w:rPr>
      </w:pPr>
    </w:p>
    <w:p w14:paraId="2D31B608" w14:textId="22D0357D" w:rsidR="00DC1117" w:rsidRPr="00DC1117" w:rsidRDefault="00DC1117" w:rsidP="00DC1117">
      <w:pPr>
        <w:spacing w:after="0" w:line="240" w:lineRule="auto"/>
        <w:jc w:val="both"/>
        <w:rPr>
          <w:rFonts w:ascii="Calibri" w:hAnsi="Calibri" w:cs="Calibri"/>
        </w:rPr>
      </w:pPr>
      <w:r w:rsidRPr="00DC1117">
        <w:rPr>
          <w:rFonts w:ascii="Calibri" w:hAnsi="Calibri" w:cs="Calibri"/>
          <w:b/>
          <w:bCs/>
        </w:rPr>
        <w:t xml:space="preserve">Beirut, Lebanon – February 16, 2026 – </w:t>
      </w:r>
      <w:r w:rsidRPr="00DC1117">
        <w:rPr>
          <w:rFonts w:ascii="Calibri" w:hAnsi="Calibri" w:cs="Calibri"/>
        </w:rPr>
        <w:t xml:space="preserve">Integrated communications agency </w:t>
      </w:r>
      <w:proofErr w:type="spellStart"/>
      <w:r w:rsidRPr="00DC1117">
        <w:rPr>
          <w:rFonts w:ascii="Calibri" w:hAnsi="Calibri" w:cs="Calibri"/>
        </w:rPr>
        <w:t>AroundtheClock</w:t>
      </w:r>
      <w:proofErr w:type="spellEnd"/>
      <w:r w:rsidRPr="00DC1117">
        <w:rPr>
          <w:rFonts w:ascii="Calibri" w:hAnsi="Calibri" w:cs="Calibri"/>
        </w:rPr>
        <w:t xml:space="preserve"> (ATC) has announced the opening of its Beirut office, marking a significant step in its regional expansion and reinforcing its presence across the Levant and the GCC.</w:t>
      </w:r>
    </w:p>
    <w:p w14:paraId="4CF1755D" w14:textId="77777777" w:rsidR="00DC1117" w:rsidRDefault="00DC1117" w:rsidP="00DC1117">
      <w:pPr>
        <w:spacing w:after="0" w:line="240" w:lineRule="auto"/>
        <w:jc w:val="both"/>
        <w:rPr>
          <w:rFonts w:ascii="Calibri" w:hAnsi="Calibri" w:cs="Calibri"/>
        </w:rPr>
      </w:pPr>
    </w:p>
    <w:p w14:paraId="67212F17" w14:textId="1B97C8C8" w:rsidR="00DC1117" w:rsidRPr="00DC1117" w:rsidRDefault="00DC1117" w:rsidP="00DC1117">
      <w:pPr>
        <w:spacing w:after="0" w:line="240" w:lineRule="auto"/>
        <w:jc w:val="both"/>
        <w:rPr>
          <w:rFonts w:ascii="Calibri" w:hAnsi="Calibri" w:cs="Calibri"/>
        </w:rPr>
      </w:pPr>
      <w:r w:rsidRPr="00DC1117">
        <w:rPr>
          <w:rFonts w:ascii="Calibri" w:hAnsi="Calibri" w:cs="Calibri"/>
        </w:rPr>
        <w:t>Founded in Dubai in 2018, ATC quickly established itself as a system-driven communications partner for ambitious brands. In 2024, the agency expanded to Abu Dhabi, opening in Masdar City, the UAE’s flagship sustainable district. The launch of its Beirut office now completes a strategic triangle between Dubai, Abu Dhabi, and Beirut</w:t>
      </w:r>
      <w:r>
        <w:rPr>
          <w:rFonts w:ascii="Calibri" w:hAnsi="Calibri" w:cs="Calibri"/>
        </w:rPr>
        <w:t xml:space="preserve">, </w:t>
      </w:r>
      <w:r w:rsidRPr="00DC1117">
        <w:rPr>
          <w:rFonts w:ascii="Calibri" w:hAnsi="Calibri" w:cs="Calibri"/>
        </w:rPr>
        <w:t>positioning Lebanon as the agency’s creative and innovation hub for the region.</w:t>
      </w:r>
    </w:p>
    <w:p w14:paraId="6635A796" w14:textId="77777777" w:rsidR="00DC1117" w:rsidRDefault="00DC1117" w:rsidP="00DC1117">
      <w:pPr>
        <w:spacing w:after="0" w:line="240" w:lineRule="auto"/>
        <w:jc w:val="both"/>
        <w:rPr>
          <w:rFonts w:ascii="Calibri" w:hAnsi="Calibri" w:cs="Calibri"/>
        </w:rPr>
      </w:pPr>
    </w:p>
    <w:p w14:paraId="7F186B8E" w14:textId="4A21B5ED" w:rsidR="00DC1117" w:rsidRPr="00DC1117" w:rsidRDefault="00DC1117" w:rsidP="00DC1117">
      <w:pPr>
        <w:spacing w:after="0" w:line="240" w:lineRule="auto"/>
        <w:jc w:val="both"/>
        <w:rPr>
          <w:rFonts w:ascii="Calibri" w:hAnsi="Calibri" w:cs="Calibri"/>
        </w:rPr>
      </w:pPr>
      <w:r w:rsidRPr="00DC1117">
        <w:rPr>
          <w:rFonts w:ascii="Calibri" w:hAnsi="Calibri" w:cs="Calibri"/>
        </w:rPr>
        <w:t xml:space="preserve">The Beirut operation brings together more than twenty communications specialists across </w:t>
      </w:r>
      <w:r w:rsidR="00D73A15">
        <w:rPr>
          <w:rFonts w:ascii="Calibri" w:hAnsi="Calibri" w:cs="Calibri"/>
        </w:rPr>
        <w:t xml:space="preserve">client partnership, </w:t>
      </w:r>
      <w:r w:rsidRPr="00DC1117">
        <w:rPr>
          <w:rFonts w:ascii="Calibri" w:hAnsi="Calibri" w:cs="Calibri"/>
        </w:rPr>
        <w:t>creative</w:t>
      </w:r>
      <w:r w:rsidR="00D73A15">
        <w:rPr>
          <w:rFonts w:ascii="Calibri" w:hAnsi="Calibri" w:cs="Calibri"/>
        </w:rPr>
        <w:t>, social and media</w:t>
      </w:r>
      <w:r w:rsidRPr="00DC1117">
        <w:rPr>
          <w:rFonts w:ascii="Calibri" w:hAnsi="Calibri" w:cs="Calibri"/>
        </w:rPr>
        <w:t>. The office will serve clients across Lebanon, Jordan, Syria, and the wider Gulf, strengthening cross-market collaboration and knowledge exchange.</w:t>
      </w:r>
    </w:p>
    <w:p w14:paraId="2F9ABA76" w14:textId="77777777" w:rsidR="00DC1117" w:rsidRDefault="00DC1117" w:rsidP="00DC1117">
      <w:pPr>
        <w:spacing w:after="0" w:line="240" w:lineRule="auto"/>
        <w:jc w:val="both"/>
        <w:rPr>
          <w:rFonts w:ascii="Calibri" w:hAnsi="Calibri" w:cs="Calibri"/>
        </w:rPr>
      </w:pPr>
    </w:p>
    <w:p w14:paraId="66E31D7F" w14:textId="4B4CB2FF" w:rsidR="00DC1117" w:rsidRPr="00DC1117" w:rsidRDefault="00DC1117" w:rsidP="00DC1117">
      <w:pPr>
        <w:spacing w:after="0" w:line="240" w:lineRule="auto"/>
        <w:jc w:val="both"/>
        <w:rPr>
          <w:rFonts w:ascii="Calibri" w:hAnsi="Calibri" w:cs="Calibri"/>
        </w:rPr>
      </w:pPr>
      <w:r w:rsidRPr="00DC1117">
        <w:rPr>
          <w:rFonts w:ascii="Calibri" w:hAnsi="Calibri" w:cs="Calibri"/>
        </w:rPr>
        <w:t xml:space="preserve">As part of this expansion, ATC has appointed Angelo </w:t>
      </w:r>
      <w:r w:rsidR="00D73A15">
        <w:rPr>
          <w:rFonts w:ascii="Calibri" w:hAnsi="Calibri" w:cs="Calibri"/>
        </w:rPr>
        <w:t>E</w:t>
      </w:r>
      <w:r w:rsidRPr="00DC1117">
        <w:rPr>
          <w:rFonts w:ascii="Calibri" w:hAnsi="Calibri" w:cs="Calibri"/>
        </w:rPr>
        <w:t>l Chami as Regional Chief Creative Officer, overseeing creative output across all three offices</w:t>
      </w:r>
      <w:r>
        <w:rPr>
          <w:rFonts w:ascii="Calibri" w:hAnsi="Calibri" w:cs="Calibri"/>
        </w:rPr>
        <w:t xml:space="preserve">, and elevating </w:t>
      </w:r>
      <w:r w:rsidRPr="00DC1117">
        <w:rPr>
          <w:rFonts w:ascii="Calibri" w:hAnsi="Calibri" w:cs="Calibri"/>
        </w:rPr>
        <w:t>the agency’s storytelling craft while scaling its integrated model across markets.</w:t>
      </w:r>
    </w:p>
    <w:p w14:paraId="5ACB16A3" w14:textId="77777777" w:rsidR="00DC1117" w:rsidRDefault="00DC1117" w:rsidP="00DC1117">
      <w:pPr>
        <w:spacing w:after="0" w:line="240" w:lineRule="auto"/>
        <w:jc w:val="both"/>
        <w:rPr>
          <w:rFonts w:ascii="Calibri" w:hAnsi="Calibri" w:cs="Calibri"/>
        </w:rPr>
      </w:pPr>
    </w:p>
    <w:p w14:paraId="31EF752B" w14:textId="6B416005" w:rsidR="00DC1117" w:rsidRPr="00DC1117" w:rsidRDefault="00DC1117" w:rsidP="00DC1117">
      <w:pPr>
        <w:spacing w:after="0" w:line="240" w:lineRule="auto"/>
        <w:jc w:val="both"/>
        <w:rPr>
          <w:rFonts w:ascii="Calibri" w:hAnsi="Calibri" w:cs="Calibri"/>
        </w:rPr>
      </w:pPr>
      <w:r>
        <w:rPr>
          <w:rFonts w:ascii="Calibri" w:hAnsi="Calibri" w:cs="Calibri"/>
          <w:b/>
          <w:bCs/>
        </w:rPr>
        <w:t xml:space="preserve">Commenting on the announcement, </w:t>
      </w:r>
      <w:r w:rsidRPr="00DC1117">
        <w:rPr>
          <w:rFonts w:ascii="Calibri" w:hAnsi="Calibri" w:cs="Calibri"/>
          <w:b/>
          <w:bCs/>
        </w:rPr>
        <w:t>Rizk Naifeh, Chairman and Co-Founder of ATC</w:t>
      </w:r>
      <w:r>
        <w:rPr>
          <w:rFonts w:ascii="Calibri" w:hAnsi="Calibri" w:cs="Calibri"/>
          <w:b/>
          <w:bCs/>
        </w:rPr>
        <w:t xml:space="preserve">, said: </w:t>
      </w:r>
      <w:r w:rsidRPr="00DC1117">
        <w:rPr>
          <w:rFonts w:ascii="Calibri" w:hAnsi="Calibri" w:cs="Calibri"/>
          <w:i/>
          <w:iCs/>
        </w:rPr>
        <w:t>“Our new office in Lebanon is an investment in creative firepower for Beirut has always been a capital of ideas. This bold step amplifies our ability to build brands that move markets, across Dubai, Abu Dhabi, the Levant, and beyond.”</w:t>
      </w:r>
    </w:p>
    <w:p w14:paraId="25DE18D7" w14:textId="77777777" w:rsidR="00DC1117" w:rsidRDefault="00DC1117" w:rsidP="00DC1117">
      <w:pPr>
        <w:spacing w:after="0" w:line="240" w:lineRule="auto"/>
        <w:jc w:val="both"/>
        <w:rPr>
          <w:rFonts w:ascii="Calibri" w:hAnsi="Calibri" w:cs="Calibri"/>
        </w:rPr>
      </w:pPr>
    </w:p>
    <w:p w14:paraId="74CC3D53" w14:textId="5178C6C2" w:rsidR="00F104AA" w:rsidRPr="00BB2A20" w:rsidRDefault="00DC1117" w:rsidP="00FE11A1">
      <w:pPr>
        <w:spacing w:after="0" w:line="240" w:lineRule="auto"/>
        <w:jc w:val="both"/>
        <w:rPr>
          <w:rFonts w:ascii="Calibri" w:hAnsi="Calibri" w:cs="Calibri"/>
        </w:rPr>
      </w:pPr>
      <w:r w:rsidRPr="00BB2A20">
        <w:rPr>
          <w:rFonts w:ascii="Calibri" w:hAnsi="Calibri" w:cs="Calibri"/>
        </w:rPr>
        <w:t xml:space="preserve">ATC’s growth </w:t>
      </w:r>
      <w:r w:rsidR="004F2B3A" w:rsidRPr="00BB2A20">
        <w:rPr>
          <w:rFonts w:ascii="Calibri" w:hAnsi="Calibri" w:cs="Calibri"/>
        </w:rPr>
        <w:t>builds on</w:t>
      </w:r>
      <w:r w:rsidRPr="00BB2A20">
        <w:rPr>
          <w:rFonts w:ascii="Calibri" w:hAnsi="Calibri" w:cs="Calibri"/>
        </w:rPr>
        <w:t xml:space="preserve"> a strong portfolio </w:t>
      </w:r>
      <w:r w:rsidR="00D73A15" w:rsidRPr="00BB2A20">
        <w:rPr>
          <w:rFonts w:ascii="Calibri" w:hAnsi="Calibri" w:cs="Calibri"/>
        </w:rPr>
        <w:t>of partnerships with brands operating in a wide spectrum of industries</w:t>
      </w:r>
      <w:r w:rsidR="00BE6837" w:rsidRPr="00BB2A20">
        <w:rPr>
          <w:rFonts w:ascii="Calibri" w:hAnsi="Calibri" w:cs="Calibri"/>
        </w:rPr>
        <w:t>,</w:t>
      </w:r>
      <w:r w:rsidR="00D73A15" w:rsidRPr="00BB2A20">
        <w:rPr>
          <w:rFonts w:ascii="Calibri" w:hAnsi="Calibri" w:cs="Calibri"/>
        </w:rPr>
        <w:t xml:space="preserve"> including </w:t>
      </w:r>
      <w:r w:rsidR="00FE11A1" w:rsidRPr="00BB2A20">
        <w:rPr>
          <w:rFonts w:ascii="Calibri" w:hAnsi="Calibri" w:cs="Calibri"/>
        </w:rPr>
        <w:t>S</w:t>
      </w:r>
      <w:r w:rsidR="00D73A15" w:rsidRPr="00BB2A20">
        <w:rPr>
          <w:rFonts w:ascii="Calibri" w:hAnsi="Calibri" w:cs="Calibri"/>
        </w:rPr>
        <w:t>ustainability (COP28, Masda</w:t>
      </w:r>
      <w:r w:rsidR="00BE6837" w:rsidRPr="00BB2A20">
        <w:rPr>
          <w:rFonts w:ascii="Calibri" w:hAnsi="Calibri" w:cs="Calibri"/>
        </w:rPr>
        <w:t xml:space="preserve">r, </w:t>
      </w:r>
      <w:r w:rsidR="00D73A15" w:rsidRPr="00BB2A20">
        <w:rPr>
          <w:rFonts w:ascii="Calibri" w:hAnsi="Calibri" w:cs="Calibri"/>
        </w:rPr>
        <w:t>Zay</w:t>
      </w:r>
      <w:r w:rsidR="00BE6837" w:rsidRPr="00BB2A20">
        <w:rPr>
          <w:rFonts w:ascii="Calibri" w:hAnsi="Calibri" w:cs="Calibri"/>
        </w:rPr>
        <w:t>e</w:t>
      </w:r>
      <w:r w:rsidR="00D73A15" w:rsidRPr="00BB2A20">
        <w:rPr>
          <w:rFonts w:ascii="Calibri" w:hAnsi="Calibri" w:cs="Calibri"/>
        </w:rPr>
        <w:t>d</w:t>
      </w:r>
      <w:r w:rsidR="00BE6837" w:rsidRPr="00BB2A20">
        <w:rPr>
          <w:rFonts w:ascii="Calibri" w:hAnsi="Calibri" w:cs="Calibri"/>
        </w:rPr>
        <w:t xml:space="preserve"> </w:t>
      </w:r>
      <w:r w:rsidR="00D73A15" w:rsidRPr="00BB2A20">
        <w:rPr>
          <w:rFonts w:ascii="Calibri" w:hAnsi="Calibri" w:cs="Calibri"/>
        </w:rPr>
        <w:t xml:space="preserve">Sustainability Prize), </w:t>
      </w:r>
      <w:r w:rsidR="00FE11A1" w:rsidRPr="00BB2A20">
        <w:rPr>
          <w:rFonts w:ascii="Calibri" w:hAnsi="Calibri" w:cs="Calibri"/>
        </w:rPr>
        <w:t>B</w:t>
      </w:r>
      <w:r w:rsidR="00D73A15" w:rsidRPr="00BB2A20">
        <w:rPr>
          <w:rFonts w:ascii="Calibri" w:hAnsi="Calibri" w:cs="Calibri"/>
        </w:rPr>
        <w:t xml:space="preserve">anking </w:t>
      </w:r>
      <w:r w:rsidR="00FE11A1" w:rsidRPr="00BB2A20">
        <w:rPr>
          <w:rFonts w:ascii="Calibri" w:hAnsi="Calibri" w:cs="Calibri"/>
        </w:rPr>
        <w:t>&amp; Finance</w:t>
      </w:r>
      <w:r w:rsidR="00D73A15" w:rsidRPr="00BB2A20">
        <w:rPr>
          <w:rFonts w:ascii="Calibri" w:hAnsi="Calibri" w:cs="Calibri"/>
        </w:rPr>
        <w:t xml:space="preserve"> (Abu Dhabi Islamic Bank, Bank of Sharjah, FOREX.com), </w:t>
      </w:r>
      <w:r w:rsidR="00FE11A1" w:rsidRPr="00BB2A20">
        <w:rPr>
          <w:rFonts w:ascii="Calibri" w:hAnsi="Calibri" w:cs="Calibri"/>
        </w:rPr>
        <w:t>R</w:t>
      </w:r>
      <w:r w:rsidR="00D73A15" w:rsidRPr="00BB2A20">
        <w:rPr>
          <w:rFonts w:ascii="Calibri" w:hAnsi="Calibri" w:cs="Calibri"/>
        </w:rPr>
        <w:t xml:space="preserve">eal </w:t>
      </w:r>
      <w:r w:rsidR="00FE11A1" w:rsidRPr="00BB2A20">
        <w:rPr>
          <w:rFonts w:ascii="Calibri" w:hAnsi="Calibri" w:cs="Calibri"/>
        </w:rPr>
        <w:t>E</w:t>
      </w:r>
      <w:r w:rsidR="00D73A15" w:rsidRPr="00BB2A20">
        <w:rPr>
          <w:rFonts w:ascii="Calibri" w:hAnsi="Calibri" w:cs="Calibri"/>
        </w:rPr>
        <w:t>state (ORA Development, NORD Development</w:t>
      </w:r>
      <w:r w:rsidR="00BE6837" w:rsidRPr="00BB2A20">
        <w:rPr>
          <w:rFonts w:ascii="Calibri" w:hAnsi="Calibri" w:cs="Calibri"/>
        </w:rPr>
        <w:t>, OCTA Properties</w:t>
      </w:r>
      <w:r w:rsidR="00D73A15" w:rsidRPr="00BB2A20">
        <w:rPr>
          <w:rFonts w:ascii="Calibri" w:hAnsi="Calibri" w:cs="Calibri"/>
        </w:rPr>
        <w:t xml:space="preserve">), </w:t>
      </w:r>
      <w:r w:rsidR="00FE11A1" w:rsidRPr="00BB2A20">
        <w:rPr>
          <w:rFonts w:ascii="Calibri" w:hAnsi="Calibri" w:cs="Calibri"/>
        </w:rPr>
        <w:t xml:space="preserve">Hospitality (ADNEC), </w:t>
      </w:r>
      <w:r w:rsidR="00F104AA" w:rsidRPr="00BB2A20">
        <w:rPr>
          <w:rFonts w:ascii="Calibri" w:hAnsi="Calibri" w:cs="Calibri"/>
        </w:rPr>
        <w:t xml:space="preserve">FMCG (Unilever, Storck), </w:t>
      </w:r>
      <w:r w:rsidR="00FE11A1" w:rsidRPr="00BB2A20">
        <w:rPr>
          <w:rFonts w:ascii="Calibri" w:hAnsi="Calibri" w:cs="Calibri"/>
        </w:rPr>
        <w:t>R</w:t>
      </w:r>
      <w:r w:rsidR="00D73A15" w:rsidRPr="00BB2A20">
        <w:rPr>
          <w:rFonts w:ascii="Calibri" w:hAnsi="Calibri" w:cs="Calibri"/>
        </w:rPr>
        <w:t>etail (</w:t>
      </w:r>
      <w:proofErr w:type="spellStart"/>
      <w:r w:rsidR="00D73A15" w:rsidRPr="00BB2A20">
        <w:rPr>
          <w:rFonts w:ascii="Calibri" w:hAnsi="Calibri" w:cs="Calibri"/>
        </w:rPr>
        <w:t>Bawabat</w:t>
      </w:r>
      <w:proofErr w:type="spellEnd"/>
      <w:r w:rsidR="00D73A15" w:rsidRPr="00BB2A20">
        <w:rPr>
          <w:rFonts w:ascii="Calibri" w:hAnsi="Calibri" w:cs="Calibri"/>
        </w:rPr>
        <w:t xml:space="preserve"> Al </w:t>
      </w:r>
      <w:proofErr w:type="spellStart"/>
      <w:r w:rsidR="00D73A15" w:rsidRPr="00BB2A20">
        <w:rPr>
          <w:rFonts w:ascii="Calibri" w:hAnsi="Calibri" w:cs="Calibri"/>
        </w:rPr>
        <w:t>Sharq</w:t>
      </w:r>
      <w:proofErr w:type="spellEnd"/>
      <w:r w:rsidR="00D73A15" w:rsidRPr="00BB2A20">
        <w:rPr>
          <w:rFonts w:ascii="Calibri" w:hAnsi="Calibri" w:cs="Calibri"/>
        </w:rPr>
        <w:t xml:space="preserve"> Mall), </w:t>
      </w:r>
      <w:r w:rsidR="00FE11A1" w:rsidRPr="00BB2A20">
        <w:rPr>
          <w:rFonts w:ascii="Calibri" w:hAnsi="Calibri" w:cs="Calibri"/>
        </w:rPr>
        <w:t>F</w:t>
      </w:r>
      <w:r w:rsidR="00D73A15" w:rsidRPr="00BB2A20">
        <w:rPr>
          <w:rFonts w:ascii="Calibri" w:hAnsi="Calibri" w:cs="Calibri"/>
        </w:rPr>
        <w:t xml:space="preserve">ood </w:t>
      </w:r>
      <w:r w:rsidR="00FE11A1" w:rsidRPr="00BB2A20">
        <w:rPr>
          <w:rFonts w:ascii="Calibri" w:hAnsi="Calibri" w:cs="Calibri"/>
        </w:rPr>
        <w:t>&amp;</w:t>
      </w:r>
      <w:r w:rsidR="00D73A15" w:rsidRPr="00BB2A20">
        <w:rPr>
          <w:rFonts w:ascii="Calibri" w:hAnsi="Calibri" w:cs="Calibri"/>
        </w:rPr>
        <w:t xml:space="preserve"> </w:t>
      </w:r>
      <w:r w:rsidR="00FE11A1" w:rsidRPr="00BB2A20">
        <w:rPr>
          <w:rFonts w:ascii="Calibri" w:hAnsi="Calibri" w:cs="Calibri"/>
        </w:rPr>
        <w:t>B</w:t>
      </w:r>
      <w:r w:rsidR="00D73A15" w:rsidRPr="00BB2A20">
        <w:rPr>
          <w:rFonts w:ascii="Calibri" w:hAnsi="Calibri" w:cs="Calibri"/>
        </w:rPr>
        <w:t xml:space="preserve">everage (Maestro Pizza), </w:t>
      </w:r>
      <w:r w:rsidR="00FE11A1" w:rsidRPr="00BB2A20">
        <w:rPr>
          <w:rFonts w:ascii="Calibri" w:hAnsi="Calibri" w:cs="Calibri"/>
        </w:rPr>
        <w:t>A</w:t>
      </w:r>
      <w:r w:rsidR="00D73A15" w:rsidRPr="00BB2A20">
        <w:rPr>
          <w:rFonts w:ascii="Calibri" w:hAnsi="Calibri" w:cs="Calibri"/>
        </w:rPr>
        <w:t>utomotive (Chery UAE</w:t>
      </w:r>
      <w:r w:rsidR="00BB2A20" w:rsidRPr="00BB2A20">
        <w:rPr>
          <w:rFonts w:ascii="Calibri" w:hAnsi="Calibri" w:cs="Calibri"/>
        </w:rPr>
        <w:t xml:space="preserve">, </w:t>
      </w:r>
      <w:r w:rsidR="00BB2A20" w:rsidRPr="00BB2A20">
        <w:rPr>
          <w:rFonts w:ascii="Calibri" w:hAnsi="Calibri" w:cs="Calibri"/>
        </w:rPr>
        <w:t xml:space="preserve">Al </w:t>
      </w:r>
      <w:proofErr w:type="spellStart"/>
      <w:r w:rsidR="00BB2A20" w:rsidRPr="00BB2A20">
        <w:rPr>
          <w:rFonts w:ascii="Calibri" w:hAnsi="Calibri" w:cs="Calibri"/>
        </w:rPr>
        <w:t>Naboodah</w:t>
      </w:r>
      <w:proofErr w:type="spellEnd"/>
      <w:r w:rsidR="00D73A15" w:rsidRPr="00BB2A20">
        <w:rPr>
          <w:rFonts w:ascii="Calibri" w:hAnsi="Calibri" w:cs="Calibri"/>
        </w:rPr>
        <w:t xml:space="preserve">), </w:t>
      </w:r>
      <w:r w:rsidR="00FE11A1" w:rsidRPr="00BB2A20">
        <w:rPr>
          <w:rFonts w:ascii="Calibri" w:hAnsi="Calibri" w:cs="Calibri"/>
        </w:rPr>
        <w:t>T</w:t>
      </w:r>
      <w:r w:rsidR="00D73A15" w:rsidRPr="00BB2A20">
        <w:rPr>
          <w:rFonts w:ascii="Calibri" w:hAnsi="Calibri" w:cs="Calibri"/>
        </w:rPr>
        <w:t xml:space="preserve">echnology (TCL), </w:t>
      </w:r>
      <w:r w:rsidR="00FE11A1" w:rsidRPr="00BB2A20">
        <w:rPr>
          <w:rFonts w:ascii="Calibri" w:hAnsi="Calibri" w:cs="Calibri"/>
        </w:rPr>
        <w:t>C</w:t>
      </w:r>
      <w:r w:rsidR="00D73A15" w:rsidRPr="00BB2A20">
        <w:rPr>
          <w:rFonts w:ascii="Calibri" w:hAnsi="Calibri" w:cs="Calibri"/>
        </w:rPr>
        <w:t>ulture</w:t>
      </w:r>
      <w:r w:rsidR="00FE11A1" w:rsidRPr="00BB2A20">
        <w:rPr>
          <w:rFonts w:ascii="Calibri" w:hAnsi="Calibri" w:cs="Calibri"/>
        </w:rPr>
        <w:t xml:space="preserve"> (Bassam </w:t>
      </w:r>
      <w:proofErr w:type="spellStart"/>
      <w:r w:rsidR="00FE11A1" w:rsidRPr="00BB2A20">
        <w:rPr>
          <w:rFonts w:ascii="Calibri" w:hAnsi="Calibri" w:cs="Calibri"/>
        </w:rPr>
        <w:t>Freiha</w:t>
      </w:r>
      <w:proofErr w:type="spellEnd"/>
      <w:r w:rsidR="00FE11A1" w:rsidRPr="00BB2A20">
        <w:rPr>
          <w:rFonts w:ascii="Calibri" w:hAnsi="Calibri" w:cs="Calibri"/>
        </w:rPr>
        <w:t xml:space="preserve"> Art Foundation), </w:t>
      </w:r>
      <w:r w:rsidR="0058527F" w:rsidRPr="00BB2A20">
        <w:rPr>
          <w:rFonts w:ascii="Calibri" w:hAnsi="Calibri" w:cs="Calibri"/>
        </w:rPr>
        <w:t xml:space="preserve">and </w:t>
      </w:r>
      <w:r w:rsidR="00FE11A1" w:rsidRPr="00BB2A20">
        <w:rPr>
          <w:rFonts w:ascii="Calibri" w:hAnsi="Calibri" w:cs="Calibri"/>
        </w:rPr>
        <w:t xml:space="preserve">Education (Bloom Education), </w:t>
      </w:r>
      <w:r w:rsidRPr="00BB2A20">
        <w:rPr>
          <w:rFonts w:ascii="Calibri" w:hAnsi="Calibri" w:cs="Calibri"/>
        </w:rPr>
        <w:t>delivering integrated strategies that connect brand, media, technology, and performance.</w:t>
      </w:r>
    </w:p>
    <w:p w14:paraId="46181B9F" w14:textId="77777777" w:rsidR="00DC1117" w:rsidRDefault="00DC1117" w:rsidP="00DC1117">
      <w:pPr>
        <w:spacing w:after="0" w:line="240" w:lineRule="auto"/>
        <w:jc w:val="both"/>
        <w:rPr>
          <w:rFonts w:ascii="Calibri" w:hAnsi="Calibri" w:cs="Calibri"/>
        </w:rPr>
      </w:pPr>
    </w:p>
    <w:p w14:paraId="14B85E4C" w14:textId="7AEC0E62" w:rsidR="00DC1117" w:rsidRPr="00DC1117" w:rsidRDefault="00DC1117" w:rsidP="00DC1117">
      <w:pPr>
        <w:spacing w:after="0" w:line="240" w:lineRule="auto"/>
        <w:jc w:val="both"/>
        <w:rPr>
          <w:rFonts w:ascii="Calibri" w:hAnsi="Calibri" w:cs="Calibri"/>
        </w:rPr>
      </w:pPr>
      <w:r w:rsidRPr="00DC1117">
        <w:rPr>
          <w:rFonts w:ascii="Calibri" w:hAnsi="Calibri" w:cs="Calibri"/>
        </w:rPr>
        <w:t>In a region navigating both opportunity and volatility, ATC’s model is designed for resilience. The agency views communications not as fragmented services, but as a unified system</w:t>
      </w:r>
      <w:r>
        <w:rPr>
          <w:rFonts w:ascii="Calibri" w:hAnsi="Calibri" w:cs="Calibri"/>
        </w:rPr>
        <w:t xml:space="preserve">, </w:t>
      </w:r>
      <w:r w:rsidRPr="00DC1117">
        <w:rPr>
          <w:rFonts w:ascii="Calibri" w:hAnsi="Calibri" w:cs="Calibri"/>
        </w:rPr>
        <w:t>where strategy, creativity, data, and technology operate without internal barriers. Its “Local-to-Global &amp; Global-to-Local” methodology aligns deep market insight with scalable execution, enabling brands to capture attention, accelerate growth, and build long-term competitive advantage.</w:t>
      </w:r>
    </w:p>
    <w:p w14:paraId="6220BBB4" w14:textId="77777777" w:rsidR="00DC1117" w:rsidRDefault="00DC1117" w:rsidP="00DC1117">
      <w:pPr>
        <w:spacing w:after="0" w:line="240" w:lineRule="auto"/>
        <w:jc w:val="both"/>
        <w:rPr>
          <w:rFonts w:ascii="Calibri" w:hAnsi="Calibri" w:cs="Calibri"/>
        </w:rPr>
      </w:pPr>
    </w:p>
    <w:p w14:paraId="00063E10" w14:textId="26C3E75A" w:rsidR="00DC1117" w:rsidRPr="00DC1117" w:rsidRDefault="00DC1117" w:rsidP="00DC1117">
      <w:pPr>
        <w:spacing w:after="0" w:line="240" w:lineRule="auto"/>
        <w:jc w:val="both"/>
        <w:rPr>
          <w:rFonts w:ascii="Calibri" w:hAnsi="Calibri" w:cs="Calibri"/>
        </w:rPr>
      </w:pPr>
      <w:r w:rsidRPr="00DC1117">
        <w:rPr>
          <w:rFonts w:ascii="Calibri" w:hAnsi="Calibri" w:cs="Calibri"/>
        </w:rPr>
        <w:t>With Beirut now operational, ATC signals further expansion ahead</w:t>
      </w:r>
      <w:r>
        <w:rPr>
          <w:rFonts w:ascii="Calibri" w:hAnsi="Calibri" w:cs="Calibri"/>
        </w:rPr>
        <w:t xml:space="preserve">, </w:t>
      </w:r>
      <w:r w:rsidRPr="00DC1117">
        <w:rPr>
          <w:rFonts w:ascii="Calibri" w:hAnsi="Calibri" w:cs="Calibri"/>
        </w:rPr>
        <w:t xml:space="preserve">continuing its mission to build brands in motion across </w:t>
      </w:r>
      <w:r w:rsidR="004F2B3A">
        <w:rPr>
          <w:rFonts w:ascii="Calibri" w:hAnsi="Calibri" w:cs="Calibri"/>
        </w:rPr>
        <w:t xml:space="preserve">the </w:t>
      </w:r>
      <w:r w:rsidRPr="00DC1117">
        <w:rPr>
          <w:rFonts w:ascii="Calibri" w:hAnsi="Calibri" w:cs="Calibri"/>
        </w:rPr>
        <w:t>MENA</w:t>
      </w:r>
      <w:r w:rsidR="004F2B3A">
        <w:rPr>
          <w:rFonts w:ascii="Calibri" w:hAnsi="Calibri" w:cs="Calibri"/>
        </w:rPr>
        <w:t xml:space="preserve"> region and soon, in other parts of the world</w:t>
      </w:r>
      <w:r w:rsidRPr="00DC1117">
        <w:rPr>
          <w:rFonts w:ascii="Calibri" w:hAnsi="Calibri" w:cs="Calibri"/>
        </w:rPr>
        <w:t>.</w:t>
      </w:r>
    </w:p>
    <w:p w14:paraId="0E73E6C2" w14:textId="449641C2" w:rsidR="005C3C36" w:rsidRPr="00DC1117" w:rsidRDefault="005C3C36" w:rsidP="00DC1117">
      <w:pPr>
        <w:spacing w:after="0" w:line="240" w:lineRule="auto"/>
        <w:jc w:val="both"/>
        <w:rPr>
          <w:rFonts w:ascii="Calibri" w:hAnsi="Calibri" w:cs="Calibri"/>
          <w:b/>
          <w:bCs/>
        </w:rPr>
      </w:pPr>
    </w:p>
    <w:p w14:paraId="0E1AD3F4" w14:textId="657B6D7F" w:rsidR="000971B1" w:rsidRPr="00DC1117" w:rsidRDefault="00DC1117" w:rsidP="004F2B3A">
      <w:pPr>
        <w:spacing w:after="0" w:line="240" w:lineRule="auto"/>
        <w:jc w:val="center"/>
        <w:rPr>
          <w:rFonts w:ascii="Calibri" w:hAnsi="Calibri" w:cs="Calibri"/>
          <w:b/>
          <w:bCs/>
        </w:rPr>
      </w:pPr>
      <w:r>
        <w:rPr>
          <w:rFonts w:ascii="Calibri" w:hAnsi="Calibri" w:cs="Calibri"/>
          <w:b/>
          <w:bCs/>
        </w:rPr>
        <w:t>-Ends-</w:t>
      </w:r>
    </w:p>
    <w:sectPr w:rsidR="000971B1" w:rsidRPr="00DC1117" w:rsidSect="00DC1117">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885B89"/>
    <w:multiLevelType w:val="multilevel"/>
    <w:tmpl w:val="E68E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523E9"/>
    <w:multiLevelType w:val="multilevel"/>
    <w:tmpl w:val="B41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95F37"/>
    <w:multiLevelType w:val="multilevel"/>
    <w:tmpl w:val="004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540080">
    <w:abstractNumId w:val="1"/>
  </w:num>
  <w:num w:numId="2" w16cid:durableId="2438179">
    <w:abstractNumId w:val="2"/>
  </w:num>
  <w:num w:numId="3" w16cid:durableId="79062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FB"/>
    <w:rsid w:val="00007F28"/>
    <w:rsid w:val="000971B1"/>
    <w:rsid w:val="000B40D5"/>
    <w:rsid w:val="00440BD7"/>
    <w:rsid w:val="004960BE"/>
    <w:rsid w:val="004F2B3A"/>
    <w:rsid w:val="00525543"/>
    <w:rsid w:val="0058527F"/>
    <w:rsid w:val="005C3C36"/>
    <w:rsid w:val="00624A6B"/>
    <w:rsid w:val="007432B4"/>
    <w:rsid w:val="007E1EE8"/>
    <w:rsid w:val="0087119A"/>
    <w:rsid w:val="009321FB"/>
    <w:rsid w:val="00BB2A20"/>
    <w:rsid w:val="00BE6837"/>
    <w:rsid w:val="00CC11CD"/>
    <w:rsid w:val="00D24E8A"/>
    <w:rsid w:val="00D73A15"/>
    <w:rsid w:val="00DC1117"/>
    <w:rsid w:val="00E974C9"/>
    <w:rsid w:val="00F104AA"/>
    <w:rsid w:val="00FE11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6C2C"/>
  <w15:chartTrackingRefBased/>
  <w15:docId w15:val="{43CB153A-1B71-4F17-B656-CE106041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1FB"/>
    <w:rPr>
      <w:rFonts w:eastAsiaTheme="majorEastAsia" w:cstheme="majorBidi"/>
      <w:color w:val="272727" w:themeColor="text1" w:themeTint="D8"/>
    </w:rPr>
  </w:style>
  <w:style w:type="paragraph" w:styleId="Title">
    <w:name w:val="Title"/>
    <w:basedOn w:val="Normal"/>
    <w:next w:val="Normal"/>
    <w:link w:val="TitleChar"/>
    <w:uiPriority w:val="10"/>
    <w:qFormat/>
    <w:rsid w:val="00932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1FB"/>
    <w:pPr>
      <w:spacing w:before="160"/>
      <w:jc w:val="center"/>
    </w:pPr>
    <w:rPr>
      <w:i/>
      <w:iCs/>
      <w:color w:val="404040" w:themeColor="text1" w:themeTint="BF"/>
    </w:rPr>
  </w:style>
  <w:style w:type="character" w:customStyle="1" w:styleId="QuoteChar">
    <w:name w:val="Quote Char"/>
    <w:basedOn w:val="DefaultParagraphFont"/>
    <w:link w:val="Quote"/>
    <w:uiPriority w:val="29"/>
    <w:rsid w:val="009321FB"/>
    <w:rPr>
      <w:i/>
      <w:iCs/>
      <w:color w:val="404040" w:themeColor="text1" w:themeTint="BF"/>
    </w:rPr>
  </w:style>
  <w:style w:type="paragraph" w:styleId="ListParagraph">
    <w:name w:val="List Paragraph"/>
    <w:basedOn w:val="Normal"/>
    <w:uiPriority w:val="34"/>
    <w:qFormat/>
    <w:rsid w:val="009321FB"/>
    <w:pPr>
      <w:ind w:left="720"/>
      <w:contextualSpacing/>
    </w:pPr>
  </w:style>
  <w:style w:type="character" w:styleId="IntenseEmphasis">
    <w:name w:val="Intense Emphasis"/>
    <w:basedOn w:val="DefaultParagraphFont"/>
    <w:uiPriority w:val="21"/>
    <w:qFormat/>
    <w:rsid w:val="009321FB"/>
    <w:rPr>
      <w:i/>
      <w:iCs/>
      <w:color w:val="0F4761" w:themeColor="accent1" w:themeShade="BF"/>
    </w:rPr>
  </w:style>
  <w:style w:type="paragraph" w:styleId="IntenseQuote">
    <w:name w:val="Intense Quote"/>
    <w:basedOn w:val="Normal"/>
    <w:next w:val="Normal"/>
    <w:link w:val="IntenseQuoteChar"/>
    <w:uiPriority w:val="30"/>
    <w:qFormat/>
    <w:rsid w:val="00932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1FB"/>
    <w:rPr>
      <w:i/>
      <w:iCs/>
      <w:color w:val="0F4761" w:themeColor="accent1" w:themeShade="BF"/>
    </w:rPr>
  </w:style>
  <w:style w:type="character" w:styleId="IntenseReference">
    <w:name w:val="Intense Reference"/>
    <w:basedOn w:val="DefaultParagraphFont"/>
    <w:uiPriority w:val="32"/>
    <w:qFormat/>
    <w:rsid w:val="009321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4114392">
      <w:bodyDiv w:val="1"/>
      <w:marLeft w:val="0"/>
      <w:marRight w:val="0"/>
      <w:marTop w:val="0"/>
      <w:marBottom w:val="0"/>
      <w:divBdr>
        <w:top w:val="none" w:sz="0" w:space="0" w:color="auto"/>
        <w:left w:val="none" w:sz="0" w:space="0" w:color="auto"/>
        <w:bottom w:val="none" w:sz="0" w:space="0" w:color="auto"/>
        <w:right w:val="none" w:sz="0" w:space="0" w:color="auto"/>
      </w:divBdr>
      <w:divsChild>
        <w:div w:id="158354822">
          <w:marLeft w:val="0"/>
          <w:marRight w:val="0"/>
          <w:marTop w:val="0"/>
          <w:marBottom w:val="0"/>
          <w:divBdr>
            <w:top w:val="none" w:sz="0" w:space="0" w:color="auto"/>
            <w:left w:val="none" w:sz="0" w:space="0" w:color="auto"/>
            <w:bottom w:val="none" w:sz="0" w:space="0" w:color="auto"/>
            <w:right w:val="none" w:sz="0" w:space="0" w:color="auto"/>
          </w:divBdr>
        </w:div>
        <w:div w:id="1014306552">
          <w:marLeft w:val="0"/>
          <w:marRight w:val="0"/>
          <w:marTop w:val="0"/>
          <w:marBottom w:val="0"/>
          <w:divBdr>
            <w:top w:val="none" w:sz="0" w:space="0" w:color="auto"/>
            <w:left w:val="none" w:sz="0" w:space="0" w:color="auto"/>
            <w:bottom w:val="none" w:sz="0" w:space="0" w:color="auto"/>
            <w:right w:val="none" w:sz="0" w:space="0" w:color="auto"/>
          </w:divBdr>
        </w:div>
      </w:divsChild>
    </w:div>
    <w:div w:id="680787970">
      <w:bodyDiv w:val="1"/>
      <w:marLeft w:val="0"/>
      <w:marRight w:val="0"/>
      <w:marTop w:val="0"/>
      <w:marBottom w:val="0"/>
      <w:divBdr>
        <w:top w:val="none" w:sz="0" w:space="0" w:color="auto"/>
        <w:left w:val="none" w:sz="0" w:space="0" w:color="auto"/>
        <w:bottom w:val="none" w:sz="0" w:space="0" w:color="auto"/>
        <w:right w:val="none" w:sz="0" w:space="0" w:color="auto"/>
      </w:divBdr>
      <w:divsChild>
        <w:div w:id="1481653226">
          <w:marLeft w:val="0"/>
          <w:marRight w:val="0"/>
          <w:marTop w:val="0"/>
          <w:marBottom w:val="0"/>
          <w:divBdr>
            <w:top w:val="none" w:sz="0" w:space="0" w:color="auto"/>
            <w:left w:val="none" w:sz="0" w:space="0" w:color="auto"/>
            <w:bottom w:val="none" w:sz="0" w:space="0" w:color="auto"/>
            <w:right w:val="none" w:sz="0" w:space="0" w:color="auto"/>
          </w:divBdr>
        </w:div>
        <w:div w:id="186480430">
          <w:marLeft w:val="0"/>
          <w:marRight w:val="0"/>
          <w:marTop w:val="0"/>
          <w:marBottom w:val="0"/>
          <w:divBdr>
            <w:top w:val="none" w:sz="0" w:space="0" w:color="auto"/>
            <w:left w:val="none" w:sz="0" w:space="0" w:color="auto"/>
            <w:bottom w:val="none" w:sz="0" w:space="0" w:color="auto"/>
            <w:right w:val="none" w:sz="0" w:space="0" w:color="auto"/>
          </w:divBdr>
        </w:div>
        <w:div w:id="1255479337">
          <w:marLeft w:val="0"/>
          <w:marRight w:val="0"/>
          <w:marTop w:val="0"/>
          <w:marBottom w:val="0"/>
          <w:divBdr>
            <w:top w:val="none" w:sz="0" w:space="0" w:color="auto"/>
            <w:left w:val="none" w:sz="0" w:space="0" w:color="auto"/>
            <w:bottom w:val="none" w:sz="0" w:space="0" w:color="auto"/>
            <w:right w:val="none" w:sz="0" w:space="0" w:color="auto"/>
          </w:divBdr>
        </w:div>
        <w:div w:id="1993635506">
          <w:marLeft w:val="0"/>
          <w:marRight w:val="0"/>
          <w:marTop w:val="0"/>
          <w:marBottom w:val="0"/>
          <w:divBdr>
            <w:top w:val="none" w:sz="0" w:space="0" w:color="auto"/>
            <w:left w:val="none" w:sz="0" w:space="0" w:color="auto"/>
            <w:bottom w:val="none" w:sz="0" w:space="0" w:color="auto"/>
            <w:right w:val="none" w:sz="0" w:space="0" w:color="auto"/>
          </w:divBdr>
        </w:div>
      </w:divsChild>
    </w:div>
    <w:div w:id="1220245574">
      <w:bodyDiv w:val="1"/>
      <w:marLeft w:val="0"/>
      <w:marRight w:val="0"/>
      <w:marTop w:val="0"/>
      <w:marBottom w:val="0"/>
      <w:divBdr>
        <w:top w:val="none" w:sz="0" w:space="0" w:color="auto"/>
        <w:left w:val="none" w:sz="0" w:space="0" w:color="auto"/>
        <w:bottom w:val="none" w:sz="0" w:space="0" w:color="auto"/>
        <w:right w:val="none" w:sz="0" w:space="0" w:color="auto"/>
      </w:divBdr>
    </w:div>
    <w:div w:id="1334915787">
      <w:bodyDiv w:val="1"/>
      <w:marLeft w:val="0"/>
      <w:marRight w:val="0"/>
      <w:marTop w:val="0"/>
      <w:marBottom w:val="0"/>
      <w:divBdr>
        <w:top w:val="none" w:sz="0" w:space="0" w:color="auto"/>
        <w:left w:val="none" w:sz="0" w:space="0" w:color="auto"/>
        <w:bottom w:val="none" w:sz="0" w:space="0" w:color="auto"/>
        <w:right w:val="none" w:sz="0" w:space="0" w:color="auto"/>
      </w:divBdr>
    </w:div>
    <w:div w:id="1711953267">
      <w:bodyDiv w:val="1"/>
      <w:marLeft w:val="0"/>
      <w:marRight w:val="0"/>
      <w:marTop w:val="0"/>
      <w:marBottom w:val="0"/>
      <w:divBdr>
        <w:top w:val="none" w:sz="0" w:space="0" w:color="auto"/>
        <w:left w:val="none" w:sz="0" w:space="0" w:color="auto"/>
        <w:bottom w:val="none" w:sz="0" w:space="0" w:color="auto"/>
        <w:right w:val="none" w:sz="0" w:space="0" w:color="auto"/>
      </w:divBdr>
      <w:divsChild>
        <w:div w:id="1791581778">
          <w:marLeft w:val="0"/>
          <w:marRight w:val="0"/>
          <w:marTop w:val="0"/>
          <w:marBottom w:val="0"/>
          <w:divBdr>
            <w:top w:val="none" w:sz="0" w:space="0" w:color="auto"/>
            <w:left w:val="none" w:sz="0" w:space="0" w:color="auto"/>
            <w:bottom w:val="none" w:sz="0" w:space="0" w:color="auto"/>
            <w:right w:val="none" w:sz="0" w:space="0" w:color="auto"/>
          </w:divBdr>
        </w:div>
        <w:div w:id="196091235">
          <w:marLeft w:val="0"/>
          <w:marRight w:val="0"/>
          <w:marTop w:val="0"/>
          <w:marBottom w:val="0"/>
          <w:divBdr>
            <w:top w:val="none" w:sz="0" w:space="0" w:color="auto"/>
            <w:left w:val="none" w:sz="0" w:space="0" w:color="auto"/>
            <w:bottom w:val="none" w:sz="0" w:space="0" w:color="auto"/>
            <w:right w:val="none" w:sz="0" w:space="0" w:color="auto"/>
          </w:divBdr>
        </w:div>
      </w:divsChild>
    </w:div>
    <w:div w:id="1790050998">
      <w:bodyDiv w:val="1"/>
      <w:marLeft w:val="0"/>
      <w:marRight w:val="0"/>
      <w:marTop w:val="0"/>
      <w:marBottom w:val="0"/>
      <w:divBdr>
        <w:top w:val="none" w:sz="0" w:space="0" w:color="auto"/>
        <w:left w:val="none" w:sz="0" w:space="0" w:color="auto"/>
        <w:bottom w:val="none" w:sz="0" w:space="0" w:color="auto"/>
        <w:right w:val="none" w:sz="0" w:space="0" w:color="auto"/>
      </w:divBdr>
    </w:div>
    <w:div w:id="1941986461">
      <w:bodyDiv w:val="1"/>
      <w:marLeft w:val="0"/>
      <w:marRight w:val="0"/>
      <w:marTop w:val="0"/>
      <w:marBottom w:val="0"/>
      <w:divBdr>
        <w:top w:val="none" w:sz="0" w:space="0" w:color="auto"/>
        <w:left w:val="none" w:sz="0" w:space="0" w:color="auto"/>
        <w:bottom w:val="none" w:sz="0" w:space="0" w:color="auto"/>
        <w:right w:val="none" w:sz="0" w:space="0" w:color="auto"/>
      </w:divBdr>
      <w:divsChild>
        <w:div w:id="540359758">
          <w:marLeft w:val="0"/>
          <w:marRight w:val="0"/>
          <w:marTop w:val="0"/>
          <w:marBottom w:val="0"/>
          <w:divBdr>
            <w:top w:val="none" w:sz="0" w:space="0" w:color="auto"/>
            <w:left w:val="none" w:sz="0" w:space="0" w:color="auto"/>
            <w:bottom w:val="none" w:sz="0" w:space="0" w:color="auto"/>
            <w:right w:val="none" w:sz="0" w:space="0" w:color="auto"/>
          </w:divBdr>
        </w:div>
        <w:div w:id="600257246">
          <w:marLeft w:val="0"/>
          <w:marRight w:val="0"/>
          <w:marTop w:val="0"/>
          <w:marBottom w:val="0"/>
          <w:divBdr>
            <w:top w:val="none" w:sz="0" w:space="0" w:color="auto"/>
            <w:left w:val="none" w:sz="0" w:space="0" w:color="auto"/>
            <w:bottom w:val="none" w:sz="0" w:space="0" w:color="auto"/>
            <w:right w:val="none" w:sz="0" w:space="0" w:color="auto"/>
          </w:divBdr>
        </w:div>
        <w:div w:id="2134669458">
          <w:marLeft w:val="0"/>
          <w:marRight w:val="0"/>
          <w:marTop w:val="0"/>
          <w:marBottom w:val="0"/>
          <w:divBdr>
            <w:top w:val="none" w:sz="0" w:space="0" w:color="auto"/>
            <w:left w:val="none" w:sz="0" w:space="0" w:color="auto"/>
            <w:bottom w:val="none" w:sz="0" w:space="0" w:color="auto"/>
            <w:right w:val="none" w:sz="0" w:space="0" w:color="auto"/>
          </w:divBdr>
        </w:div>
        <w:div w:id="464012332">
          <w:marLeft w:val="0"/>
          <w:marRight w:val="0"/>
          <w:marTop w:val="0"/>
          <w:marBottom w:val="0"/>
          <w:divBdr>
            <w:top w:val="none" w:sz="0" w:space="0" w:color="auto"/>
            <w:left w:val="none" w:sz="0" w:space="0" w:color="auto"/>
            <w:bottom w:val="none" w:sz="0" w:space="0" w:color="auto"/>
            <w:right w:val="none" w:sz="0" w:space="0" w:color="auto"/>
          </w:divBdr>
        </w:div>
      </w:divsChild>
    </w:div>
    <w:div w:id="212723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0834CCFEFF784D971A0D4CB79F9C4C" ma:contentTypeVersion="13" ma:contentTypeDescription="Create a new document." ma:contentTypeScope="" ma:versionID="fb982fabb0cfa930da703330ea58ae5b">
  <xsd:schema xmlns:xsd="http://www.w3.org/2001/XMLSchema" xmlns:xs="http://www.w3.org/2001/XMLSchema" xmlns:p="http://schemas.microsoft.com/office/2006/metadata/properties" xmlns:ns2="4a1508f7-c889-4edf-b858-a3fc51f2912e" xmlns:ns3="58e259ec-e241-4313-a471-1b45db816705" targetNamespace="http://schemas.microsoft.com/office/2006/metadata/properties" ma:root="true" ma:fieldsID="ba53688191b77cc29f1bad1349fd2afa" ns2:_="" ns3:_="">
    <xsd:import namespace="4a1508f7-c889-4edf-b858-a3fc51f2912e"/>
    <xsd:import namespace="58e259ec-e241-4313-a471-1b45db8167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508f7-c889-4edf-b858-a3fc51f29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35187fe-2f69-42f3-94e7-48a868ab421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e259ec-e241-4313-a471-1b45db81670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49a5d47-6e3b-4157-b5d8-6464885d438d}" ma:internalName="TaxCatchAll" ma:showField="CatchAllData" ma:web="58e259ec-e241-4313-a471-1b45db8167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1508f7-c889-4edf-b858-a3fc51f2912e">
      <Terms xmlns="http://schemas.microsoft.com/office/infopath/2007/PartnerControls"/>
    </lcf76f155ced4ddcb4097134ff3c332f>
    <TaxCatchAll xmlns="58e259ec-e241-4313-a471-1b45db816705" xsi:nil="true"/>
  </documentManagement>
</p:properties>
</file>

<file path=customXml/itemProps1.xml><?xml version="1.0" encoding="utf-8"?>
<ds:datastoreItem xmlns:ds="http://schemas.openxmlformats.org/officeDocument/2006/customXml" ds:itemID="{F2F986D5-E390-4C09-8AD8-1B1F085A18D3}"/>
</file>

<file path=customXml/itemProps2.xml><?xml version="1.0" encoding="utf-8"?>
<ds:datastoreItem xmlns:ds="http://schemas.openxmlformats.org/officeDocument/2006/customXml" ds:itemID="{50DF4201-04CF-4062-88E4-43DBE56565DB}"/>
</file>

<file path=customXml/itemProps3.xml><?xml version="1.0" encoding="utf-8"?>
<ds:datastoreItem xmlns:ds="http://schemas.openxmlformats.org/officeDocument/2006/customXml" ds:itemID="{F9C2CFEE-A093-4B59-8628-D4BE5F1A2139}"/>
</file>

<file path=docProps/app.xml><?xml version="1.0" encoding="utf-8"?>
<Properties xmlns="http://schemas.openxmlformats.org/officeDocument/2006/extended-properties" xmlns:vt="http://schemas.openxmlformats.org/officeDocument/2006/docPropsVTypes">
  <Template>Normal</Template>
  <TotalTime>259</TotalTime>
  <Pages>1</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Ramadan</dc:creator>
  <cp:keywords/>
  <dc:description/>
  <cp:lastModifiedBy>Lynn Ramadan</cp:lastModifiedBy>
  <cp:revision>12</cp:revision>
  <dcterms:created xsi:type="dcterms:W3CDTF">2026-02-16T18:38:00Z</dcterms:created>
  <dcterms:modified xsi:type="dcterms:W3CDTF">2026-02-18T09:01:00Z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0x010100E40834CCFEFF784D971A0D4CB79F9C4C</vt:lpwstr>
  </property>
</Properties>
</file>