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3.svg" ContentType="image/svg+xml"/>
  <Override PartName="/word/media/image5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Part B: AI-Assisted TAM Tool</w:t>
      </w:r>
    </w:p>
    <w:p>
      <w:pPr>
        <w:pStyle w:val="Subtitle"/>
      </w:pPr>
      <w:r>
        <w:t>TAM Support Intelligence Dashboard</w:t>
      </w:r>
    </w:p>
    <w:p>
      <w:pPr>
        <w:pStyle w:val="Heading1"/>
      </w:pPr>
      <w:r>
        <w:rPr/>
        <w:t>1. Submission Summary</w:t>
      </w:r>
    </w:p>
    <w:p>
      <w:pPr>
        <w:jc w:val="both"/>
      </w:pPr>
      <w:r>
        <w:rPr>
          <w:b/>
        </w:rPr>
        <w:t>Tool built:</w:t>
      </w:r>
      <w:r>
        <w:rPr/>
        <w:t>TAM Support Intelligence, a lightweight web dashboard for Technical Account Managers to monitor support health across dedicated enterprise accounts, spot operational risk early, and export QBR-ready summaries.</w:t>
      </w:r>
    </w:p>
    <w:p>
      <w:pPr>
        <w:jc w:val="both"/>
      </w:pPr>
      <w:r>
        <w:rPr/>
        <w:t>Why it is relevant to TAM work: TAMs need a single view of portfolio health (SLA, CSAT, P1/P2 volume, reopenings, stale/aging tickets) without waiting on Zendesk admin access or manual spreadsheet work. This tool turns ticket-level data into account health scores, at-risk alerts, regional portfolio views, and exportable service-review reports.</w:t>
      </w:r>
    </w:p>
    <w:p>
      <w:pPr>
        <w:jc w:val="both"/>
      </w:pPr>
      <w:r>
        <w:rPr>
          <w:b/>
        </w:rPr>
        <w:t>Repository:</w:t>
      </w:r>
      <w:r>
        <w:rPr/>
        <w:t>github.com/wickrasoft/sinch-tam-support-intelligence</w:t>
      </w:r>
    </w:p>
    <w:p>
      <w:pPr>
        <w:jc w:val="both"/>
      </w:pPr>
      <w:r>
        <w:rPr>
          <w:b/>
        </w:rPr>
        <w:t>Deployment:</w:t>
      </w:r>
      <w:r>
        <w:rPr/>
        <w:t>Vercel (auto-deploy from main branch)</w:t>
      </w:r>
    </w:p>
    <w:p>
      <w:pPr>
        <w:jc w:val="both"/>
      </w:pPr>
      <w:r>
        <w:rPr/>
        <w:t>Run locally:</w:t>
      </w:r>
    </w:p>
    <w:p>
      <w:pPr>
        <w:pStyle w:val="ListBullet"/>
      </w:pPr>
      <w:r>
        <w:rPr/>
        <w:t>npm install</w:t>
      </w:r>
    </w:p>
    <w:p>
      <w:pPr>
        <w:pStyle w:val="ListBullet"/>
      </w:pPr>
      <w:r>
        <w:rPr/>
        <w:t>npm run dev to http://localhost:5173</w:t>
      </w:r>
    </w:p>
    <w:p>
      <w:pPr>
        <w:pStyle w:val="ListBullet"/>
      </w:pPr>
      <w:r>
        <w:rPr/>
        <w:t>npm run generate-data to optional, regenerates synthetic dataset</w:t>
      </w:r>
    </w:p>
    <w:p>
      <w:pPr>
        <w:pStyle w:val="Heading1"/>
      </w:pPr>
      <w:r>
        <w:rPr/>
        <w:t>2. What the Tool Does</w:t>
      </w:r>
    </w:p>
    <w:p>
      <w:pPr>
        <w:pStyle w:val="Heading2"/>
      </w:pPr>
      <w:r>
        <w:rPr/>
        <w:t>Core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5046"/>
        <w:gridCol w:w="5046"/>
      </w:tblGrid>
      <w:tr>
        <w:tc>
          <w:tcPr>
            <w:tcW w:type="dxa" w:w="504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val="clear" w:color="auto" w:fill="1B3A5B"/>
          </w:tcPr>
          <w:p>
            <w:pPr>
              <w:spacing w:after="40" w:before="40"/>
            </w:pPr>
            <w:r>
              <w:rPr>
                <w:b w:val="true"/>
                <w:color w:val="FFFFFF"/>
                <w:sz w:val="24"/>
                <w:szCs w:val="24"/>
              </w:rPr>
              <w:t>Metric</w:t>
            </w:r>
          </w:p>
        </w:tc>
        <w:tc>
          <w:tcPr>
            <w:tcW w:type="dxa" w:w="504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val="clear" w:color="auto" w:fill="1B3A5B"/>
          </w:tcPr>
          <w:p>
            <w:pPr>
              <w:spacing w:after="40" w:before="40"/>
            </w:pPr>
            <w:r>
              <w:rPr>
                <w:b w:val="true"/>
                <w:color w:val="FFFFFF"/>
                <w:sz w:val="24"/>
                <w:szCs w:val="24"/>
              </w:rPr>
              <w:t>Use for TAMs</w:t>
            </w:r>
          </w:p>
        </w:tc>
      </w:tr>
      <w:tr>
        <w:tc>
          <w:tcPr>
            <w:tcW w:type="dxa" w:w="504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P1, P2 volume</w:t>
            </w:r>
          </w:p>
        </w:tc>
        <w:tc>
          <w:tcPr>
            <w:tcW w:type="dxa" w:w="504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Escalation and incident load per portfolio</w:t>
            </w:r>
          </w:p>
        </w:tc>
      </w:tr>
      <w:tr>
        <w:tc>
          <w:tcPr>
            <w:tcW w:type="dxa" w:w="504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SLA breaches</w:t>
            </w:r>
          </w:p>
        </w:tc>
        <w:tc>
          <w:tcPr>
            <w:tcW w:type="dxa" w:w="504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First-response and resolution compliance</w:t>
            </w:r>
          </w:p>
        </w:tc>
      </w:tr>
      <w:tr>
        <w:tc>
          <w:tcPr>
            <w:tcW w:type="dxa" w:w="504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CSAT</w:t>
            </w:r>
          </w:p>
        </w:tc>
        <w:tc>
          <w:tcPr>
            <w:tcW w:type="dxa" w:w="504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Satisfaction trend and low-score follow-up</w:t>
            </w:r>
          </w:p>
        </w:tc>
      </w:tr>
      <w:tr>
        <w:tc>
          <w:tcPr>
            <w:tcW w:type="dxa" w:w="504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MTTA, MTTR</w:t>
            </w:r>
          </w:p>
        </w:tc>
        <w:tc>
          <w:tcPr>
            <w:tcW w:type="dxa" w:w="504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Responsiveness and resolution speed</w:t>
            </w:r>
          </w:p>
        </w:tc>
      </w:tr>
      <w:tr>
        <w:tc>
          <w:tcPr>
            <w:tcW w:type="dxa" w:w="504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Reopenings</w:t>
            </w:r>
          </w:p>
        </w:tc>
        <w:tc>
          <w:tcPr>
            <w:tcW w:type="dxa" w:w="504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Quality, stability signal (day to year buckets)</w:t>
            </w:r>
          </w:p>
        </w:tc>
      </w:tr>
      <w:tr>
        <w:tc>
          <w:tcPr>
            <w:tcW w:type="dxa" w:w="504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Account Health Score (0-100)</w:t>
            </w:r>
          </w:p>
        </w:tc>
        <w:tc>
          <w:tcPr>
            <w:tcW w:type="dxa" w:w="504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Composite portfolio health at a glance</w:t>
            </w:r>
          </w:p>
        </w:tc>
      </w:tr>
      <w:tr>
        <w:tc>
          <w:tcPr>
            <w:tcW w:type="dxa" w:w="504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At-risk accounts</w:t>
            </w:r>
          </w:p>
        </w:tc>
        <w:tc>
          <w:tcPr>
            <w:tcW w:type="dxa" w:w="504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Accounts needing proactive TAM attention</w:t>
            </w:r>
          </w:p>
        </w:tc>
      </w:tr>
    </w:tbl>
    <w:p>
      <w:pPr>
        <w:jc w:val="both"/>
      </w:pPr>
    </w:p>
    <w:p>
      <w:pPr>
        <w:pStyle w:val="Heading2"/>
      </w:pPr>
      <w:r>
        <w:rPr/>
        <w:t>Operational Panels</w:t>
      </w:r>
    </w:p>
    <w:p>
      <w:pPr>
        <w:pStyle w:val="ListBullet"/>
      </w:pPr>
      <w:r>
        <w:rPr/>
        <w:t>Stale tickets, open tickets with no recent update (24h, 48h, 72h thresholds)</w:t>
      </w:r>
    </w:p>
    <w:p>
      <w:pPr>
        <w:pStyle w:val="ListBullet"/>
      </w:pPr>
      <w:r>
        <w:rPr/>
        <w:t>Aging tickets, unresolved tickets by age (7d, 14d, 30d+)</w:t>
      </w:r>
    </w:p>
    <w:p>
      <w:pPr>
        <w:pStyle w:val="ListBullet"/>
      </w:pPr>
      <w:r>
        <w:rPr/>
        <w:t>Tickets needing attention, disposition-based alert queue</w:t>
      </w:r>
    </w:p>
    <w:p>
      <w:pPr>
        <w:pStyle w:val="ListBullet"/>
      </w:pPr>
      <w:r>
        <w:rPr/>
        <w:t>TAM portfolio overview, per-TAM activity breakdown with drill-down</w:t>
      </w:r>
    </w:p>
    <w:p>
      <w:pPr>
        <w:pStyle w:val="Heading2"/>
      </w:pPr>
      <w:r>
        <w:rPr/>
        <w:t>Global Filters</w:t>
      </w:r>
    </w:p>
    <w:p>
      <w:pPr>
        <w:pStyle w:val="ListBullet"/>
      </w:pPr>
      <w:r>
        <w:rPr/>
        <w:t>Period: Day, Week, Month, Quarter, Year</w:t>
      </w:r>
    </w:p>
    <w:p>
      <w:pPr>
        <w:pStyle w:val="ListBullet"/>
      </w:pPr>
      <w:r>
        <w:rPr/>
        <w:t>Reference date, Region (US, EMEA, APAC, LATAM), TAM, Account, Priority, Status</w:t>
      </w:r>
    </w:p>
    <w:p>
      <w:pPr>
        <w:pStyle w:val="ListBullet"/>
      </w:pPr>
      <w:r>
        <w:rPr/>
        <w:t>SLA breaches only</w:t>
      </w:r>
    </w:p>
    <w:p>
      <w:pPr>
        <w:jc w:val="both"/>
      </w:pPr>
      <w:r>
        <w:rPr/>
        <w:t>All filters apply consistently across KPIs, charts, operational panels, and exports.</w:t>
      </w:r>
    </w:p>
    <w:p>
      <w:pPr>
        <w:pStyle w:val="Heading2"/>
      </w:pPr>
      <w:r>
        <w:rPr/>
        <w:t>Exports</w:t>
      </w:r>
    </w:p>
    <w:p>
      <w:pPr>
        <w:pStyle w:val="ListBullet"/>
      </w:pPr>
      <w:r>
        <w:rPr/>
        <w:t>CSV, filtered ticket list</w:t>
      </w:r>
    </w:p>
    <w:p>
      <w:pPr>
        <w:pStyle w:val="ListBullet"/>
      </w:pPr>
      <w:r>
        <w:rPr/>
        <w:t>Markdown report, QBR, service review summary</w:t>
      </w:r>
    </w:p>
    <w:p>
      <w:pPr>
        <w:pStyle w:val="ListBullet"/>
      </w:pPr>
      <w:r>
        <w:rPr/>
        <w:t>PDF report, same content, formatted for sharing</w:t>
      </w:r>
    </w:p>
    <w:p>
      <w:pPr>
        <w:pStyle w:val="Heading2"/>
      </w:pPr>
      <w:r>
        <w:rPr/>
        <w:t>Other Features</w:t>
      </w:r>
    </w:p>
    <w:p>
      <w:pPr>
        <w:pStyle w:val="ListBullet"/>
      </w:pPr>
      <w:r>
        <w:rPr/>
        <w:t>Zendesk-style ticket detail modal (3-pane layout)</w:t>
      </w:r>
    </w:p>
    <w:p>
      <w:pPr>
        <w:pStyle w:val="ListBullet"/>
      </w:pPr>
      <w:r>
        <w:rPr/>
        <w:t>Regional distribution chart with drill-down</w:t>
      </w:r>
    </w:p>
    <w:p>
      <w:pPr>
        <w:pStyle w:val="ListBullet"/>
      </w:pPr>
      <w:r>
        <w:rPr/>
        <w:t>Period-over-period KPI deltas vs prior period</w:t>
      </w:r>
    </w:p>
    <w:p>
      <w:pPr>
        <w:pStyle w:val="ListBullet"/>
      </w:pPr>
      <w:r>
        <w:rPr/>
        <w:t>Color themes (Dark, Light, Sinch branding)</w:t>
      </w:r>
    </w:p>
    <w:p>
      <w:pPr>
        <w:pStyle w:val="ListBullet"/>
      </w:pPr>
      <w:r>
        <w:rPr/>
        <w:t>Synthetic dataset shaped like Zendesk exports (no live API required for demo)</w:t>
      </w:r>
    </w:p>
    <w:p>
      <w:pPr>
        <w:pStyle w:val="Heading2"/>
      </w:pPr>
      <w:r>
        <w:rPr/>
        <w:t>Dataset</w:t>
      </w:r>
    </w:p>
    <w:p>
      <w:pPr>
        <w:pStyle w:val="ListBullet"/>
      </w:pPr>
      <w:r>
        <w:rPr/>
        <w:t>15 TAMs, 25 accounts, ~6,250 tickets (Jan 2024 to Jun 2026)</w:t>
      </w:r>
    </w:p>
    <w:p>
      <w:pPr>
        <w:pStyle w:val="ListBullet"/>
      </w:pPr>
      <w:r>
        <w:rPr/>
        <w:t>Account-specific risk profiles for realistic at-risk storytelling</w:t>
      </w:r>
    </w:p>
    <w:p>
      <w:pPr>
        <w:pStyle w:val="ListBullet"/>
      </w:pPr>
      <w:r>
        <w:rPr/>
        <w:t>Regenerate with: npm run generate-data (seed 42)</w:t>
      </w:r>
    </w:p>
    <w:p>
      <w:pPr>
        <w:pStyle w:val="Heading1"/>
      </w:pPr>
      <w:r>
        <w:rPr/>
        <w:t>3. AI Tools Used</w:t>
      </w:r>
    </w:p>
    <w:p>
      <w:pPr>
        <w:jc w:val="both"/>
      </w:pPr>
      <w:r>
        <w:rPr>
          <w:b/>
        </w:rPr>
        <w:t>ChatGPT, Claude, and Microsoft Copilot, used for different stages of the work:</w:t>
      </w:r>
    </w:p>
    <w:p>
      <w:pPr>
        <w:pStyle w:val="ListBullet"/>
      </w:pPr>
      <w:r>
        <w:rPr/>
        <w:t>ChatGPT, initial scoping, architecture ideas, and rapid prototyping prompts</w:t>
      </w:r>
    </w:p>
    <w:p>
      <w:pPr>
        <w:pStyle w:val="ListBullet"/>
      </w:pPr>
      <w:r>
        <w:rPr/>
        <w:t>Claude, longer code generation, refactoring, and iterating on React components and data logic</w:t>
      </w:r>
    </w:p>
    <w:p>
      <w:pPr>
        <w:pStyle w:val="ListBullet"/>
      </w:pPr>
      <w:r>
        <w:rPr/>
        <w:t>Microsoft Copilot, polishing QBR narrative text in Word and structuring client-facing summaries</w:t>
      </w:r>
    </w:p>
    <w:p>
      <w:pPr>
        <w:jc w:val="both"/>
      </w:pPr>
      <w:r>
        <w:rPr/>
        <w:t>Workflow:</w:t>
      </w:r>
    </w:p>
    <w:p>
      <w:pPr>
        <w:pStyle w:val="ListBullet"/>
      </w:pPr>
      <w:r>
        <w:rPr/>
        <w:t>Describe the TAM problem and required metrics in natural language (ChatGPT, Claude)</w:t>
      </w:r>
    </w:p>
    <w:p>
      <w:pPr>
        <w:pStyle w:val="ListBullet"/>
      </w:pPr>
      <w:r>
        <w:rPr/>
        <w:t>AI proposes architecture, generates data and React components, iterates on UI/UX (Claude for code-heavy steps)</w:t>
      </w:r>
    </w:p>
    <w:p>
      <w:pPr>
        <w:pStyle w:val="ListBullet"/>
      </w:pPr>
      <w:r>
        <w:rPr/>
        <w:t>Review in browser, refine with follow-up prompts</w:t>
      </w:r>
    </w:p>
    <w:p>
      <w:pPr>
        <w:pStyle w:val="ListBullet"/>
      </w:pPr>
      <w:r>
        <w:rPr/>
        <w:t>Export and narrative polish in Word with Copilot where needed</w:t>
      </w:r>
    </w:p>
    <w:p>
      <w:pPr>
        <w:pStyle w:val="ListBullet"/>
      </w:pPr>
      <w:r>
        <w:rPr/>
        <w:t>Push to GitHub to Vercel auto-deploy</w:t>
      </w:r>
    </w:p>
    <w:p>
      <w:pPr>
        <w:jc w:val="both"/>
      </w:pPr>
      <w:r>
        <w:rPr/>
        <w:t>The full build loop combined ChatGPT, Claude, and Copilot with normal code review and testing.</w:t>
      </w:r>
    </w:p>
    <w:p>
      <w:pPr>
        <w:pStyle w:val="Heading1"/>
      </w:pPr>
      <w:r>
        <w:rPr/>
        <w:t>4. Prompts Used</w:t>
      </w:r>
    </w:p>
    <w:p>
      <w:pPr>
        <w:pStyle w:val="Heading2"/>
      </w:pPr>
      <w:r>
        <w:rPr/>
        <w:t>4.1 Initial Scoping (Kick-off)</w:t>
      </w:r>
    </w:p>
    <w:p>
      <w:pPr>
        <w:ind w:left="720"/>
      </w:pPr>
      <w:r>
        <w:rPr>
          <w:i/>
        </w:rPr>
        <w:t>"Build a Web App/Site to demonstrate P1/P2 Tickets per TAM Dedicated Accounts, SLA Breaches per Each Account, Customer Satisfaction Score Indicator, MTTA, MTTR, No of Reopening of Tickets for Each day/week/month/quarter/year. Extract data from Zendesk, since I don't have ZD admin access, generate suitable dummy ticket data. Should be able to filter these requirements and sufficient dashboards."</w:t>
      </w:r>
    </w:p>
    <w:p>
      <w:pPr>
        <w:jc w:val="both"/>
      </w:pPr>
      <w:r>
        <w:rPr/>
        <w:t>Outcome: Vite + React + Recharts SPA, scripts/generateData.js producing Zendesk-shaped JSON, filter bar with overview, accounts, and tickets tabs.</w:t>
      </w:r>
    </w:p>
    <w:p>
      <w:pPr>
        <w:pStyle w:val="Heading2"/>
      </w:pPr>
      <w:r>
        <w:rPr/>
        <w:t>4.2 Data Realism</w:t>
      </w:r>
    </w:p>
    <w:p>
      <w:pPr>
        <w:ind w:left="720"/>
      </w:pPr>
      <w:r>
        <w:rPr>
          <w:i/>
        </w:rPr>
        <w:t>"Give accounts different risk profiles so some show higher SLA breach and reopen rates for TAM storytelling."</w:t>
      </w:r>
    </w:p>
    <w:p>
      <w:pPr>
        <w:jc w:val="both"/>
      </w:pPr>
      <w:r>
        <w:rPr/>
        <w:t>Outcome: ACCOUNT_PROFILES in the generator, selected accounts show higher breach rates and lower CSAT for at-risk demos.</w:t>
      </w:r>
    </w:p>
    <w:p>
      <w:pPr>
        <w:pStyle w:val="Heading2"/>
      </w:pPr>
      <w:r>
        <w:rPr/>
        <w:t>4.3 Period Semantics</w:t>
      </w:r>
    </w:p>
    <w:p>
      <w:pPr>
        <w:ind w:left="720"/>
      </w:pPr>
      <w:r>
        <w:rPr>
          <w:i/>
        </w:rPr>
        <w:t>"Reopening counts should use reopen_events[].reopened_at, not ticket creation date, so Day to Week to Month to Quarter to Year changes reopen metrics correctly."</w:t>
      </w:r>
    </w:p>
    <w:p>
      <w:pPr>
        <w:jc w:val="both"/>
      </w:pPr>
      <w:r>
        <w:rPr/>
        <w:t>Outcome: Period-aware reopen logic in src/utils/metrics.js.</w:t>
      </w:r>
    </w:p>
    <w:p>
      <w:pPr>
        <w:pStyle w:val="Heading2"/>
      </w:pPr>
      <w:r>
        <w:rPr/>
        <w:t>4.4 Operational TAM Workflows</w:t>
      </w:r>
    </w:p>
    <w:p>
      <w:pPr>
        <w:ind w:left="720"/>
      </w:pPr>
      <w:r>
        <w:rPr>
          <w:i/>
        </w:rPr>
        <w:t>"Add stale and aging ticket panels, TAM availability by region, tickets needing attention, and expandable TAM portfolio cards with drill-down."</w:t>
      </w:r>
    </w:p>
    <w:p>
      <w:pPr>
        <w:jc w:val="both"/>
      </w:pPr>
      <w:r>
        <w:rPr/>
        <w:t>Outcome: OperationalPanels.jsx, TamOverview.jsx, ticketOps.js, and availability helpers.</w:t>
      </w:r>
    </w:p>
    <w:p>
      <w:pPr>
        <w:pStyle w:val="Heading2"/>
      </w:pPr>
      <w:r>
        <w:rPr/>
        <w:t>4.5 QBR, Service Review Output</w:t>
      </w:r>
    </w:p>
    <w:p>
      <w:pPr>
        <w:ind w:left="720"/>
      </w:pPr>
      <w:r>
        <w:rPr>
          <w:i/>
        </w:rPr>
        <w:t>"Add export, Markdown report for QBR, then PDF export alongside it."</w:t>
      </w:r>
    </w:p>
    <w:p>
      <w:pPr>
        <w:jc w:val="both"/>
      </w:pPr>
      <w:r>
        <w:rPr/>
        <w:t>Outcome: ExportBar.jsx, health.js (buildMarkdownReport), reportExport.js (jsPDF).</w:t>
      </w:r>
    </w:p>
    <w:p>
      <w:pPr>
        <w:pStyle w:val="Heading2"/>
      </w:pPr>
      <w:r>
        <w:rPr/>
        <w:t>4.6 Regional Portfolio Management</w:t>
      </w:r>
    </w:p>
    <w:p>
      <w:pPr>
        <w:ind w:left="720"/>
      </w:pPr>
      <w:r>
        <w:rPr>
          <w:i/>
        </w:rPr>
        <w:t>"Add region filter in the top bar, regional distribution chart, region should apply everywhere on the dashboard."</w:t>
      </w:r>
    </w:p>
    <w:p>
      <w:pPr>
        <w:jc w:val="both"/>
      </w:pPr>
      <w:r>
        <w:rPr/>
        <w:t>Outcome: FilterBar region dropdown, RegionDistributionPanel, global filter wiring across all dashboard sections.</w:t>
      </w:r>
    </w:p>
    <w:p>
      <w:pPr>
        <w:pStyle w:val="Heading2"/>
      </w:pPr>
      <w:r>
        <w:rPr/>
        <w:t>4.7 UI Polish (Representative Follow-ups)</w:t>
      </w:r>
    </w:p>
    <w:p>
      <w:pPr>
        <w:pStyle w:val="ListBullet"/>
      </w:pPr>
      <w:r>
        <w:rPr/>
        <w:t>Mobile KPI cards 3 per row</w:t>
      </w:r>
    </w:p>
    <w:p>
      <w:pPr>
        <w:pStyle w:val="ListBullet"/>
      </w:pPr>
      <w:r>
        <w:rPr/>
        <w:t>Unified panel headers, chart bar sizing, alert panel alignment</w:t>
      </w:r>
    </w:p>
    <w:p>
      <w:pPr>
        <w:pStyle w:val="ListBullet"/>
      </w:pPr>
      <w:r>
        <w:rPr/>
        <w:t>Color scheme switcher (Dark, Light, Sinch)</w:t>
      </w:r>
    </w:p>
    <w:p>
      <w:pPr>
        <w:pStyle w:val="ListBullet"/>
      </w:pPr>
      <w:r>
        <w:rPr/>
        <w:t>Remove demo header clutter (subtitle and synthetic data badge)</w:t>
      </w:r>
    </w:p>
    <w:p>
      <w:pPr>
        <w:pStyle w:val="Heading1"/>
      </w:pPr>
      <w:r>
        <w:rPr/>
        <w:t>5. Prompting Tips That Worked</w:t>
      </w:r>
    </w:p>
    <w:p>
      <w:pPr>
        <w:pStyle w:val="ListBullet"/>
      </w:pPr>
      <w:r>
        <w:rPr/>
        <w:t>Name metrics explicitly, MTTA, MTTR, CSAT, SLA, reopenings led to correct data fields.</w:t>
      </w:r>
    </w:p>
    <w:p>
      <w:pPr>
        <w:pStyle w:val="ListBullet"/>
      </w:pPr>
      <w:r>
        <w:rPr/>
        <w:t>State constraints upfront, "no Zendesk admin" redirected to dummy data with a documented API migration path.</w:t>
      </w:r>
    </w:p>
    <w:p>
      <w:pPr>
        <w:pStyle w:val="ListBullet"/>
      </w:pPr>
      <w:r>
        <w:rPr/>
        <w:t>Bundle filter dimensions, TAM + account + priority + period in one prompt produced a cohesive filter bar.</w:t>
      </w:r>
    </w:p>
    <w:p>
      <w:pPr>
        <w:pStyle w:val="ListBullet"/>
      </w:pPr>
      <w:r>
        <w:rPr/>
        <w:t>Iterate in small UI passes, one panel or chart per prompt keeps changes reviewable.</w:t>
      </w:r>
    </w:p>
    <w:p>
      <w:pPr>
        <w:pStyle w:val="ListBullet"/>
      </w:pPr>
      <w:r>
        <w:rPr/>
        <w:t>Ask for "apply everywhere" when global filters should cascade across all sections.</w:t>
      </w:r>
    </w:p>
    <w:p>
      <w:pPr>
        <w:pStyle w:val="Heading1"/>
      </w:pPr>
      <w:r>
        <w:rPr/>
        <w:t>6. Key Files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5046"/>
        <w:gridCol w:w="5046"/>
      </w:tblGrid>
      <w:tr>
        <w:tc>
          <w:tcPr>
            <w:tcW w:type="dxa" w:w="504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val="clear" w:color="auto" w:fill="1B3A5B"/>
          </w:tcPr>
          <w:p>
            <w:pPr>
              <w:spacing w:after="40" w:before="40"/>
            </w:pPr>
            <w:r>
              <w:rPr>
                <w:b w:val="true"/>
                <w:color w:val="FFFFFF"/>
                <w:sz w:val="24"/>
                <w:szCs w:val="24"/>
              </w:rPr>
              <w:t>File</w:t>
            </w:r>
          </w:p>
        </w:tc>
        <w:tc>
          <w:tcPr>
            <w:tcW w:type="dxa" w:w="504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val="clear" w:color="auto" w:fill="1B3A5B"/>
          </w:tcPr>
          <w:p>
            <w:pPr>
              <w:spacing w:after="40" w:before="40"/>
            </w:pPr>
            <w:r>
              <w:rPr>
                <w:b w:val="true"/>
                <w:color w:val="FFFFFF"/>
                <w:sz w:val="24"/>
                <w:szCs w:val="24"/>
              </w:rPr>
              <w:t>Purpose</w:t>
            </w:r>
          </w:p>
        </w:tc>
      </w:tr>
      <w:tr>
        <w:tc>
          <w:tcPr>
            <w:tcW w:type="dxa" w:w="504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scripts/generateData.js</w:t>
            </w:r>
          </w:p>
        </w:tc>
        <w:tc>
          <w:tcPr>
            <w:tcW w:type="dxa" w:w="504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Synthetic Zendesk-style ticket generator</w:t>
            </w:r>
          </w:p>
        </w:tc>
      </w:tr>
      <w:tr>
        <w:tc>
          <w:tcPr>
            <w:tcW w:type="dxa" w:w="504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public/data/tickets.json</w:t>
            </w:r>
          </w:p>
        </w:tc>
        <w:tc>
          <w:tcPr>
            <w:tcW w:type="dxa" w:w="504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Generated dataset</w:t>
            </w:r>
          </w:p>
        </w:tc>
      </w:tr>
      <w:tr>
        <w:tc>
          <w:tcPr>
            <w:tcW w:type="dxa" w:w="504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src/utils/metrics.js</w:t>
            </w:r>
          </w:p>
        </w:tc>
        <w:tc>
          <w:tcPr>
            <w:tcW w:type="dxa" w:w="504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Period bounds, MTTA/MTTR, CSAT, SLA, reopenings</w:t>
            </w:r>
          </w:p>
        </w:tc>
      </w:tr>
      <w:tr>
        <w:tc>
          <w:tcPr>
            <w:tcW w:type="dxa" w:w="504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src/utils/health.js</w:t>
            </w:r>
          </w:p>
        </w:tc>
        <w:tc>
          <w:tcPr>
            <w:tcW w:type="dxa" w:w="504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Health score, at-risk logic, Markdown report</w:t>
            </w:r>
          </w:p>
        </w:tc>
      </w:tr>
      <w:tr>
        <w:tc>
          <w:tcPr>
            <w:tcW w:type="dxa" w:w="504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src/utils/reportExport.js</w:t>
            </w:r>
          </w:p>
        </w:tc>
        <w:tc>
          <w:tcPr>
            <w:tcW w:type="dxa" w:w="504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PDF report generation</w:t>
            </w:r>
          </w:p>
        </w:tc>
      </w:tr>
      <w:tr>
        <w:tc>
          <w:tcPr>
            <w:tcW w:type="dxa" w:w="504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src/utils/ticketOps.js</w:t>
            </w:r>
          </w:p>
        </w:tc>
        <w:tc>
          <w:tcPr>
            <w:tcW w:type="dxa" w:w="504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Stale/aging thresholds, operational scope</w:t>
            </w:r>
          </w:p>
        </w:tc>
      </w:tr>
      <w:tr>
        <w:tc>
          <w:tcPr>
            <w:tcW w:type="dxa" w:w="504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src/utils/kpiDrilldown.js</w:t>
            </w:r>
          </w:p>
        </w:tc>
        <w:tc>
          <w:tcPr>
            <w:tcW w:type="dxa" w:w="504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KPI to ticket list drill-down</w:t>
            </w:r>
          </w:p>
        </w:tc>
      </w:tr>
      <w:tr>
        <w:tc>
          <w:tcPr>
            <w:tcW w:type="dxa" w:w="504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src/App.jsx</w:t>
            </w:r>
          </w:p>
        </w:tc>
        <w:tc>
          <w:tcPr>
            <w:tcW w:type="dxa" w:w="504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Filters, routing, tab layout</w:t>
            </w:r>
          </w:p>
        </w:tc>
      </w:tr>
      <w:tr>
        <w:tc>
          <w:tcPr>
            <w:tcW w:type="dxa" w:w="504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src/components/OverviewDashboard.jsx</w:t>
            </w:r>
          </w:p>
        </w:tc>
        <w:tc>
          <w:tcPr>
            <w:tcW w:type="dxa" w:w="504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Main dashboard composition</w:t>
            </w:r>
          </w:p>
        </w:tc>
      </w:tr>
      <w:tr>
        <w:tc>
          <w:tcPr>
            <w:tcW w:type="dxa" w:w="504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src/components/ExportBar.jsx</w:t>
            </w:r>
          </w:p>
        </w:tc>
        <w:tc>
          <w:tcPr>
            <w:tcW w:type="dxa" w:w="504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CSV, Markdown, PDF exports</w:t>
            </w:r>
          </w:p>
        </w:tc>
      </w:tr>
    </w:tbl>
    <w:p>
      <w:pPr>
        <w:jc w:val="both"/>
      </w:pPr>
    </w:p>
    <w:p>
      <w:pPr>
        <w:pStyle w:val="Heading1"/>
      </w:pPr>
      <w:r>
        <w:rPr/>
        <w:t>7. Demo Walkthrough (5 Minutes)</w:t>
      </w:r>
    </w:p>
    <w:p>
      <w:pPr>
        <w:pStyle w:val="ListBullet"/>
      </w:pPr>
      <w:r>
        <w:rPr/>
        <w:t>Open dashboard to Overview tab, period Month, reference date 2026-06-24.</w:t>
      </w:r>
    </w:p>
    <w:p>
      <w:pPr>
        <w:pStyle w:val="ListBullet"/>
      </w:pPr>
      <w:r>
        <w:rPr/>
        <w:t>Filter Region: EMEA, KPIs, charts, stale/aging, and TAM portfolio all scope to EMEA.</w:t>
      </w:r>
    </w:p>
    <w:p>
      <w:pPr>
        <w:pStyle w:val="ListBullet"/>
      </w:pPr>
      <w:r>
        <w:rPr/>
        <w:t>Click an at-risk account to account health drill-down.</w:t>
      </w:r>
    </w:p>
    <w:p>
      <w:pPr>
        <w:pStyle w:val="ListBullet"/>
      </w:pPr>
      <w:r>
        <w:rPr/>
        <w:t>Open Stale Tickets to switch threshold to 48h to View all to ticket feed.</w:t>
      </w:r>
    </w:p>
    <w:p>
      <w:pPr>
        <w:pStyle w:val="ListBullet"/>
      </w:pPr>
      <w:r>
        <w:rPr/>
        <w:t>Export to Download PDF, QBR-ready summary for the filtered period/region.</w:t>
      </w:r>
    </w:p>
    <w:p>
      <w:pPr>
        <w:pStyle w:val="Heading1"/>
      </w:pPr>
      <w:r>
        <w:rPr/>
        <w:t>8. Future: Real Zendesk Integration</w:t>
      </w:r>
    </w:p>
    <w:p>
      <w:pPr>
        <w:jc w:val="both"/>
      </w:pPr>
      <w:r>
        <w:rPr/>
        <w:t>Replace static JSON with Zendesk API fetch, map urgent/high/normal/low to P1, P4, pull ticket metrics and satisfaction ratings. Dashboard components and metrics engine stay unchanged.</w:t>
      </w:r>
    </w:p>
    <w:p>
      <w:pPr>
        <w:pStyle w:val="Heading1"/>
      </w:pPr>
      <w:r>
        <w:rPr/>
        <w:t>9. Tech Stack</w:t>
      </w:r>
    </w:p>
    <w:p>
      <w:pPr>
        <w:pStyle w:val="ListBullet"/>
      </w:pPr>
      <w:r>
        <w:rPr/>
        <w:t>React 19 + Vite</w:t>
      </w:r>
    </w:p>
    <w:p>
      <w:pPr>
        <w:pStyle w:val="ListBullet"/>
      </w:pPr>
      <w:r>
        <w:rPr/>
        <w:t>Recharts (charts)</w:t>
      </w:r>
    </w:p>
    <w:p>
      <w:pPr>
        <w:pStyle w:val="ListBullet"/>
      </w:pPr>
      <w:r>
        <w:rPr/>
        <w:t>date-fns (period filtering)</w:t>
      </w:r>
    </w:p>
    <w:p>
      <w:pPr>
        <w:pStyle w:val="ListBullet"/>
      </w:pPr>
      <w:r>
        <w:rPr/>
        <w:t>jsPDF + jspdf-autotable (PDF export)</w:t>
      </w:r>
    </w:p>
    <w:p>
      <w:pPr>
        <w:pStyle w:val="ListBullet"/>
      </w:pPr>
      <w:r>
        <w:rPr/>
        <w:t>Local JSON dataset (no backend)</w:t>
      </w:r>
    </w:p>
    <w:p>
      <w:pPr>
        <w:pStyle w:val="ListBullet"/>
      </w:pPr>
      <w:r>
        <w:rPr/>
        <w:t>Deployed on Vercel</w:t>
      </w:r>
    </w:p>
    <w:sectPr w:rsidR="00686900" w:rsidRPr="0048725A" w:rsidSect="00EE4C53">
      <w:headerReference w:type="default" r:id="rId19"/>
      <w:footerReference w:type="default" r:id="rId20"/>
      <w:headerReference w:type="first" r:id="rId21"/>
      <w:pgSz w:w="11906" w:h="16838"/>
      <w:pgMar w:top="1293" w:right="907" w:bottom="907" w:left="907" w:header="283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10469" w14:textId="77777777" w:rsidR="00E84D79" w:rsidRDefault="00E84D79" w:rsidP="00813C78">
      <w:pPr>
        <w:spacing w:after="0"/>
      </w:pPr>
      <w:r>
        <w:separator/>
      </w:r>
    </w:p>
  </w:endnote>
  <w:endnote w:type="continuationSeparator" w:id="0">
    <w:p w14:paraId="291B335E" w14:textId="77777777" w:rsidR="00E84D79" w:rsidRDefault="00E84D79" w:rsidP="00813C7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ost Grotesk">
    <w:altName w:val="Calibri"/>
    <w:panose1 w:val="020B0504030402000203"/>
    <w:charset w:val="4D"/>
    <w:family w:val="swiss"/>
    <w:pitch w:val="variable"/>
    <w:sig w:usb0="A00000FF" w:usb1="4000206B" w:usb2="00000000" w:usb3="00000000" w:csb0="00000093" w:csb1="00000000"/>
  </w:font>
  <w:font w:name="Host Grotesk SemiBold">
    <w:altName w:val="Calibri"/>
    <w:panose1 w:val="020B0504030402000203"/>
    <w:charset w:val="4D"/>
    <w:family w:val="swiss"/>
    <w:pitch w:val="variable"/>
    <w:sig w:usb0="A00000FF" w:usb1="4000206B" w:usb2="00000000" w:usb3="00000000" w:csb0="00000093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M Sans 14pt Medium">
    <w:altName w:val="Calibri"/>
    <w:charset w:val="4D"/>
    <w:family w:val="auto"/>
    <w:pitch w:val="variable"/>
    <w:sig w:usb0="8000002F" w:usb1="5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A2B43" w14:textId="77777777" w:rsidR="00813C78" w:rsidRPr="00CC6FC4" w:rsidRDefault="00890ED1" w:rsidP="00CC6FC4">
    <w:pPr>
      <w:pStyle w:val="Footer"/>
    </w:pPr>
    <w:r w:rsidRPr="00890ED1">
      <w:rPr>
        <w:color w:val="7F7F7F" w:themeColor="text1" w:themeTint="80"/>
      </w:rPr>
      <w:t>©2026 Sinch</w:t>
    </w:r>
    <w:r>
      <w:tab/>
    </w:r>
    <w:r w:rsidRPr="00CC6FC4">
      <w:fldChar w:fldCharType="begin"/>
    </w:r>
    <w:r w:rsidRPr="00CC6FC4">
      <w:instrText>PAGE   \* MERGEFORMAT</w:instrText>
    </w:r>
    <w:r w:rsidRPr="00CC6FC4">
      <w:fldChar w:fldCharType="separate"/>
    </w:r>
    <w:r>
      <w:t>1</w:t>
    </w:r>
    <w:r w:rsidRPr="00CC6FC4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DF7A4" w14:textId="77777777" w:rsidR="00E84D79" w:rsidRDefault="00E84D79" w:rsidP="00813C78">
      <w:pPr>
        <w:spacing w:after="0"/>
      </w:pPr>
      <w:r>
        <w:separator/>
      </w:r>
    </w:p>
  </w:footnote>
  <w:footnote w:type="continuationSeparator" w:id="0">
    <w:p w14:paraId="5D13BBD2" w14:textId="77777777" w:rsidR="00E84D79" w:rsidRDefault="00E84D79" w:rsidP="00813C7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84D00" w14:textId="77777777" w:rsidR="00813C78" w:rsidRPr="00C253E4" w:rsidRDefault="00CC6FC4" w:rsidP="00C253E4">
    <w:pPr>
      <w:pStyle w:val="Header"/>
    </w:pPr>
    <w:r>
      <w:rPr>
        <w:noProof/>
      </w:rPr>
      <w:drawing>
        <wp:inline distT="0" distB="0" distL="0" distR="0" wp14:anchorId="34CFECB5" wp14:editId="61DB8894">
          <wp:extent cx="737420" cy="154344"/>
          <wp:effectExtent l="0" t="0" r="5715" b="0"/>
          <wp:docPr id="2038863578" name="Graphic 20388635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Graphic 7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420" cy="1543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4CAAF" w14:textId="77777777" w:rsidR="00EE4C53" w:rsidRDefault="00EE4C53">
    <w:pPr>
      <w:pStyle w:val="Header"/>
    </w:pPr>
    <w:r>
      <w:rPr>
        <w:noProof/>
      </w:rPr>
      <w:drawing>
        <wp:anchor distT="0" distB="0" distL="114300" distR="114300" simplePos="0" relativeHeight="251661312" behindDoc="0" locked="1" layoutInCell="1" allowOverlap="1" wp14:anchorId="18CF2CDD" wp14:editId="5870A618">
          <wp:simplePos x="0" y="0"/>
          <wp:positionH relativeFrom="page">
            <wp:posOffset>342265</wp:posOffset>
          </wp:positionH>
          <wp:positionV relativeFrom="page">
            <wp:posOffset>342265</wp:posOffset>
          </wp:positionV>
          <wp:extent cx="1594800" cy="334800"/>
          <wp:effectExtent l="0" t="0" r="5715" b="8255"/>
          <wp:wrapNone/>
          <wp:docPr id="815323481" name="Graphic 8153234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Graphic 7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4800" cy="33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DM Sans 14pt Medium" w:hAnsi="DM Sans 14pt Medium"/>
        <w:smallCaps/>
        <w:noProof/>
        <w:spacing w:val="10"/>
      </w:rPr>
      <mc:AlternateContent>
        <mc:Choice Requires="wps">
          <w:drawing>
            <wp:anchor distT="0" distB="0" distL="114300" distR="114300" simplePos="0" relativeHeight="251659264" behindDoc="1" locked="1" layoutInCell="1" allowOverlap="1" wp14:anchorId="04927C79" wp14:editId="55C84E6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272000" cy="10404000"/>
              <wp:effectExtent l="0" t="0" r="5715" b="0"/>
              <wp:wrapNone/>
              <wp:docPr id="1986463636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72000" cy="10404000"/>
                      </a:xfrm>
                      <a:prstGeom prst="roundRect">
                        <a:avLst>
                          <a:gd name="adj" fmla="val 4901"/>
                        </a:avLst>
                      </a:prstGeom>
                      <a:solidFill>
                        <a:schemeClr val="accent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1EEE65F" id="Rounded Rectangle 4" o:spid="_x0000_s1026" style="position:absolute;margin-left:0;margin-top:0;width:572.6pt;height:819.2pt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margin;mso-height-relative:margin;v-text-anchor:middle" arcsize="32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" fillcolor="#fff6b3 [3205]" stroked="f" strokeweight="1pt">
              <v:stroke joinstyle="miter"/>
              <w10:wrap anchorx="page" anchory="page"/>
              <w10:anchorlock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6B2E4E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2940A0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65C60E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C229FF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D1485D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94ACB8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A1AF7E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5AA0F0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BCC45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59E97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4412B46"/>
    <w:multiLevelType w:val="multilevel"/>
    <w:tmpl w:val="B8CAC588"/>
    <w:lvl w:ilvl="0">
      <w:start w:val="1"/>
      <w:numFmt w:val="decimal"/>
      <w:pStyle w:val="Noter"/>
      <w:suff w:val="space"/>
      <w:lvlText w:val="Not 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16B4260A"/>
    <w:multiLevelType w:val="multilevel"/>
    <w:tmpl w:val="85BE364E"/>
    <w:lvl w:ilvl="0">
      <w:start w:val="1"/>
      <w:numFmt w:val="bullet"/>
      <w:pStyle w:val="ListBullet"/>
      <w:lvlText w:val="•"/>
      <w:lvlJc w:val="left"/>
      <w:pPr>
        <w:ind w:left="357" w:hanging="357"/>
      </w:pPr>
      <w:rPr>
        <w:rFonts w:ascii="Calibri" w:hAnsi="Calibri" w:hint="default"/>
        <w:color w:val="auto"/>
      </w:rPr>
    </w:lvl>
    <w:lvl w:ilvl="1">
      <w:start w:val="1"/>
      <w:numFmt w:val="bullet"/>
      <w:pStyle w:val="ListBullet2"/>
      <w:lvlText w:val="•"/>
      <w:lvlJc w:val="left"/>
      <w:pPr>
        <w:ind w:left="714" w:hanging="357"/>
      </w:pPr>
      <w:rPr>
        <w:rFonts w:ascii="Calibri" w:hAnsi="Calibri" w:hint="default"/>
        <w:color w:val="auto"/>
      </w:rPr>
    </w:lvl>
    <w:lvl w:ilvl="2">
      <w:start w:val="1"/>
      <w:numFmt w:val="bullet"/>
      <w:pStyle w:val="ListBullet3"/>
      <w:lvlText w:val="•"/>
      <w:lvlJc w:val="left"/>
      <w:pPr>
        <w:ind w:left="1071" w:hanging="357"/>
      </w:pPr>
      <w:rPr>
        <w:rFonts w:ascii="Calibri" w:hAnsi="Calibri" w:hint="default"/>
        <w:color w:val="auto"/>
      </w:rPr>
    </w:lvl>
    <w:lvl w:ilvl="3">
      <w:start w:val="1"/>
      <w:numFmt w:val="bullet"/>
      <w:pStyle w:val="ListBullet4"/>
      <w:lvlText w:val="•"/>
      <w:lvlJc w:val="left"/>
      <w:pPr>
        <w:ind w:left="1428" w:hanging="357"/>
      </w:pPr>
      <w:rPr>
        <w:rFonts w:ascii="Calibri" w:hAnsi="Calibri" w:hint="default"/>
        <w:color w:val="auto"/>
      </w:rPr>
    </w:lvl>
    <w:lvl w:ilvl="4">
      <w:start w:val="1"/>
      <w:numFmt w:val="bullet"/>
      <w:pStyle w:val="ListBullet5"/>
      <w:lvlText w:val="•"/>
      <w:lvlJc w:val="left"/>
      <w:pPr>
        <w:ind w:left="1785" w:hanging="357"/>
      </w:pPr>
      <w:rPr>
        <w:rFonts w:ascii="Calibri" w:hAnsi="Calibri" w:hint="default"/>
        <w:color w:val="auto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2" w15:restartNumberingAfterBreak="0">
    <w:nsid w:val="4A6A0756"/>
    <w:multiLevelType w:val="hybridMultilevel"/>
    <w:tmpl w:val="4B78BF2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CC16EE"/>
    <w:multiLevelType w:val="multilevel"/>
    <w:tmpl w:val="9DB227C6"/>
    <w:lvl w:ilvl="0">
      <w:start w:val="1"/>
      <w:numFmt w:val="decimal"/>
      <w:pStyle w:val="ListNumber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ListNumber4"/>
      <w:lvlText w:val="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pStyle w:val="ListNumber5"/>
      <w:lvlText w:val="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num w:numId="1" w16cid:durableId="76637706">
    <w:abstractNumId w:val="11"/>
  </w:num>
  <w:num w:numId="2" w16cid:durableId="766777609">
    <w:abstractNumId w:val="7"/>
  </w:num>
  <w:num w:numId="3" w16cid:durableId="1532498267">
    <w:abstractNumId w:val="6"/>
  </w:num>
  <w:num w:numId="4" w16cid:durableId="320929972">
    <w:abstractNumId w:val="5"/>
  </w:num>
  <w:num w:numId="5" w16cid:durableId="1199590138">
    <w:abstractNumId w:val="4"/>
  </w:num>
  <w:num w:numId="6" w16cid:durableId="1949000127">
    <w:abstractNumId w:val="13"/>
  </w:num>
  <w:num w:numId="7" w16cid:durableId="156461084">
    <w:abstractNumId w:val="3"/>
  </w:num>
  <w:num w:numId="8" w16cid:durableId="1680738018">
    <w:abstractNumId w:val="2"/>
  </w:num>
  <w:num w:numId="9" w16cid:durableId="988361324">
    <w:abstractNumId w:val="1"/>
  </w:num>
  <w:num w:numId="10" w16cid:durableId="525868491">
    <w:abstractNumId w:val="0"/>
  </w:num>
  <w:num w:numId="11" w16cid:durableId="2490766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37335946">
    <w:abstractNumId w:val="10"/>
  </w:num>
  <w:num w:numId="13" w16cid:durableId="1364133316">
    <w:abstractNumId w:val="8"/>
  </w:num>
  <w:num w:numId="14" w16cid:durableId="9959566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88678430">
    <w:abstractNumId w:val="12"/>
  </w:num>
  <w:num w:numId="16" w16cid:durableId="767848772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0C3"/>
    <w:rsid w:val="00000EDB"/>
    <w:rsid w:val="00005105"/>
    <w:rsid w:val="00005C4C"/>
    <w:rsid w:val="00007106"/>
    <w:rsid w:val="0004686E"/>
    <w:rsid w:val="00056EF3"/>
    <w:rsid w:val="00057E72"/>
    <w:rsid w:val="00065357"/>
    <w:rsid w:val="0007640B"/>
    <w:rsid w:val="00082656"/>
    <w:rsid w:val="000906CD"/>
    <w:rsid w:val="00091F57"/>
    <w:rsid w:val="000A4A20"/>
    <w:rsid w:val="000B1DB5"/>
    <w:rsid w:val="000C399A"/>
    <w:rsid w:val="000D01A8"/>
    <w:rsid w:val="000E3A6E"/>
    <w:rsid w:val="00116FFD"/>
    <w:rsid w:val="00120B88"/>
    <w:rsid w:val="00122958"/>
    <w:rsid w:val="001237B7"/>
    <w:rsid w:val="001273FE"/>
    <w:rsid w:val="00132596"/>
    <w:rsid w:val="00161F30"/>
    <w:rsid w:val="00165BF2"/>
    <w:rsid w:val="0018660C"/>
    <w:rsid w:val="00190A59"/>
    <w:rsid w:val="001B132A"/>
    <w:rsid w:val="001B33C1"/>
    <w:rsid w:val="001C1201"/>
    <w:rsid w:val="001D27C3"/>
    <w:rsid w:val="001D555E"/>
    <w:rsid w:val="001E1678"/>
    <w:rsid w:val="001E6018"/>
    <w:rsid w:val="001F02E0"/>
    <w:rsid w:val="001F1063"/>
    <w:rsid w:val="001F3C23"/>
    <w:rsid w:val="001F4F44"/>
    <w:rsid w:val="001F538F"/>
    <w:rsid w:val="002070AA"/>
    <w:rsid w:val="00210610"/>
    <w:rsid w:val="0021177E"/>
    <w:rsid w:val="00215DF1"/>
    <w:rsid w:val="0023757D"/>
    <w:rsid w:val="0026632D"/>
    <w:rsid w:val="00266D13"/>
    <w:rsid w:val="0028326C"/>
    <w:rsid w:val="00287CDC"/>
    <w:rsid w:val="002918EE"/>
    <w:rsid w:val="002D3705"/>
    <w:rsid w:val="002F01CF"/>
    <w:rsid w:val="002F2AE6"/>
    <w:rsid w:val="0030643B"/>
    <w:rsid w:val="00307817"/>
    <w:rsid w:val="00331D76"/>
    <w:rsid w:val="00337712"/>
    <w:rsid w:val="00362CE7"/>
    <w:rsid w:val="003704AE"/>
    <w:rsid w:val="00392A8C"/>
    <w:rsid w:val="0039506D"/>
    <w:rsid w:val="0039558E"/>
    <w:rsid w:val="003B06DA"/>
    <w:rsid w:val="003B39EA"/>
    <w:rsid w:val="003E145B"/>
    <w:rsid w:val="003F1D59"/>
    <w:rsid w:val="003F763F"/>
    <w:rsid w:val="004025B2"/>
    <w:rsid w:val="00410041"/>
    <w:rsid w:val="00411BEE"/>
    <w:rsid w:val="00415525"/>
    <w:rsid w:val="004216EA"/>
    <w:rsid w:val="00423F0E"/>
    <w:rsid w:val="0042445E"/>
    <w:rsid w:val="00443F65"/>
    <w:rsid w:val="0045517A"/>
    <w:rsid w:val="0045790E"/>
    <w:rsid w:val="0047256F"/>
    <w:rsid w:val="00474955"/>
    <w:rsid w:val="004759F0"/>
    <w:rsid w:val="0048725A"/>
    <w:rsid w:val="004B0468"/>
    <w:rsid w:val="004C1AF0"/>
    <w:rsid w:val="004C2DA2"/>
    <w:rsid w:val="004E37D9"/>
    <w:rsid w:val="004E4394"/>
    <w:rsid w:val="005140B3"/>
    <w:rsid w:val="00532A26"/>
    <w:rsid w:val="00565454"/>
    <w:rsid w:val="00577867"/>
    <w:rsid w:val="0059027C"/>
    <w:rsid w:val="005A6B51"/>
    <w:rsid w:val="005B20C0"/>
    <w:rsid w:val="005C1F60"/>
    <w:rsid w:val="005D1020"/>
    <w:rsid w:val="005D1754"/>
    <w:rsid w:val="005E7931"/>
    <w:rsid w:val="00610330"/>
    <w:rsid w:val="00651E32"/>
    <w:rsid w:val="006645CE"/>
    <w:rsid w:val="00665E09"/>
    <w:rsid w:val="00672837"/>
    <w:rsid w:val="0068170C"/>
    <w:rsid w:val="00686900"/>
    <w:rsid w:val="006877D9"/>
    <w:rsid w:val="0069113E"/>
    <w:rsid w:val="006970A9"/>
    <w:rsid w:val="006970C3"/>
    <w:rsid w:val="006A2145"/>
    <w:rsid w:val="006B1A59"/>
    <w:rsid w:val="006C7054"/>
    <w:rsid w:val="006E25FB"/>
    <w:rsid w:val="00707442"/>
    <w:rsid w:val="007154D1"/>
    <w:rsid w:val="007234D4"/>
    <w:rsid w:val="00730649"/>
    <w:rsid w:val="007655AE"/>
    <w:rsid w:val="00796D7F"/>
    <w:rsid w:val="007A36E7"/>
    <w:rsid w:val="007A6DB7"/>
    <w:rsid w:val="007B28B6"/>
    <w:rsid w:val="007C51FA"/>
    <w:rsid w:val="007D3721"/>
    <w:rsid w:val="007D69F8"/>
    <w:rsid w:val="007F0BDB"/>
    <w:rsid w:val="007F19CC"/>
    <w:rsid w:val="007F73A3"/>
    <w:rsid w:val="0080294E"/>
    <w:rsid w:val="008123E2"/>
    <w:rsid w:val="0081356F"/>
    <w:rsid w:val="00813C78"/>
    <w:rsid w:val="008325A0"/>
    <w:rsid w:val="008351D1"/>
    <w:rsid w:val="0083763D"/>
    <w:rsid w:val="00837E9B"/>
    <w:rsid w:val="008409B1"/>
    <w:rsid w:val="008412F7"/>
    <w:rsid w:val="00846FA7"/>
    <w:rsid w:val="00864373"/>
    <w:rsid w:val="00890ED1"/>
    <w:rsid w:val="00897370"/>
    <w:rsid w:val="008A214B"/>
    <w:rsid w:val="008C4E7A"/>
    <w:rsid w:val="008C6F7C"/>
    <w:rsid w:val="008E09F4"/>
    <w:rsid w:val="008F1CF0"/>
    <w:rsid w:val="008F4511"/>
    <w:rsid w:val="008F4DE2"/>
    <w:rsid w:val="0090694B"/>
    <w:rsid w:val="009163BD"/>
    <w:rsid w:val="00921949"/>
    <w:rsid w:val="009305B4"/>
    <w:rsid w:val="009307FA"/>
    <w:rsid w:val="00963AEA"/>
    <w:rsid w:val="00964EB5"/>
    <w:rsid w:val="00970DD0"/>
    <w:rsid w:val="009712DF"/>
    <w:rsid w:val="00995220"/>
    <w:rsid w:val="009C460A"/>
    <w:rsid w:val="009E567D"/>
    <w:rsid w:val="00A06756"/>
    <w:rsid w:val="00A07663"/>
    <w:rsid w:val="00A17BED"/>
    <w:rsid w:val="00A23E60"/>
    <w:rsid w:val="00A26F25"/>
    <w:rsid w:val="00A30419"/>
    <w:rsid w:val="00A51E2D"/>
    <w:rsid w:val="00A51F48"/>
    <w:rsid w:val="00A60C05"/>
    <w:rsid w:val="00A67006"/>
    <w:rsid w:val="00AA0CF0"/>
    <w:rsid w:val="00AC61D2"/>
    <w:rsid w:val="00AE4EE9"/>
    <w:rsid w:val="00AE7F9A"/>
    <w:rsid w:val="00AF1B26"/>
    <w:rsid w:val="00B0401F"/>
    <w:rsid w:val="00B3204A"/>
    <w:rsid w:val="00B508DA"/>
    <w:rsid w:val="00B521C1"/>
    <w:rsid w:val="00B723E3"/>
    <w:rsid w:val="00B75B8F"/>
    <w:rsid w:val="00B77416"/>
    <w:rsid w:val="00B87236"/>
    <w:rsid w:val="00C1030C"/>
    <w:rsid w:val="00C21573"/>
    <w:rsid w:val="00C253E4"/>
    <w:rsid w:val="00C27E1D"/>
    <w:rsid w:val="00C35F11"/>
    <w:rsid w:val="00C37890"/>
    <w:rsid w:val="00C546FB"/>
    <w:rsid w:val="00C650A9"/>
    <w:rsid w:val="00C759BF"/>
    <w:rsid w:val="00C81B12"/>
    <w:rsid w:val="00C83051"/>
    <w:rsid w:val="00C86347"/>
    <w:rsid w:val="00C94893"/>
    <w:rsid w:val="00CB1DF5"/>
    <w:rsid w:val="00CC6FC4"/>
    <w:rsid w:val="00D02E79"/>
    <w:rsid w:val="00D062E2"/>
    <w:rsid w:val="00D109B4"/>
    <w:rsid w:val="00D575C0"/>
    <w:rsid w:val="00D77C15"/>
    <w:rsid w:val="00D81D4E"/>
    <w:rsid w:val="00D97A27"/>
    <w:rsid w:val="00DB5618"/>
    <w:rsid w:val="00DB5FE8"/>
    <w:rsid w:val="00DC0099"/>
    <w:rsid w:val="00DC029C"/>
    <w:rsid w:val="00DC03C5"/>
    <w:rsid w:val="00DC6916"/>
    <w:rsid w:val="00DC7A44"/>
    <w:rsid w:val="00E15D18"/>
    <w:rsid w:val="00E334DF"/>
    <w:rsid w:val="00E35AA1"/>
    <w:rsid w:val="00E51924"/>
    <w:rsid w:val="00E61AE1"/>
    <w:rsid w:val="00E84D79"/>
    <w:rsid w:val="00EA4841"/>
    <w:rsid w:val="00EB1D14"/>
    <w:rsid w:val="00EB32DC"/>
    <w:rsid w:val="00EB7B61"/>
    <w:rsid w:val="00EC1546"/>
    <w:rsid w:val="00EE4C53"/>
    <w:rsid w:val="00F00E70"/>
    <w:rsid w:val="00F15141"/>
    <w:rsid w:val="00F227CD"/>
    <w:rsid w:val="00F27CCF"/>
    <w:rsid w:val="00F53BD0"/>
    <w:rsid w:val="00F8298C"/>
    <w:rsid w:val="00FA2607"/>
    <w:rsid w:val="00FB2AA5"/>
    <w:rsid w:val="00FC7CB1"/>
    <w:rsid w:val="00FD26F0"/>
    <w:rsid w:val="00FF3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FF35A6"/>
  <w15:chartTrackingRefBased/>
  <w15:docId w15:val="{B48626D2-8AB2-42A1-B937-B2C511EEC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sv-SE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annotation text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return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/>
    <w:lsdException w:name="endnote text" w:semiHidden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Title" w:uiPriority="10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uiPriority="98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678"/>
  </w:style>
  <w:style w:type="paragraph" w:styleId="Heading1">
    <w:name w:val="heading 1"/>
    <w:basedOn w:val="Normal"/>
    <w:next w:val="Normal"/>
    <w:link w:val="Heading1Char"/>
    <w:uiPriority w:val="9"/>
    <w:qFormat/>
    <w:rsid w:val="008325A0"/>
    <w:pPr>
      <w:keepNext/>
      <w:keepLines/>
      <w:spacing w:before="520" w:after="260"/>
      <w:outlineLvl w:val="0"/>
    </w:pPr>
    <w:rPr>
      <w:rFonts w:asciiTheme="majorHAnsi" w:eastAsiaTheme="majorEastAsia" w:hAnsiTheme="majorHAnsi" w:cstheme="majorBidi"/>
      <w:spacing w:val="-14"/>
      <w:sz w:val="36"/>
      <w:szCs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8325A0"/>
    <w:pPr>
      <w:spacing w:after="220"/>
      <w:outlineLvl w:val="1"/>
    </w:pPr>
    <w:rPr>
      <w:spacing w:val="-10"/>
      <w:sz w:val="28"/>
      <w:szCs w:val="26"/>
    </w:rPr>
  </w:style>
  <w:style w:type="paragraph" w:styleId="Heading3">
    <w:name w:val="heading 3"/>
    <w:basedOn w:val="Heading2"/>
    <w:next w:val="Normal"/>
    <w:link w:val="Heading3Char"/>
    <w:uiPriority w:val="9"/>
    <w:qFormat/>
    <w:rsid w:val="008325A0"/>
    <w:pPr>
      <w:spacing w:before="460" w:after="160"/>
      <w:outlineLvl w:val="2"/>
    </w:pPr>
    <w:rPr>
      <w:spacing w:val="-6"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qFormat/>
    <w:rsid w:val="00091F57"/>
    <w:pPr>
      <w:spacing w:before="360" w:after="80"/>
      <w:outlineLvl w:val="3"/>
    </w:pPr>
    <w:rPr>
      <w:iCs/>
      <w:spacing w:val="0"/>
      <w:sz w:val="22"/>
    </w:rPr>
  </w:style>
  <w:style w:type="paragraph" w:styleId="Heading5">
    <w:name w:val="heading 5"/>
    <w:basedOn w:val="Heading4"/>
    <w:next w:val="Normal"/>
    <w:link w:val="Heading5Char"/>
    <w:uiPriority w:val="9"/>
    <w:qFormat/>
    <w:rsid w:val="00091F57"/>
    <w:pPr>
      <w:outlineLvl w:val="4"/>
    </w:pPr>
    <w:rPr>
      <w:sz w:val="20"/>
    </w:rPr>
  </w:style>
  <w:style w:type="paragraph" w:styleId="Heading6">
    <w:name w:val="heading 6"/>
    <w:basedOn w:val="Heading5"/>
    <w:next w:val="Normal"/>
    <w:link w:val="Heading6Char"/>
    <w:uiPriority w:val="9"/>
    <w:semiHidden/>
    <w:rsid w:val="005B20C0"/>
    <w:pPr>
      <w:outlineLvl w:val="5"/>
    </w:pPr>
    <w:rPr>
      <w:i/>
    </w:rPr>
  </w:style>
  <w:style w:type="paragraph" w:styleId="Heading7">
    <w:name w:val="heading 7"/>
    <w:basedOn w:val="Heading6"/>
    <w:next w:val="Normal"/>
    <w:link w:val="Heading7Char"/>
    <w:uiPriority w:val="9"/>
    <w:semiHidden/>
    <w:rsid w:val="003B06DA"/>
    <w:pPr>
      <w:outlineLvl w:val="6"/>
    </w:pPr>
    <w:rPr>
      <w:i w:val="0"/>
      <w:iCs w:val="0"/>
      <w:sz w:val="22"/>
    </w:rPr>
  </w:style>
  <w:style w:type="paragraph" w:styleId="Heading8">
    <w:name w:val="heading 8"/>
    <w:basedOn w:val="Heading7"/>
    <w:next w:val="Normal"/>
    <w:link w:val="Heading8Char"/>
    <w:uiPriority w:val="9"/>
    <w:semiHidden/>
    <w:rsid w:val="005B20C0"/>
    <w:pPr>
      <w:outlineLvl w:val="7"/>
    </w:pPr>
    <w:rPr>
      <w:i/>
      <w:szCs w:val="21"/>
    </w:rPr>
  </w:style>
  <w:style w:type="paragraph" w:styleId="Heading9">
    <w:name w:val="heading 9"/>
    <w:basedOn w:val="Heading8"/>
    <w:next w:val="Normal"/>
    <w:link w:val="Heading9Char"/>
    <w:uiPriority w:val="9"/>
    <w:semiHidden/>
    <w:rsid w:val="003B06DA"/>
    <w:pPr>
      <w:outlineLvl w:val="8"/>
    </w:pPr>
    <w:rPr>
      <w:i w:val="0"/>
      <w:i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rsid w:val="008325A0"/>
    <w:pPr>
      <w:numPr>
        <w:ilvl w:val="1"/>
      </w:numPr>
      <w:spacing w:after="0"/>
    </w:pPr>
    <w:rPr>
      <w:rFonts w:eastAsiaTheme="minorEastAsia"/>
      <w:spacing w:val="-6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5A0"/>
    <w:rPr>
      <w:rFonts w:eastAsiaTheme="minorEastAsia"/>
      <w:spacing w:val="-6"/>
      <w:sz w:val="3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006"/>
    <w:rPr>
      <w:rFonts w:asciiTheme="majorHAnsi" w:eastAsiaTheme="majorEastAsia" w:hAnsiTheme="majorHAnsi" w:cstheme="majorBidi"/>
      <w:iCs/>
      <w:sz w:val="20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006"/>
    <w:rPr>
      <w:rFonts w:asciiTheme="majorHAnsi" w:eastAsiaTheme="majorEastAsia" w:hAnsiTheme="majorHAnsi" w:cstheme="majorBidi"/>
      <w:i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006"/>
    <w:rPr>
      <w:rFonts w:asciiTheme="majorHAnsi" w:eastAsiaTheme="majorEastAsia" w:hAnsiTheme="majorHAnsi" w:cstheme="majorBidi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006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91F57"/>
    <w:rPr>
      <w:rFonts w:asciiTheme="majorHAnsi" w:eastAsiaTheme="majorEastAsia" w:hAnsiTheme="majorHAnsi" w:cstheme="majorBidi"/>
      <w:iCs/>
      <w:spacing w:val="-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91F57"/>
    <w:rPr>
      <w:rFonts w:asciiTheme="majorHAnsi" w:eastAsiaTheme="majorEastAsia" w:hAnsiTheme="majorHAnsi" w:cstheme="majorBidi"/>
      <w:i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325A0"/>
    <w:rPr>
      <w:rFonts w:asciiTheme="majorHAnsi" w:eastAsiaTheme="majorEastAsia" w:hAnsiTheme="majorHAnsi" w:cstheme="majorBidi"/>
      <w:spacing w:val="-6"/>
      <w:sz w:val="32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325A0"/>
    <w:rPr>
      <w:rFonts w:asciiTheme="majorHAnsi" w:eastAsiaTheme="majorEastAsia" w:hAnsiTheme="majorHAnsi" w:cstheme="majorBidi"/>
      <w:spacing w:val="-10"/>
      <w:sz w:val="4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325A0"/>
    <w:rPr>
      <w:rFonts w:asciiTheme="majorHAnsi" w:eastAsiaTheme="majorEastAsia" w:hAnsiTheme="majorHAnsi" w:cstheme="majorBidi"/>
      <w:spacing w:val="-14"/>
      <w:sz w:val="64"/>
      <w:szCs w:val="32"/>
    </w:rPr>
  </w:style>
  <w:style w:type="paragraph" w:styleId="TOCHeading">
    <w:name w:val="TOC Heading"/>
    <w:basedOn w:val="Heading1"/>
    <w:next w:val="Normal"/>
    <w:uiPriority w:val="38"/>
    <w:rsid w:val="000D01A8"/>
    <w:pPr>
      <w:outlineLvl w:val="9"/>
    </w:pPr>
  </w:style>
  <w:style w:type="paragraph" w:styleId="Title">
    <w:name w:val="Title"/>
    <w:basedOn w:val="Normal"/>
    <w:next w:val="Subtitle"/>
    <w:link w:val="TitleChar"/>
    <w:uiPriority w:val="10"/>
    <w:rsid w:val="008325A0"/>
    <w:pPr>
      <w:spacing w:after="0"/>
      <w:contextualSpacing/>
    </w:pPr>
    <w:rPr>
      <w:rFonts w:asciiTheme="majorHAnsi" w:eastAsiaTheme="majorEastAsia" w:hAnsiTheme="majorHAnsi" w:cstheme="majorBidi"/>
      <w:spacing w:val="-2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5A0"/>
    <w:rPr>
      <w:rFonts w:asciiTheme="majorHAnsi" w:eastAsiaTheme="majorEastAsia" w:hAnsiTheme="majorHAnsi" w:cstheme="majorBidi"/>
      <w:spacing w:val="-20"/>
      <w:kern w:val="28"/>
      <w:sz w:val="104"/>
      <w:szCs w:val="56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5C1F60"/>
    <w:rPr>
      <w:sz w:val="24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B5618"/>
    <w:rPr>
      <w:sz w:val="24"/>
    </w:rPr>
  </w:style>
  <w:style w:type="paragraph" w:styleId="ListBullet">
    <w:name w:val="List Bullet"/>
    <w:basedOn w:val="Normal"/>
    <w:uiPriority w:val="23"/>
    <w:qFormat/>
    <w:rsid w:val="00A26F25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23"/>
    <w:rsid w:val="00A26F25"/>
    <w:pPr>
      <w:numPr>
        <w:ilvl w:val="1"/>
        <w:numId w:val="1"/>
      </w:numPr>
      <w:contextualSpacing/>
    </w:pPr>
  </w:style>
  <w:style w:type="paragraph" w:styleId="ListBullet3">
    <w:name w:val="List Bullet 3"/>
    <w:basedOn w:val="Normal"/>
    <w:uiPriority w:val="23"/>
    <w:rsid w:val="00A26F25"/>
    <w:pPr>
      <w:numPr>
        <w:ilvl w:val="2"/>
        <w:numId w:val="1"/>
      </w:numPr>
      <w:contextualSpacing/>
    </w:pPr>
  </w:style>
  <w:style w:type="paragraph" w:styleId="ListBullet4">
    <w:name w:val="List Bullet 4"/>
    <w:basedOn w:val="Normal"/>
    <w:uiPriority w:val="99"/>
    <w:semiHidden/>
    <w:rsid w:val="00A26F25"/>
    <w:pPr>
      <w:numPr>
        <w:ilvl w:val="3"/>
        <w:numId w:val="1"/>
      </w:numPr>
      <w:contextualSpacing/>
    </w:pPr>
  </w:style>
  <w:style w:type="paragraph" w:styleId="ListBullet5">
    <w:name w:val="List Bullet 5"/>
    <w:basedOn w:val="Normal"/>
    <w:uiPriority w:val="99"/>
    <w:semiHidden/>
    <w:rsid w:val="00A26F25"/>
    <w:pPr>
      <w:numPr>
        <w:ilvl w:val="4"/>
        <w:numId w:val="1"/>
      </w:numPr>
      <w:contextualSpacing/>
    </w:pPr>
  </w:style>
  <w:style w:type="paragraph" w:styleId="ListNumber">
    <w:name w:val="List Number"/>
    <w:basedOn w:val="Normal"/>
    <w:uiPriority w:val="22"/>
    <w:qFormat/>
    <w:rsid w:val="00651E32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22"/>
    <w:rsid w:val="00651E32"/>
    <w:pPr>
      <w:numPr>
        <w:ilvl w:val="1"/>
        <w:numId w:val="6"/>
      </w:numPr>
      <w:contextualSpacing/>
    </w:pPr>
  </w:style>
  <w:style w:type="paragraph" w:styleId="ListNumber3">
    <w:name w:val="List Number 3"/>
    <w:basedOn w:val="Normal"/>
    <w:uiPriority w:val="22"/>
    <w:rsid w:val="00651E32"/>
    <w:pPr>
      <w:numPr>
        <w:ilvl w:val="2"/>
        <w:numId w:val="6"/>
      </w:numPr>
      <w:contextualSpacing/>
    </w:pPr>
  </w:style>
  <w:style w:type="paragraph" w:styleId="ListNumber4">
    <w:name w:val="List Number 4"/>
    <w:basedOn w:val="Normal"/>
    <w:uiPriority w:val="99"/>
    <w:semiHidden/>
    <w:rsid w:val="00651E32"/>
    <w:pPr>
      <w:numPr>
        <w:ilvl w:val="3"/>
        <w:numId w:val="6"/>
      </w:numPr>
      <w:contextualSpacing/>
    </w:pPr>
  </w:style>
  <w:style w:type="paragraph" w:styleId="ListNumber5">
    <w:name w:val="List Number 5"/>
    <w:basedOn w:val="Normal"/>
    <w:uiPriority w:val="99"/>
    <w:semiHidden/>
    <w:rsid w:val="00651E32"/>
    <w:pPr>
      <w:numPr>
        <w:ilvl w:val="4"/>
        <w:numId w:val="6"/>
      </w:numPr>
      <w:contextualSpacing/>
    </w:pPr>
  </w:style>
  <w:style w:type="paragraph" w:styleId="TOC1">
    <w:name w:val="toc 1"/>
    <w:basedOn w:val="Normal"/>
    <w:next w:val="Normal"/>
    <w:autoRedefine/>
    <w:uiPriority w:val="39"/>
    <w:rsid w:val="00D109B4"/>
    <w:pPr>
      <w:tabs>
        <w:tab w:val="right" w:leader="dot" w:pos="10081"/>
      </w:tabs>
      <w:spacing w:after="100"/>
    </w:pPr>
  </w:style>
  <w:style w:type="paragraph" w:styleId="TOC2">
    <w:name w:val="toc 2"/>
    <w:basedOn w:val="Normal"/>
    <w:next w:val="Normal"/>
    <w:autoRedefine/>
    <w:uiPriority w:val="39"/>
    <w:rsid w:val="00D109B4"/>
    <w:pPr>
      <w:tabs>
        <w:tab w:val="right" w:leader="dot" w:pos="10082"/>
      </w:tabs>
      <w:spacing w:after="100"/>
      <w:ind w:left="221"/>
    </w:pPr>
  </w:style>
  <w:style w:type="paragraph" w:styleId="TOC3">
    <w:name w:val="toc 3"/>
    <w:basedOn w:val="Normal"/>
    <w:next w:val="Normal"/>
    <w:autoRedefine/>
    <w:uiPriority w:val="39"/>
    <w:rsid w:val="0007640B"/>
    <w:pPr>
      <w:tabs>
        <w:tab w:val="right" w:leader="dot" w:pos="10081"/>
      </w:tabs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62CE7"/>
    <w:rPr>
      <w:color w:val="2977FF" w:themeColor="hyperlink"/>
      <w:u w:val="single"/>
    </w:rPr>
  </w:style>
  <w:style w:type="character" w:styleId="PlaceholderText">
    <w:name w:val="Placeholder Text"/>
    <w:basedOn w:val="DefaultParagraphFont"/>
    <w:uiPriority w:val="99"/>
    <w:rsid w:val="000B1DB5"/>
    <w:rPr>
      <w:color w:val="808080"/>
      <w:bdr w:val="none" w:sz="0" w:space="0" w:color="auto"/>
      <w:shd w:val="clear" w:color="auto" w:fill="F2F2F2"/>
    </w:rPr>
  </w:style>
  <w:style w:type="paragraph" w:styleId="NoSpacing">
    <w:name w:val="No Spacing"/>
    <w:uiPriority w:val="1"/>
    <w:qFormat/>
    <w:rsid w:val="00813C78"/>
    <w:pPr>
      <w:spacing w:after="0"/>
    </w:pPr>
  </w:style>
  <w:style w:type="paragraph" w:styleId="Header">
    <w:name w:val="header"/>
    <w:basedOn w:val="Normal"/>
    <w:link w:val="HeaderChar"/>
    <w:uiPriority w:val="26"/>
    <w:rsid w:val="00890ED1"/>
    <w:pPr>
      <w:tabs>
        <w:tab w:val="center" w:pos="4536"/>
        <w:tab w:val="right" w:pos="9072"/>
      </w:tabs>
      <w:spacing w:after="0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26"/>
    <w:rsid w:val="00890ED1"/>
    <w:rPr>
      <w:sz w:val="16"/>
    </w:rPr>
  </w:style>
  <w:style w:type="paragraph" w:styleId="Footer">
    <w:name w:val="footer"/>
    <w:basedOn w:val="Normal"/>
    <w:link w:val="FooterChar"/>
    <w:uiPriority w:val="26"/>
    <w:rsid w:val="00890ED1"/>
    <w:pPr>
      <w:tabs>
        <w:tab w:val="right" w:pos="10093"/>
      </w:tabs>
      <w:spacing w:after="0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26"/>
    <w:rsid w:val="00890ED1"/>
    <w:rPr>
      <w:sz w:val="16"/>
    </w:rPr>
  </w:style>
  <w:style w:type="table" w:styleId="TableGrid">
    <w:name w:val="Table Grid"/>
    <w:basedOn w:val="TableNormal"/>
    <w:uiPriority w:val="39"/>
    <w:rsid w:val="008F1CF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Quote">
    <w:name w:val="Quote"/>
    <w:basedOn w:val="Normal"/>
    <w:next w:val="Normal"/>
    <w:link w:val="QuoteChar"/>
    <w:uiPriority w:val="29"/>
    <w:qFormat/>
    <w:rsid w:val="0026632D"/>
    <w:pPr>
      <w:spacing w:before="200"/>
    </w:pPr>
    <w:rPr>
      <w:rFonts w:asciiTheme="majorHAnsi" w:hAnsiTheme="majorHAnsi"/>
      <w:iCs/>
      <w:spacing w:val="-9"/>
      <w:sz w:val="64"/>
    </w:rPr>
  </w:style>
  <w:style w:type="character" w:customStyle="1" w:styleId="QuoteChar">
    <w:name w:val="Quote Char"/>
    <w:basedOn w:val="DefaultParagraphFont"/>
    <w:link w:val="Quote"/>
    <w:uiPriority w:val="29"/>
    <w:rsid w:val="0026632D"/>
    <w:rPr>
      <w:rFonts w:asciiTheme="majorHAnsi" w:hAnsiTheme="majorHAnsi"/>
      <w:iCs/>
      <w:spacing w:val="-9"/>
      <w:sz w:val="64"/>
    </w:rPr>
  </w:style>
  <w:style w:type="paragraph" w:styleId="Closing">
    <w:name w:val="Closing"/>
    <w:basedOn w:val="Normal"/>
    <w:next w:val="NoSpacing"/>
    <w:link w:val="ClosingChar"/>
    <w:uiPriority w:val="99"/>
    <w:semiHidden/>
    <w:rsid w:val="00A51F48"/>
    <w:pPr>
      <w:spacing w:before="720" w:after="7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74955"/>
  </w:style>
  <w:style w:type="paragraph" w:customStyle="1" w:styleId="Preamble">
    <w:name w:val="Preamble"/>
    <w:basedOn w:val="Normal"/>
    <w:next w:val="Normal"/>
    <w:uiPriority w:val="12"/>
    <w:qFormat/>
    <w:rsid w:val="008325A0"/>
    <w:pPr>
      <w:spacing w:before="360"/>
    </w:pPr>
    <w:rPr>
      <w:sz w:val="24"/>
    </w:rPr>
  </w:style>
  <w:style w:type="paragraph" w:styleId="EnvelopeAddress">
    <w:name w:val="envelope address"/>
    <w:basedOn w:val="NoSpacing"/>
    <w:uiPriority w:val="99"/>
    <w:semiHidden/>
    <w:rsid w:val="00B723E3"/>
    <w:pPr>
      <w:framePr w:w="5670" w:h="2268" w:hRule="exact" w:vSpace="2268" w:wrap="around" w:vAnchor="page" w:hAnchor="page" w:xAlign="right" w:yAlign="top" w:anchorLock="1"/>
    </w:pPr>
    <w:rPr>
      <w:rFonts w:eastAsiaTheme="majorEastAsia" w:cstheme="majorBidi"/>
      <w:szCs w:val="24"/>
    </w:rPr>
  </w:style>
  <w:style w:type="paragraph" w:customStyle="1" w:styleId="Noter">
    <w:name w:val="Noter"/>
    <w:basedOn w:val="Heading2"/>
    <w:next w:val="Normal"/>
    <w:uiPriority w:val="13"/>
    <w:semiHidden/>
    <w:rsid w:val="000D01A8"/>
    <w:pPr>
      <w:numPr>
        <w:numId w:val="12"/>
      </w:numPr>
      <w:outlineLvl w:val="9"/>
    </w:pPr>
  </w:style>
  <w:style w:type="paragraph" w:styleId="ListParagraph">
    <w:name w:val="List Paragraph"/>
    <w:basedOn w:val="Normal"/>
    <w:uiPriority w:val="34"/>
    <w:semiHidden/>
    <w:qFormat/>
    <w:rsid w:val="0023757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F1B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AF1B26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3763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1B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1B26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60C0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8"/>
    <w:rsid w:val="00897370"/>
    <w:rPr>
      <w:color w:val="2977FF" w:themeColor="followedHyperlink"/>
      <w:u w:val="single"/>
    </w:rPr>
  </w:style>
  <w:style w:type="paragraph" w:customStyle="1" w:styleId="Microtitle">
    <w:name w:val="Micro title"/>
    <w:basedOn w:val="Normal"/>
    <w:next w:val="Normal"/>
    <w:uiPriority w:val="9"/>
    <w:rsid w:val="00890ED1"/>
    <w:pPr>
      <w:spacing w:after="0"/>
    </w:pPr>
    <w:rPr>
      <w:caps/>
      <w:spacing w:val="30"/>
      <w:lang w:val="en-US"/>
    </w:rPr>
  </w:style>
  <w:style w:type="paragraph" w:styleId="Caption">
    <w:name w:val="caption"/>
    <w:basedOn w:val="Normal"/>
    <w:next w:val="Normal"/>
    <w:uiPriority w:val="35"/>
    <w:qFormat/>
    <w:rsid w:val="00DC7A44"/>
    <w:pPr>
      <w:spacing w:before="100"/>
      <w:contextualSpacing/>
    </w:pPr>
    <w:rPr>
      <w:iCs/>
      <w:sz w:val="16"/>
      <w:szCs w:val="18"/>
    </w:rPr>
  </w:style>
  <w:style w:type="paragraph" w:customStyle="1" w:styleId="Statnumber">
    <w:name w:val="Stat number"/>
    <w:basedOn w:val="Normal"/>
    <w:next w:val="Statdescription"/>
    <w:uiPriority w:val="30"/>
    <w:qFormat/>
    <w:rsid w:val="0026632D"/>
    <w:pPr>
      <w:spacing w:after="0" w:line="180" w:lineRule="auto"/>
    </w:pPr>
    <w:rPr>
      <w:rFonts w:asciiTheme="majorHAnsi" w:hAnsiTheme="majorHAnsi"/>
      <w:sz w:val="76"/>
      <w:lang w:val="en-US"/>
    </w:rPr>
  </w:style>
  <w:style w:type="paragraph" w:customStyle="1" w:styleId="Statdescription">
    <w:name w:val="Stat description"/>
    <w:basedOn w:val="Normal"/>
    <w:next w:val="Normal"/>
    <w:uiPriority w:val="31"/>
    <w:qFormat/>
    <w:rsid w:val="0026632D"/>
    <w:rPr>
      <w:sz w:val="15"/>
      <w:lang w:val="en-US"/>
    </w:rPr>
  </w:style>
  <w:style w:type="table" w:customStyle="1" w:styleId="Sinch">
    <w:name w:val="Sinch"/>
    <w:basedOn w:val="TableNormal"/>
    <w:uiPriority w:val="99"/>
    <w:rsid w:val="00FA2607"/>
    <w:pPr>
      <w:spacing w:after="0"/>
      <w:jc w:val="center"/>
    </w:pPr>
    <w:rPr>
      <w:sz w:val="16"/>
    </w:rPr>
    <w:tblPr>
      <w:tblStyleColBandSize w:val="1"/>
      <w:tblBorders>
        <w:insideH w:val="single" w:sz="6" w:space="0" w:color="BFBFBF"/>
      </w:tblBorders>
      <w:tblCellMar>
        <w:top w:w="96" w:type="dxa"/>
        <w:bottom w:w="96" w:type="dxa"/>
      </w:tblCellMar>
    </w:tblPr>
    <w:tcPr>
      <w:vAlign w:val="center"/>
    </w:tcPr>
    <w:tblStylePr w:type="firstRow">
      <w:tblPr/>
      <w:tcPr>
        <w:tcBorders>
          <w:top w:val="nil"/>
          <w:left w:val="nil"/>
          <w:bottom w:val="single" w:sz="6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0000" w:themeColor="text1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left"/>
      </w:pPr>
      <w:tblPr/>
      <w:tcPr>
        <w:shd w:val="clear" w:color="auto" w:fill="FFF6B3" w:themeFill="accent2"/>
      </w:tcPr>
    </w:tblStylePr>
    <w:tblStylePr w:type="band2Vert">
      <w:tblPr/>
      <w:tcPr>
        <w:shd w:val="clear" w:color="auto" w:fill="FFF6B3" w:themeFill="accent2"/>
      </w:tcPr>
    </w:tblStylePr>
  </w:style>
  <w:style w:type="paragraph" w:customStyle="1" w:styleId="Tablefootnote">
    <w:name w:val="Table footnote"/>
    <w:basedOn w:val="Normal"/>
    <w:next w:val="Normal"/>
    <w:uiPriority w:val="32"/>
    <w:qFormat/>
    <w:rsid w:val="00DC7A44"/>
    <w:pPr>
      <w:contextualSpacing/>
    </w:pPr>
    <w:rPr>
      <w:color w:val="595959"/>
      <w:sz w:val="10"/>
      <w:lang w:val="en-US"/>
    </w:rPr>
  </w:style>
  <w:style w:type="paragraph" w:styleId="FootnoteText">
    <w:name w:val="footnote text"/>
    <w:basedOn w:val="Normal"/>
    <w:link w:val="FootnoteTextChar"/>
    <w:uiPriority w:val="99"/>
    <w:rsid w:val="00AC61D2"/>
    <w:pPr>
      <w:spacing w:after="0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C61D2"/>
    <w:rPr>
      <w:sz w:val="16"/>
    </w:rPr>
  </w:style>
  <w:style w:type="character" w:styleId="FootnoteReference">
    <w:name w:val="footnote reference"/>
    <w:basedOn w:val="DefaultParagraphFont"/>
    <w:uiPriority w:val="99"/>
    <w:rsid w:val="00AC61D2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AC61D2"/>
    <w:pPr>
      <w:spacing w:after="0"/>
    </w:pPr>
    <w:rPr>
      <w:sz w:val="16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E1678"/>
    <w:rPr>
      <w:sz w:val="16"/>
    </w:rPr>
  </w:style>
  <w:style w:type="character" w:styleId="EndnoteReference">
    <w:name w:val="endnote reference"/>
    <w:basedOn w:val="DefaultParagraphFont"/>
    <w:uiPriority w:val="99"/>
    <w:semiHidden/>
    <w:rsid w:val="00AC61D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chart" Target="charts/chart5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chart" Target="charts/chart4.xml"/><Relationship Id="rId2" Type="http://schemas.openxmlformats.org/officeDocument/2006/relationships/customXml" Target="../customXml/item2.xml"/><Relationship Id="rId16" Type="http://schemas.openxmlformats.org/officeDocument/2006/relationships/chart" Target="charts/chart3.xm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chart" Target="charts/chart2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hart" Target="charts/chart1.xml"/><Relationship Id="rId22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araAndersson\Rehngruppen\Kunder%20-%20S%20-%20Dokument\Sinch\FIL\2603_SA%20-%20Wordmallar%20(11204)\Arbetsmapp\A4%20with%20examples.dotx" TargetMode="External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1109727514738416E-2"/>
          <c:y val="0.12505398460816"/>
          <c:w val="0.92889027248526168"/>
          <c:h val="0.74023780313857424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rgbClr val="85B6FF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50</c:v>
                </c:pt>
                <c:pt idx="1">
                  <c:v>75</c:v>
                </c:pt>
                <c:pt idx="2">
                  <c:v>90</c:v>
                </c:pt>
                <c:pt idx="3">
                  <c:v>150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57D-4470-B30B-71471FE5E07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rgbClr val="2977FF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100</c:v>
                </c:pt>
                <c:pt idx="1">
                  <c:v>200</c:v>
                </c:pt>
                <c:pt idx="2">
                  <c:v>180</c:v>
                </c:pt>
                <c:pt idx="3">
                  <c:v>250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57D-4470-B30B-71471FE5E07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820521023"/>
        <c:axId val="820515263"/>
      </c:barChart>
      <c:lineChart>
        <c:grouping val="standard"/>
        <c:varyColors val="0"/>
        <c:ser>
          <c:idx val="2"/>
          <c:order val="2"/>
          <c:tx>
            <c:strRef>
              <c:f>Sheet1!$D$1</c:f>
              <c:strCache>
                <c:ptCount val="1"/>
                <c:pt idx="0">
                  <c:v>Line</c:v>
                </c:pt>
              </c:strCache>
            </c:strRef>
          </c:tx>
          <c:spPr>
            <a:ln w="12700" cap="rnd">
              <a:solidFill>
                <a:schemeClr val="tx2"/>
              </a:solidFill>
              <a:round/>
              <a:tailEnd type="arrow"/>
            </a:ln>
            <a:effectLst/>
          </c:spPr>
          <c:marker>
            <c:symbol val="none"/>
          </c:marker>
          <c:dLbls>
            <c:dLbl>
              <c:idx val="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457D-4470-B30B-71471FE5E073}"/>
                </c:ext>
              </c:extLst>
            </c:dLbl>
            <c:dLbl>
              <c:idx val="1"/>
              <c:layout>
                <c:manualLayout>
                  <c:x val="-0.10260179016084528"/>
                  <c:y val="0"/>
                </c:manualLayout>
              </c:layout>
              <c:spPr>
                <a:solidFill>
                  <a:srgbClr val="FFE97A"/>
                </a:solidFill>
                <a:ln w="9525" cap="flat" cmpd="sng" algn="ctr">
                  <a:noFill/>
                  <a:prstDash val="solid"/>
                  <a:round/>
                  <a:headEnd type="none" w="med" len="med"/>
                  <a:tailEnd type="none" w="med" len="med"/>
                  <a:extLst>
                    <a:ext uri="{C807C97D-BFC1-408E-A445-0C87EB9F89A2}">
                      <ask:lineSketchStyleProps xmlns:ask="http://schemas.microsoft.com/office/drawing/2018/sketchyshapes" sd="0"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sk:type/>
                      </ask:lineSketchStyleProps>
                    </a:ext>
                  </a:extLst>
                </a:ln>
                <a:effectLst/>
              </c:spPr>
              <c:txPr>
                <a:bodyPr rot="0" spcFirstLastPara="1" vertOverflow="clip" horzOverflow="clip" vert="horz" wrap="none" lIns="180000" tIns="0" rIns="180000" bIns="0" anchor="ctr" anchorCtr="1">
                  <a:spAutoFit/>
                </a:bodyPr>
                <a:lstStyle/>
                <a:p>
                  <a:pPr>
                    <a:defRPr sz="1000" b="0" i="0" u="none" strike="noStrike" kern="1200" baseline="0">
                      <a:solidFill>
                        <a:schemeClr val="tx1"/>
                      </a:solidFill>
                      <a:latin typeface="+mj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roundRect">
                      <a:avLst>
                        <a:gd name="adj" fmla="val 50000"/>
                      </a:avLst>
                    </a:prstGeom>
                    <a:noFill/>
                    <a:ln>
                      <a:noFill/>
                    </a:ln>
                  </c15:spPr>
                </c:ext>
                <c:ext xmlns:c16="http://schemas.microsoft.com/office/drawing/2014/chart" uri="{C3380CC4-5D6E-409C-BE32-E72D297353CC}">
                  <c16:uniqueId val="{00000003-457D-4470-B30B-71471FE5E073}"/>
                </c:ext>
              </c:extLst>
            </c:dLbl>
            <c:dLbl>
              <c:idx val="2"/>
              <c:layout>
                <c:manualLayout>
                  <c:x val="-0.11107329532526383"/>
                  <c:y val="-2.456813522533768E-2"/>
                </c:manualLayout>
              </c:layout>
              <c:spPr>
                <a:solidFill>
                  <a:srgbClr val="FFE97A"/>
                </a:solidFill>
                <a:ln w="9525" cap="flat" cmpd="sng" algn="ctr">
                  <a:noFill/>
                  <a:prstDash val="solid"/>
                  <a:round/>
                  <a:headEnd type="none" w="med" len="med"/>
                  <a:tailEnd type="none" w="med" len="med"/>
                  <a:extLst>
                    <a:ext uri="{C807C97D-BFC1-408E-A445-0C87EB9F89A2}">
                      <ask:lineSketchStyleProps xmlns:ask="http://schemas.microsoft.com/office/drawing/2018/sketchyshapes" sd="0"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sk:type/>
                      </ask:lineSketchStyleProps>
                    </a:ext>
                  </a:extLst>
                </a:ln>
                <a:effectLst/>
              </c:spPr>
              <c:txPr>
                <a:bodyPr rot="0" spcFirstLastPara="1" vertOverflow="clip" horzOverflow="clip" vert="horz" wrap="none" lIns="180000" tIns="0" rIns="180000" bIns="0" anchor="ctr" anchorCtr="1">
                  <a:spAutoFit/>
                </a:bodyPr>
                <a:lstStyle/>
                <a:p>
                  <a:pPr>
                    <a:defRPr sz="1000" b="0" i="0" u="none" strike="noStrike" kern="1200" baseline="0">
                      <a:solidFill>
                        <a:schemeClr val="tx1"/>
                      </a:solidFill>
                      <a:latin typeface="+mj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roundRect">
                      <a:avLst>
                        <a:gd name="adj" fmla="val 50000"/>
                      </a:avLst>
                    </a:prstGeom>
                    <a:noFill/>
                    <a:ln>
                      <a:noFill/>
                    </a:ln>
                  </c15:spPr>
                </c:ext>
                <c:ext xmlns:c16="http://schemas.microsoft.com/office/drawing/2014/chart" uri="{C3380CC4-5D6E-409C-BE32-E72D297353CC}">
                  <c16:uniqueId val="{00000004-457D-4470-B30B-71471FE5E073}"/>
                </c:ext>
              </c:extLst>
            </c:dLbl>
            <c:dLbl>
              <c:idx val="3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457D-4470-B30B-71471FE5E073}"/>
                </c:ext>
              </c:extLst>
            </c:dLbl>
            <c:spPr>
              <a:solidFill>
                <a:schemeClr val="accent6"/>
              </a:solidFill>
              <a:ln>
                <a:noFill/>
              </a:ln>
              <a:effectLst/>
            </c:spPr>
            <c:txPr>
              <a:bodyPr rot="0" spcFirstLastPara="1" vertOverflow="clip" horzOverflow="clip" vert="horz" wrap="none" lIns="180000" tIns="0" rIns="180000" bIns="0" anchor="ctr" anchorCtr="1">
                <a:spAutoFit/>
              </a:bodyPr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j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oundRect">
                    <a:avLst/>
                  </a:prstGeom>
                  <a:noFill/>
                  <a:ln>
                    <a:noFill/>
                  </a:ln>
                </c15:spPr>
                <c15:showLeaderLines val="0"/>
              </c:ext>
            </c:extLst>
          </c:dLbls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200</c:v>
                </c:pt>
                <c:pt idx="1">
                  <c:v>350</c:v>
                </c:pt>
                <c:pt idx="2">
                  <c:v>300</c:v>
                </c:pt>
                <c:pt idx="3">
                  <c:v>500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457D-4470-B30B-71471FE5E07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20521023"/>
        <c:axId val="820515263"/>
      </c:lineChart>
      <c:catAx>
        <c:axId val="82052102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/>
                </a:solidFill>
                <a:latin typeface="+mj-lt"/>
                <a:ea typeface="+mn-ea"/>
                <a:cs typeface="+mn-cs"/>
              </a:defRPr>
            </a:pPr>
            <a:endParaRPr lang="en-US"/>
          </a:p>
        </c:txPr>
        <c:crossAx val="820515263"/>
        <c:crosses val="autoZero"/>
        <c:auto val="1"/>
        <c:lblAlgn val="ctr"/>
        <c:lblOffset val="100"/>
        <c:noMultiLvlLbl val="0"/>
      </c:catAx>
      <c:valAx>
        <c:axId val="8205152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2052102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1.3694442040898878E-3"/>
          <c:y val="0"/>
          <c:w val="0.33051859896823232"/>
          <c:h val="6.682750412410970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992443834428955"/>
          <c:y val="3.7931653188852062E-2"/>
          <c:w val="0.55215054540200825"/>
          <c:h val="0.92413669362229589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spPr>
            <a:ln>
              <a:solidFill>
                <a:schemeClr val="bg1"/>
              </a:solidFill>
            </a:ln>
          </c:spPr>
          <c:dPt>
            <c:idx val="0"/>
            <c:bubble3D val="0"/>
            <c:spPr>
              <a:solidFill>
                <a:schemeClr val="accent4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8A5D-41B4-ABE9-ACB4CF7AE421}"/>
              </c:ext>
            </c:extLst>
          </c:dPt>
          <c:dPt>
            <c:idx val="1"/>
            <c:bubble3D val="0"/>
            <c:spPr>
              <a:solidFill>
                <a:srgbClr val="2977FF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8A5D-41B4-ABE9-ACB4CF7AE421}"/>
              </c:ext>
            </c:extLst>
          </c:dPt>
          <c:dPt>
            <c:idx val="2"/>
            <c:bubble3D val="0"/>
            <c:spPr>
              <a:solidFill>
                <a:srgbClr val="85B6FF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8A5D-41B4-ABE9-ACB4CF7AE421}"/>
              </c:ext>
            </c:extLst>
          </c:dPt>
          <c:dPt>
            <c:idx val="3"/>
            <c:bubble3D val="0"/>
            <c:spPr>
              <a:solidFill>
                <a:srgbClr val="C8BDFF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8A5D-41B4-ABE9-ACB4CF7AE421}"/>
              </c:ext>
            </c:extLst>
          </c:dPt>
          <c:dPt>
            <c:idx val="4"/>
            <c:bubble3D val="0"/>
            <c:spPr>
              <a:solidFill>
                <a:srgbClr val="97C2A3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8A5D-41B4-ABE9-ACB4CF7AE421}"/>
              </c:ext>
            </c:extLst>
          </c:dPt>
          <c:dPt>
            <c:idx val="5"/>
            <c:bubble3D val="0"/>
            <c:spPr>
              <a:solidFill>
                <a:srgbClr val="F03B35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8A5D-41B4-ABE9-ACB4CF7AE421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j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Sheet1!$A$2:$A$7</c:f>
              <c:strCache>
                <c:ptCount val="6"/>
                <c:pt idx="0">
                  <c:v>Email</c:v>
                </c:pt>
                <c:pt idx="1">
                  <c:v>Phone</c:v>
                </c:pt>
                <c:pt idx="2">
                  <c:v>SMS</c:v>
                </c:pt>
                <c:pt idx="3">
                  <c:v>Chat</c:v>
                </c:pt>
                <c:pt idx="4">
                  <c:v>Website form</c:v>
                </c:pt>
                <c:pt idx="5">
                  <c:v>Errors</c:v>
                </c:pt>
              </c:strCache>
            </c:strRef>
          </c:cat>
          <c:val>
            <c:numRef>
              <c:f>Sheet1!$B$2:$B$7</c:f>
              <c:numCache>
                <c:formatCode>0%</c:formatCode>
                <c:ptCount val="6"/>
                <c:pt idx="0">
                  <c:v>0.4</c:v>
                </c:pt>
                <c:pt idx="1">
                  <c:v>0.23</c:v>
                </c:pt>
                <c:pt idx="2">
                  <c:v>0.22</c:v>
                </c:pt>
                <c:pt idx="3">
                  <c:v>0.08</c:v>
                </c:pt>
                <c:pt idx="4">
                  <c:v>0.05</c:v>
                </c:pt>
                <c:pt idx="5">
                  <c:v>0.02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8A5D-41B4-ABE9-ACB4CF7AE42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65"/>
      </c:doughnutChart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71328381122171047"/>
          <c:y val="0.12211232411181325"/>
          <c:w val="0.25976553572416644"/>
          <c:h val="0.75943138278378097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>
        <c:manualLayout>
          <c:xMode val="edge"/>
          <c:yMode val="edge"/>
          <c:x val="0.33802053607955845"/>
          <c:y val="0.7179488620511781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spc="0" baseline="0">
              <a:solidFill>
                <a:schemeClr val="tx1"/>
              </a:solidFill>
              <a:latin typeface="+mj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6191559609139136"/>
          <c:y val="3.8118663260737901E-2"/>
          <c:w val="0.72153783378490266"/>
          <c:h val="0.63828334167259193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Chart title</c:v>
                </c:pt>
              </c:strCache>
            </c:strRef>
          </c:tx>
          <c:spPr>
            <a:ln>
              <a:solidFill>
                <a:schemeClr val="bg1"/>
              </a:solidFill>
            </a:ln>
          </c:spPr>
          <c:dPt>
            <c:idx val="0"/>
            <c:bubble3D val="0"/>
            <c:spPr>
              <a:solidFill>
                <a:srgbClr val="C4DCFF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B568-4047-872A-6D24F75B216D}"/>
              </c:ext>
            </c:extLst>
          </c:dPt>
          <c:dPt>
            <c:idx val="1"/>
            <c:bubble3D val="0"/>
            <c:spPr>
              <a:solidFill>
                <a:srgbClr val="2977FF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B568-4047-872A-6D24F75B216D}"/>
              </c:ext>
            </c:extLst>
          </c:dPt>
          <c:dPt>
            <c:idx val="2"/>
            <c:bubble3D val="0"/>
            <c:spPr>
              <a:solidFill>
                <a:srgbClr val="85B6FF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B568-4047-872A-6D24F75B216D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</c:strCache>
            </c:strRef>
          </c:cat>
          <c:val>
            <c:numRef>
              <c:f>Sheet1!$B$2:$B$4</c:f>
              <c:numCache>
                <c:formatCode>0%</c:formatCode>
                <c:ptCount val="3"/>
                <c:pt idx="0">
                  <c:v>0.4</c:v>
                </c:pt>
                <c:pt idx="1">
                  <c:v>0.3</c:v>
                </c:pt>
                <c:pt idx="2">
                  <c:v>0.3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B568-4047-872A-6D24F75B216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50"/>
      </c:doughnut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4.6313312656140705E-3"/>
          <c:y val="0.82127055188335574"/>
          <c:w val="0.99073733746877202"/>
          <c:h val="0.16030337344955628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sz="1000">
          <a:solidFill>
            <a:schemeClr val="tx1"/>
          </a:solidFill>
        </a:defRPr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>
        <c:manualLayout>
          <c:xMode val="edge"/>
          <c:yMode val="edge"/>
          <c:x val="0.33790235008308372"/>
          <c:y val="0.7179488620511781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spc="0" baseline="0">
              <a:solidFill>
                <a:schemeClr val="tx1"/>
              </a:solidFill>
              <a:latin typeface="+mj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4158453396351939"/>
          <c:y val="3.8118663260737894E-2"/>
          <c:w val="0.72199263238375155"/>
          <c:h val="0.63828334167259193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Chart title</c:v>
                </c:pt>
              </c:strCache>
            </c:strRef>
          </c:tx>
          <c:spPr>
            <a:ln>
              <a:solidFill>
                <a:schemeClr val="bg1"/>
              </a:solidFill>
            </a:ln>
          </c:spPr>
          <c:dPt>
            <c:idx val="0"/>
            <c:bubble3D val="0"/>
            <c:spPr>
              <a:solidFill>
                <a:srgbClr val="FFF6B3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15E-46A6-9D88-416346764BD5}"/>
              </c:ext>
            </c:extLst>
          </c:dPt>
          <c:dPt>
            <c:idx val="1"/>
            <c:bubble3D val="0"/>
            <c:spPr>
              <a:solidFill>
                <a:srgbClr val="FFE97A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15E-46A6-9D88-416346764BD5}"/>
              </c:ext>
            </c:extLst>
          </c:dPt>
          <c:dPt>
            <c:idx val="2"/>
            <c:bubble3D val="0"/>
            <c:spPr>
              <a:solidFill>
                <a:srgbClr val="FFF194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515E-46A6-9D88-416346764BD5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0" i="0" u="none" strike="noStrike" kern="1200" baseline="0">
                    <a:ln w="2540">
                      <a:noFill/>
                    </a:ln>
                    <a:solidFill>
                      <a:schemeClr val="tx1"/>
                    </a:solidFill>
                    <a:latin typeface="+mj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</c:strCache>
            </c:strRef>
          </c:cat>
          <c:val>
            <c:numRef>
              <c:f>Sheet1!$B$2:$B$4</c:f>
              <c:numCache>
                <c:formatCode>0%</c:formatCode>
                <c:ptCount val="3"/>
                <c:pt idx="0">
                  <c:v>0.4</c:v>
                </c:pt>
                <c:pt idx="1">
                  <c:v>0.3</c:v>
                </c:pt>
                <c:pt idx="2">
                  <c:v>0.3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515E-46A6-9D88-416346764BD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50"/>
      </c:doughnut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4.4436059616129167E-3"/>
          <c:y val="0.83018916949762556"/>
          <c:w val="0.99111199372461778"/>
          <c:h val="0.1513847558352864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/>
              </a:solidFill>
              <a:latin typeface="+mj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>
        <c:manualLayout>
          <c:xMode val="edge"/>
          <c:yMode val="edge"/>
          <c:x val="0.34431671826781762"/>
          <c:y val="0.7179488620511781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spc="0" baseline="0">
              <a:solidFill>
                <a:schemeClr val="tx1"/>
              </a:solidFill>
              <a:latin typeface="+mj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4152416319965047"/>
          <c:y val="3.3659354453602998E-2"/>
          <c:w val="0.72703676857542876"/>
          <c:h val="0.6427426504797269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Chart title</c:v>
                </c:pt>
              </c:strCache>
            </c:strRef>
          </c:tx>
          <c:spPr>
            <a:ln>
              <a:solidFill>
                <a:schemeClr val="bg1"/>
              </a:solidFill>
            </a:ln>
          </c:spPr>
          <c:dPt>
            <c:idx val="0"/>
            <c:bubble3D val="0"/>
            <c:spPr>
              <a:solidFill>
                <a:srgbClr val="E1F2E6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AD07-4E9D-B341-09710D01AC0F}"/>
              </c:ext>
            </c:extLst>
          </c:dPt>
          <c:dPt>
            <c:idx val="1"/>
            <c:bubble3D val="0"/>
            <c:spPr>
              <a:solidFill>
                <a:srgbClr val="97C2A3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AD07-4E9D-B341-09710D01AC0F}"/>
              </c:ext>
            </c:extLst>
          </c:dPt>
          <c:dPt>
            <c:idx val="2"/>
            <c:bubble3D val="0"/>
            <c:spPr>
              <a:solidFill>
                <a:srgbClr val="C3E3CE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AD07-4E9D-B341-09710D01AC0F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0" i="0" u="none" strike="noStrike" kern="1200" baseline="0">
                    <a:ln w="2540">
                      <a:noFill/>
                    </a:ln>
                    <a:solidFill>
                      <a:schemeClr val="tx1"/>
                    </a:solidFill>
                    <a:latin typeface="+mj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</c:strCache>
            </c:strRef>
          </c:cat>
          <c:val>
            <c:numRef>
              <c:f>Sheet1!$B$2:$B$4</c:f>
              <c:numCache>
                <c:formatCode>0%</c:formatCode>
                <c:ptCount val="3"/>
                <c:pt idx="0">
                  <c:v>0.4</c:v>
                </c:pt>
                <c:pt idx="1">
                  <c:v>0.3</c:v>
                </c:pt>
                <c:pt idx="2">
                  <c:v>0.3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AD07-4E9D-B341-09710D01AC0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50"/>
      </c:doughnut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9.4877421532900911E-3"/>
          <c:y val="0.82127055188335574"/>
          <c:w val="0.98102372134126348"/>
          <c:h val="0.16030337344955628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/>
              </a:solidFill>
              <a:latin typeface="+mj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Sinch">
  <a:themeElements>
    <a:clrScheme name="Custom 3">
      <a:dk1>
        <a:srgbClr val="000000"/>
      </a:dk1>
      <a:lt1>
        <a:srgbClr val="FFFFFF"/>
      </a:lt1>
      <a:dk2>
        <a:srgbClr val="000000"/>
      </a:dk2>
      <a:lt2>
        <a:srgbClr val="1860F0"/>
      </a:lt2>
      <a:accent1>
        <a:srgbClr val="F7F9FA"/>
      </a:accent1>
      <a:accent2>
        <a:srgbClr val="FFF6B3"/>
      </a:accent2>
      <a:accent3>
        <a:srgbClr val="FFF194"/>
      </a:accent3>
      <a:accent4>
        <a:srgbClr val="FFE97A"/>
      </a:accent4>
      <a:accent5>
        <a:srgbClr val="F0F3F5"/>
      </a:accent5>
      <a:accent6>
        <a:srgbClr val="EBE6E1"/>
      </a:accent6>
      <a:hlink>
        <a:srgbClr val="2977FF"/>
      </a:hlink>
      <a:folHlink>
        <a:srgbClr val="2977FF"/>
      </a:folHlink>
    </a:clrScheme>
    <a:fontScheme name="Sinch 2025">
      <a:majorFont>
        <a:latin typeface="Host Grotesk SemiBold"/>
        <a:ea typeface=""/>
        <a:cs typeface=""/>
      </a:majorFont>
      <a:minorFont>
        <a:latin typeface="Host Grotes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6"/>
        </a:solidFill>
        <a:ln>
          <a:noFill/>
        </a:ln>
      </a:spPr>
      <a:bodyPr rtlCol="0" anchor="ctr"/>
      <a:lstStyle>
        <a:defPPr algn="ctr">
          <a:lnSpc>
            <a:spcPct val="110000"/>
          </a:lnSpc>
          <a:defRPr sz="1500">
            <a:solidFill>
              <a:schemeClr val="tx1"/>
            </a:solidFill>
            <a:cs typeface="Arial" panose="020B0604020202020204" pitchFamily="34" charset="0"/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 algn="l">
          <a:lnSpc>
            <a:spcPct val="110000"/>
          </a:lnSpc>
          <a:spcBef>
            <a:spcPts val="225"/>
          </a:spcBef>
          <a:spcAft>
            <a:spcPts val="225"/>
          </a:spcAft>
          <a:defRPr sz="1500" dirty="0">
            <a:solidFill>
              <a:schemeClr val="tx2"/>
            </a:solidFill>
            <a:cs typeface="Arial" panose="020B0604020202020204" pitchFamily="34" charset="0"/>
          </a:defRPr>
        </a:defPPr>
      </a:lstStyle>
    </a:txDef>
  </a:objectDefaults>
  <a:extraClrSchemeLst/>
  <a:custClrLst>
    <a:custClr name="Neutral05">
      <a:srgbClr val="F7F9FA"/>
    </a:custClr>
    <a:custClr name="Neutral10">
      <a:srgbClr val="F0F3F5"/>
    </a:custClr>
    <a:custClr name="Neutral15">
      <a:srgbClr val="E6EBED"/>
    </a:custClr>
    <a:custClr name="Neutral20">
      <a:srgbClr val="DCE2E5"/>
    </a:custClr>
    <a:custClr name="Neutral25">
      <a:srgbClr val="D3D9DE"/>
    </a:custClr>
    <a:custClr name="Neutral30">
      <a:srgbClr val="C4CCD1"/>
    </a:custClr>
    <a:custClr name="Neutral35">
      <a:srgbClr val="AEB7BD"/>
    </a:custClr>
    <a:custClr name="Neutral40">
      <a:srgbClr val="8F9AA1"/>
    </a:custClr>
    <a:custClr name="Neutral50">
      <a:srgbClr val="78828A"/>
    </a:custClr>
    <a:custClr name="Neutral60">
      <a:srgbClr val="626C73"/>
    </a:custClr>
    <a:custClr name="Sand15">
      <a:srgbClr val="F2EEE8"/>
    </a:custClr>
    <a:custClr name="Sand20">
      <a:srgbClr val="EBE6E1"/>
    </a:custClr>
    <a:custClr name="Sand25">
      <a:srgbClr val="DBD7D3"/>
    </a:custClr>
    <a:custClr name="Sand30">
      <a:srgbClr val="C9C5C1"/>
    </a:custClr>
    <a:custClr name="Sand35">
      <a:srgbClr val="B8B3B0"/>
    </a:custClr>
    <a:custClr name="Honey10">
      <a:srgbClr val="FFF6B3"/>
    </a:custClr>
    <a:custClr name="Honey15">
      <a:srgbClr val="FFF194"/>
    </a:custClr>
    <a:custClr name="Honey20">
      <a:srgbClr val="FFE97A"/>
    </a:custClr>
    <a:custClr name="Honey25">
      <a:srgbClr val="FADA5A"/>
    </a:custClr>
    <a:custClr name="Honey30">
      <a:srgbClr val="F0C243"/>
    </a:custClr>
    <a:custClr name="Tropical05">
      <a:srgbClr val="F0FAF3"/>
    </a:custClr>
    <a:custClr name="Tropical10">
      <a:srgbClr val="E8F7ED"/>
    </a:custClr>
    <a:custClr name="Tropical15">
      <a:srgbClr val="DFF2E5"/>
    </a:custClr>
    <a:custClr name="Tropical20">
      <a:srgbClr val="D1EDDB"/>
    </a:custClr>
    <a:custClr name="Tropical25">
      <a:srgbClr val="BCE5CD"/>
    </a:custClr>
    <a:custClr name="Tropical30">
      <a:srgbClr val="9ADBC3"/>
    </a:custClr>
    <a:custClr name="Tropical35">
      <a:srgbClr val="7FC7AF"/>
    </a:custClr>
    <a:custClr name="Tropical40">
      <a:srgbClr val="5BA891"/>
    </a:custClr>
    <a:custClr name="Tropical50">
      <a:srgbClr val="368F7D"/>
    </a:custClr>
    <a:custClr name="Tropical60">
      <a:srgbClr val="00756A"/>
    </a:custClr>
    <a:custClr name="Ocean05">
      <a:srgbClr val="F7FAFF"/>
    </a:custClr>
    <a:custClr name="Ocean10">
      <a:srgbClr val="F0F6FF"/>
    </a:custClr>
    <a:custClr name="Ocean15">
      <a:srgbClr val="E6F0FF"/>
    </a:custClr>
    <a:custClr name="Ocean20">
      <a:srgbClr val="DBE9FF"/>
    </a:custClr>
    <a:custClr name="Ocean25">
      <a:srgbClr val="C4DCFF"/>
    </a:custClr>
    <a:custClr name="Ocean30">
      <a:srgbClr val="A3C8FF"/>
    </a:custClr>
    <a:custClr name="Ocean35">
      <a:srgbClr val="85B6FF"/>
    </a:custClr>
    <a:custClr name="Ocean40">
      <a:srgbClr val="5996FF"/>
    </a:custClr>
    <a:custClr name="Ocean50">
      <a:srgbClr val="2977FF"/>
    </a:custClr>
    <a:custClr name="Ocean60">
      <a:srgbClr val="1860F0"/>
    </a:custClr>
    <a:custClr name="Violet05">
      <a:srgbClr val="F8F7FF"/>
    </a:custClr>
    <a:custClr name="Violet10">
      <a:srgbClr val="F3F0FF"/>
    </a:custClr>
    <a:custClr name="Violet15">
      <a:srgbClr val="EFEBFF"/>
    </a:custClr>
    <a:custClr name="Violet20">
      <a:srgbClr val="E6E0FF"/>
    </a:custClr>
    <a:custClr name="Violet25">
      <a:srgbClr val="D9D1FF"/>
    </a:custClr>
    <a:custClr name="Violet30">
      <a:srgbClr val="C8BDFF"/>
    </a:custClr>
    <a:custClr name="Violet35">
      <a:srgbClr val="B7A8FF"/>
    </a:custClr>
    <a:custClr name="Violet40">
      <a:srgbClr val="9785FF"/>
    </a:custClr>
    <a:custClr name="Violet50">
      <a:srgbClr val="7D66FF"/>
    </a:custClr>
    <a:custClr name="Violet60">
      <a:srgbClr val="6855E0"/>
    </a:custClr>
  </a:custClrLst>
  <a:extLst>
    <a:ext uri="{05A4C25C-085E-4340-85A3-A5531E510DB2}">
      <thm15:themeFamily xmlns:thm15="http://schemas.microsoft.com/office/thememl/2012/main" name="Sinch" id="{5E1BD049-3579-4468-B154-67BB2FB7D7EE}" vid="{B445A52D-11C6-4972-B7D3-D2E4D7735332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29BBCBF21362E4099AE6C2F27C58737" ma:contentTypeVersion="21" ma:contentTypeDescription="Skapa ett nytt dokument." ma:contentTypeScope="" ma:versionID="68ac65ad78ed8ad72ce0b448ad40d0f1">
  <xsd:schema xmlns:xsd="http://www.w3.org/2001/XMLSchema" xmlns:xs="http://www.w3.org/2001/XMLSchema" xmlns:p="http://schemas.microsoft.com/office/2006/metadata/properties" xmlns:ns2="10c3a147-0d64-46aa-a281-dc97358e8373" xmlns:ns3="d7532cd0-e888-47d6-8f58-db0210f25002" targetNamespace="http://schemas.microsoft.com/office/2006/metadata/properties" ma:root="true" ma:fieldsID="ca91a0d67ff346b3fa6f7c80739792d8" ns2:_="" ns3:_="">
    <xsd:import namespace="10c3a147-0d64-46aa-a281-dc97358e8373"/>
    <xsd:import namespace="d7532cd0-e888-47d6-8f58-db0210f250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Godk_x00e4_nd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c3a147-0d64-46aa-a281-dc97358e83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Godk_x00e4_nd" ma:index="18" nillable="true" ma:displayName="Godkänd" ma:default="0" ma:format="Dropdown" ma:internalName="Godk_x00e4_nd">
      <xsd:simpleType>
        <xsd:restriction base="dms:Boolea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Bildmarkeringar" ma:readOnly="false" ma:fieldId="{5cf76f15-5ced-4ddc-b409-7134ff3c332f}" ma:taxonomyMulti="true" ma:sspId="e641fc9e-d469-439b-858c-bb315f8f2b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tatus" ma:index="27" nillable="true" ma:displayName="Status" ma:format="RadioButtons" ma:internalName="Status">
      <xsd:simpleType>
        <xsd:restriction base="dms:Choice">
          <xsd:enumeration value="Klar"/>
          <xsd:enumeration value="Gör ej"/>
        </xsd:restriction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532cd0-e888-47d6-8f58-db0210f25002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bb681454-5b20-4870-936e-b523090ef0fb}" ma:internalName="TaxCatchAll" ma:showField="CatchAllData" ma:web="d7532cd0-e888-47d6-8f58-db0210f250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7532cd0-e888-47d6-8f58-db0210f25002" xsi:nil="true"/>
    <lcf76f155ced4ddcb4097134ff3c332f xmlns="10c3a147-0d64-46aa-a281-dc97358e8373">
      <Terms xmlns="http://schemas.microsoft.com/office/infopath/2007/PartnerControls"/>
    </lcf76f155ced4ddcb4097134ff3c332f>
    <Godk_x00e4_nd xmlns="10c3a147-0d64-46aa-a281-dc97358e8373">false</Godk_x00e4_nd>
    <Status xmlns="10c3a147-0d64-46aa-a281-dc97358e8373" xsi:nil="true"/>
  </documentManagement>
</p:properties>
</file>

<file path=customXml/itemProps1.xml><?xml version="1.0" encoding="utf-8"?>
<ds:datastoreItem xmlns:ds="http://schemas.openxmlformats.org/officeDocument/2006/customXml" ds:itemID="{119EF0B7-E069-4EA9-84EB-2283053C4A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DF1D40-E57A-4407-BCD5-27A941E2D9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c3a147-0d64-46aa-a281-dc97358e8373"/>
    <ds:schemaRef ds:uri="d7532cd0-e888-47d6-8f58-db0210f250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937A8C-8756-4670-A220-B5D1AF872B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DCE1F04-932E-4FB5-AE1B-8F976B8D6091}">
  <ds:schemaRefs>
    <ds:schemaRef ds:uri="http://schemas.microsoft.com/office/2006/metadata/properties"/>
    <ds:schemaRef ds:uri="http://schemas.microsoft.com/office/infopath/2007/PartnerControls"/>
    <ds:schemaRef ds:uri="d7532cd0-e888-47d6-8f58-db0210f25002"/>
    <ds:schemaRef ds:uri="10c3a147-0d64-46aa-a281-dc97358e837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A4 with examples.dotx</Template>
  <TotalTime>0</TotalTime>
  <Pages>6</Pages>
  <Words>696</Words>
  <Characters>3970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/>
      <vt:lpstr/>
    </vt:vector>
  </TitlesOfParts>
  <Company>Sinch</Company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Andersson</dc:creator>
  <cp:keywords/>
  <dc:description/>
  <cp:lastModifiedBy>Sara Andersson</cp:lastModifiedBy>
  <cp:revision>2</cp:revision>
  <dcterms:created xsi:type="dcterms:W3CDTF">2026-04-10T13:51:00Z</dcterms:created>
  <dcterms:modified xsi:type="dcterms:W3CDTF">2026-04-28T07:10:00Z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0x010100129BBCBF21362E4099AE6C2F27C58737</vt:lpwstr>
  </property>
  <property fmtid="{D5CDD505-2E9C-101B-9397-08002B2CF9AE}" pid="3" name="MediaServiceImageTags">
    <vt:lpwstr/>
  </property>
</Properties>
</file>