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Zendesk &amp; Tooling Improvement Proposal</w:t>
      </w:r>
    </w:p>
    <w:p>
      <w:pPr>
        <w:pStyle w:val="Subtitle"/>
      </w:pPr>
      <w:r>
        <w:t>Proposal and Implementation Plan</w:t>
      </w:r>
    </w:p>
    <w:p>
      <w:pPr>
        <w:jc w:val="center"/>
      </w:pPr>
      <w:r>
        <w:rPr>
          <w:color w:val="666666"/>
        </w:rPr>
        <w:t>EMEA Team Lead · First 30 Days · Problem, Change, Implementation, Measurement</w:t>
      </w:r>
    </w:p>
    <w:p>
      <w:pPr>
        <w:pStyle w:val="Heading1"/>
      </w:pPr>
      <w:r>
        <w:rPr/>
        <w:t>Executive Summary</w:t>
      </w:r>
    </w:p>
    <w:p>
      <w:pPr>
        <w:jc w:val="both"/>
      </w:pPr>
      <w:r>
        <w:rPr/>
        <w:t>After two weeks as EMEA Team Lead, I have identified three friction points in how we use Zendesk. Two were directly observed in day-to-day operations: duplicate tickets created when customers reply on the same issue, and supplier escalation updates that do not reopen or surface on the parent customer ticket (functionality we previously had in JIRA). One additional issue is proposed for evaluation: stale on-hold tickets without automated nudges.</w:t>
      </w:r>
    </w:p>
    <w:p>
      <w:pPr>
        <w:jc w:val="both"/>
      </w:pPr>
      <w:r>
        <w:rPr/>
        <w:t>This document is in two parts. Part 1 is the proposal: for each issue it sets out what the problem is, what I would change and why, how to implement it without disrupting customers, and how to measure success. Part 2 is the detailed step-by-step implementation plan, with phased projects, deliverables, success criteria, and rollback for a 30, 60, 90-day review.</w:t>
      </w:r>
    </w:p>
    <w:p>
      <w:pPr>
        <w:pStyle w:val="Heading1"/>
      </w:pPr>
      <w:r>
        <w:rPr/>
        <w:t>Part 1, The Proposal</w:t>
      </w:r>
    </w:p>
    <w:p>
      <w:pPr>
        <w:jc w:val="both"/>
      </w:pPr>
      <w:r>
        <w:rPr/>
        <w:t>Each issue below follows the structure the brief asks for: what the problem is, what I would change and why, how to implement it without disrupting customers, and how to measure success.</w:t>
      </w:r>
    </w:p>
    <w:p>
      <w:pPr>
        <w:pStyle w:val="Heading1"/>
      </w:pPr>
      <w:r>
        <w:rPr/>
        <w:t>Issue 1: Duplicate Tickets When Customers Reply on the Same Issue</w:t>
      </w:r>
    </w:p>
    <w:p>
      <w:pPr>
        <w:jc w:val="both"/>
      </w:pPr>
      <w:r>
        <w:rPr>
          <w:i/>
        </w:rPr>
        <w:t>Directly observed in EMEA support operations.</w:t>
      </w:r>
    </w:p>
    <w:p>
      <w:pPr>
        <w:pStyle w:val="Heading2"/>
      </w:pPr>
      <w:r>
        <w:rPr/>
        <w:t>What the problem is</w:t>
      </w:r>
    </w:p>
    <w:p>
      <w:pPr>
        <w:jc w:val="both"/>
      </w:pPr>
      <w:r>
        <w:rPr/>
        <w:t>When a customer follows up on an issue that is already being worked, or replies to a ticket that has been marked Solved or Closed, Zendesk frequently creates a brand-new ticket instead of attaching the reply to the existing record. The customer believes they are continuing one conversation. The system treats it as a new case.</w:t>
      </w:r>
    </w:p>
    <w:p>
      <w:pPr>
        <w:jc w:val="both"/>
      </w:pPr>
      <w:r>
        <w:rPr/>
        <w:t>This is not a single misconfiguration. It is a combination of email threading behaviour, closed-ticket policy, multiple support channels, and inconsistent use of organization and contact records. The result is fragmented history: two or more agents may work the same underlying problem without seeing each other's notes, macros applied, or supplier escalations already in flight.</w:t>
      </w:r>
    </w:p>
    <w:p>
      <w:pPr>
        <w:jc w:val="both"/>
      </w:pPr>
      <w:r>
        <w:rPr/>
        <w:t>Duplicates are often discovered only when a customer complains ("I already have ticket #48291, why did I get #48312?") or when a TAM notices inflated incident counts before a QBR. By then, duplicate effort has already been spent.</w:t>
      </w:r>
    </w:p>
    <w:p>
      <w:pPr>
        <w:pStyle w:val="Heading3"/>
      </w:pPr>
      <w:r>
        <w:rPr/>
        <w:t>Who is affected</w:t>
      </w:r>
    </w:p>
    <w:p>
      <w:pPr>
        <w:pStyle w:val="ListBullet"/>
      </w:pPr>
      <w:r>
        <w:rPr/>
        <w:t>Support agents, duplicate investigation, conflicting responses, wasted handle time</w:t>
      </w:r>
    </w:p>
    <w:p>
      <w:pPr>
        <w:pStyle w:val="ListBullet"/>
      </w:pPr>
      <w:r>
        <w:rPr/>
        <w:t>Customers, multiple ticket numbers, repeated questions, slower resolution</w:t>
      </w:r>
    </w:p>
    <w:p>
      <w:pPr>
        <w:pStyle w:val="ListBullet"/>
      </w:pPr>
      <w:r>
        <w:rPr/>
        <w:t>TAMs, inaccurate account health data (ticket volume, MTTR, reopen rates)</w:t>
      </w:r>
    </w:p>
    <w:p>
      <w:pPr>
        <w:pStyle w:val="ListBullet"/>
      </w:pPr>
      <w:r>
        <w:rPr/>
        <w:t>Leadership, unreliable reporting for SLA reviews and capacity planning</w:t>
      </w:r>
    </w:p>
    <w:p>
      <w:pPr>
        <w:pStyle w:val="ListBullet"/>
      </w:pPr>
      <w:r>
        <w:rPr/>
        <w:t>Zendesk admins, reactive merge requests instead of prevention at source</w:t>
      </w:r>
    </w:p>
    <w:p>
      <w:pPr>
        <w:pStyle w:val="Heading3"/>
      </w:pPr>
      <w:r>
        <w:rPr/>
        <w:t>Real-world scenario</w:t>
      </w:r>
    </w:p>
    <w:p>
      <w:pPr>
        <w:jc w:val="both"/>
      </w:pPr>
      <w:r>
        <w:rPr/>
        <w:t>A enterprise customer opens a P2 SMS delivery issue on Monday. The agent troubleshoots, escalates to a carrier, and sets the ticket On-hold. On Wednesday the ticket is marked Solved with a summary email. On Thursday the customer replies to that email: "Delivery is still failing on route X."</w:t>
      </w:r>
    </w:p>
    <w:p>
      <w:pPr>
        <w:jc w:val="both"/>
      </w:pPr>
      <w:r>
        <w:rPr/>
        <w:t>Because the ticket was Solved and the reply hits the closed-ticket follow-up rule, Zendesk creates ticket #48312 instead of reopening #48100. A different agent picks it up in the morning queue. They ask the customer for logs that were already provided two days earlier. The carrier escalation on the original ticket is invisible on the new record. MTTR clocks restart. The customer loses confidence.</w:t>
      </w:r>
    </w:p>
    <w:p>
      <w:pPr>
        <w:pStyle w:val="Heading3"/>
      </w:pPr>
      <w:r>
        <w:rPr/>
        <w:t>Root causes</w:t>
      </w:r>
    </w:p>
    <w:p>
      <w:pPr>
        <w:pStyle w:val="ListBullet"/>
      </w:pPr>
      <w:r>
        <w:rPr/>
        <w:t>Closed-ticket follow-up policy set to "create new ticket" rather than reopen or linked follow-up</w:t>
      </w:r>
    </w:p>
    <w:p>
      <w:pPr>
        <w:pStyle w:val="ListBullet"/>
      </w:pPr>
      <w:r>
        <w:rPr/>
        <w:t>Email subject lines changed by customers or mail clients, breaking In-Reply-To threading</w:t>
      </w:r>
    </w:p>
    <w:p>
      <w:pPr>
        <w:pStyle w:val="ListBullet"/>
      </w:pPr>
      <w:r>
        <w:rPr/>
        <w:t>Multiple inbound channels (web form, email alias, API) creating separate entry points</w:t>
      </w:r>
    </w:p>
    <w:p>
      <w:pPr>
        <w:pStyle w:val="ListBullet"/>
      </w:pPr>
      <w:r>
        <w:rPr/>
        <w:t>Customer replies from a different email address not linked to the same Zendesk contact</w:t>
      </w:r>
    </w:p>
    <w:p>
      <w:pPr>
        <w:pStyle w:val="ListBullet"/>
      </w:pPr>
      <w:r>
        <w:rPr/>
        <w:t>No automated duplicate detection at ticket creation time</w:t>
      </w:r>
    </w:p>
    <w:p>
      <w:pPr>
        <w:pStyle w:val="ListBullet"/>
      </w:pPr>
      <w:r>
        <w:rPr/>
        <w:t>Enterprise customers CC multiple colleagues, each generating separate requester threads</w:t>
      </w:r>
    </w:p>
    <w:p>
      <w:pPr>
        <w:pStyle w:val="ListBullet"/>
      </w:pPr>
      <w:r>
        <w:rPr/>
        <w:t>Triggers that assign new tickets before merge or similarity checks run</w:t>
      </w:r>
    </w:p>
    <w:p>
      <w:pPr>
        <w:pStyle w:val="Heading3"/>
      </w:pPr>
      <w:r>
        <w:rPr/>
        <w:t>Business impact</w:t>
      </w:r>
    </w:p>
    <w:p>
      <w:pPr>
        <w:pStyle w:val="ListBullet"/>
      </w:pPr>
      <w:r>
        <w:rPr/>
        <w:t>Inflated ticket volumes distort operational metrics and QBR narratives</w:t>
      </w:r>
    </w:p>
    <w:p>
      <w:pPr>
        <w:pStyle w:val="ListBullet"/>
      </w:pPr>
      <w:r>
        <w:rPr/>
        <w:t>Duplicate handle time, estimated 15-30 minutes per duplicate cluster for enterprise tickets</w:t>
      </w:r>
    </w:p>
    <w:p>
      <w:pPr>
        <w:pStyle w:val="ListBullet"/>
      </w:pPr>
      <w:r>
        <w:rPr/>
        <w:t>Increased risk of contradictory customer communication</w:t>
      </w:r>
    </w:p>
    <w:p>
      <w:pPr>
        <w:pStyle w:val="ListBullet"/>
      </w:pPr>
      <w:r>
        <w:rPr/>
        <w:t>SLA and MTTR metrics become unreliable for account-level reporting</w:t>
      </w:r>
    </w:p>
    <w:p>
      <w:pPr>
        <w:pStyle w:val="ListBullet"/>
      </w:pPr>
      <w:r>
        <w:rPr/>
        <w:t>Customer frustration and escalations to TAMs or account directors</w:t>
      </w:r>
    </w:p>
    <w:p>
      <w:pPr>
        <w:pStyle w:val="Heading2"/>
      </w:pPr>
      <w:r>
        <w:rPr/>
        <w:t>What I would change and why</w:t>
      </w:r>
    </w:p>
    <w:p>
      <w:pPr>
        <w:pStyle w:val="Heading3"/>
      </w:pPr>
      <w:r>
        <w:rPr/>
        <w:t>A. Standardise closed-ticket follow-up behaviour</w:t>
      </w:r>
    </w:p>
    <w:p>
      <w:pPr>
        <w:jc w:val="both"/>
      </w:pPr>
      <w:r>
        <w:rPr/>
        <w:t>Enable "Allow follow-ups on closed tickets" in Zendesk with an explicit policy documented in the agent playbook:</w:t>
      </w:r>
    </w:p>
    <w:p>
      <w:pPr>
        <w:pStyle w:val="ListBullet"/>
      </w:pPr>
      <w:r>
        <w:rPr/>
        <w:t>If closed ≤ 7 days AND same requester AND same organization to reopen the original ticket and notify the prior assignee</w:t>
      </w:r>
    </w:p>
    <w:p>
      <w:pPr>
        <w:pStyle w:val="ListBullet"/>
      </w:pPr>
      <w:r>
        <w:rPr/>
        <w:t>If closed &gt; 7 days to create a linked follow-up ticket that references the parent ID (preserves historical SLA data on the original)</w:t>
      </w:r>
    </w:p>
    <w:p>
      <w:pPr>
        <w:jc w:val="both"/>
      </w:pPr>
      <w:r>
        <w:rPr/>
        <w:t>Why: The majority of "same issue" replies happen within a week of closure. Reopening preserves context. Older closures get a clean follow-up without corrupting historical metrics.</w:t>
      </w:r>
    </w:p>
    <w:p>
      <w:pPr>
        <w:pStyle w:val="Heading3"/>
      </w:pPr>
      <w:r>
        <w:rPr/>
        <w:t>B. Duplicate-detection automation at creation</w:t>
      </w:r>
    </w:p>
    <w:p>
      <w:pPr>
        <w:jc w:val="both"/>
      </w:pPr>
      <w:r>
        <w:rPr/>
        <w:t>Build a Zendesk trigger that runs when a new ticket is created:</w:t>
      </w:r>
    </w:p>
    <w:p>
      <w:pPr>
        <w:pStyle w:val="ListBullet"/>
      </w:pPr>
      <w:r>
        <w:rPr/>
        <w:t>Check if the same organization + requester has an open, pending, or on-hold ticket in the last 14 days</w:t>
      </w:r>
    </w:p>
    <w:p>
      <w:pPr>
        <w:pStyle w:val="ListBullet"/>
      </w:pPr>
      <w:r>
        <w:rPr/>
        <w:t>Compare subject line similarity (contains match or Levenshtein threshold) OR match on custom field Issue Reference</w:t>
      </w:r>
    </w:p>
    <w:p>
      <w:pPr>
        <w:pStyle w:val="ListBullet"/>
      </w:pPr>
      <w:r>
        <w:rPr/>
        <w:t>Action: add internal note "Possible duplicate of #{{ticket.id}}, review before responding", notify assignee of the existing ticket, apply tag possible_duplicate</w:t>
      </w:r>
    </w:p>
    <w:p>
      <w:pPr>
        <w:jc w:val="both"/>
      </w:pPr>
      <w:r>
        <w:rPr/>
        <w:t>Phase 2: auto-merge when email Message-ID, In-Reply-To headers confirm same thread</w:t>
      </w:r>
    </w:p>
    <w:p>
      <w:pPr>
        <w:jc w:val="both"/>
      </w:pPr>
      <w:r>
        <w:rPr/>
        <w:t>Why: Prevention at creation is cheaper than merge-after-the-fact. Agents keep control in phase 1, automation handles only high-confidence cases later.</w:t>
      </w:r>
    </w:p>
    <w:p>
      <w:pPr>
        <w:pStyle w:val="Heading3"/>
      </w:pPr>
      <w:r>
        <w:rPr/>
        <w:t>C. Email channel and template hygiene</w:t>
      </w:r>
    </w:p>
    <w:p>
      <w:pPr>
        <w:jc w:val="both"/>
      </w:pPr>
      <w:r>
        <w:rPr/>
        <w:t>Audit all inbound support addresses, forwarding rules, and brand aliases for EMEA</w:t>
      </w:r>
    </w:p>
    <w:p>
      <w:pPr>
        <w:jc w:val="both"/>
      </w:pPr>
      <w:r>
        <w:rPr/>
        <w:t>Standardise outbound subject format: [Ticket #{{ticket.id}}] {{ticket.title}}, never strip the ID in notifications</w:t>
      </w:r>
    </w:p>
    <w:p>
      <w:pPr>
        <w:jc w:val="both"/>
      </w:pPr>
      <w:r>
        <w:rPr/>
        <w:t>Update auto-acknowledgement and solved-ticket templates to say: "Please reply to this email to continue the same case. Your ticket number is #{{ticket.id}}."</w:t>
      </w:r>
    </w:p>
    <w:p>
      <w:pPr>
        <w:jc w:val="both"/>
      </w:pPr>
      <w:r>
        <w:rPr/>
        <w:t>Ensure SPF/DKIM/DMARC are correct so replies are not re-routed as new messages</w:t>
      </w:r>
    </w:p>
    <w:p>
      <w:pPr>
        <w:jc w:val="both"/>
      </w:pPr>
      <w:r>
        <w:rPr/>
        <w:t>Why: Most threading breaks are email-header problems, not agent errors. Fixing templates is zero-disruption to workflow.</w:t>
      </w:r>
    </w:p>
    <w:p>
      <w:pPr>
        <w:pStyle w:val="Heading3"/>
      </w:pPr>
      <w:r>
        <w:rPr/>
        <w:t>D. Mandatory Issue Reference field for enterprise accounts</w:t>
      </w:r>
    </w:p>
    <w:p>
      <w:pPr>
        <w:jc w:val="both"/>
      </w:pPr>
      <w:r>
        <w:rPr/>
        <w:t>Add custom field issue_reference (text) on enterprise ticket forms</w:t>
      </w:r>
    </w:p>
    <w:p>
      <w:pPr>
        <w:jc w:val="both"/>
      </w:pPr>
      <w:r>
        <w:rPr/>
        <w:t>Agents populate on first touch or inherit from customer portal, TAM-provided case ID</w:t>
      </w:r>
    </w:p>
    <w:p>
      <w:pPr>
        <w:jc w:val="both"/>
      </w:pPr>
      <w:r>
        <w:rPr/>
        <w:t>Duplicate detection prioritises matching issue_reference over fuzzy subject match</w:t>
      </w:r>
    </w:p>
    <w:p>
      <w:pPr>
        <w:jc w:val="both"/>
      </w:pPr>
      <w:r>
        <w:rPr/>
        <w:t>Why: Enterprise customers often use helpdesk systems that rewrite subject lines. A shared reference is more reliable than subject matching alone.</w:t>
      </w:r>
    </w:p>
    <w:p>
      <w:pPr>
        <w:pStyle w:val="Heading2"/>
      </w:pPr>
      <w:r>
        <w:rPr/>
        <w:t>How to implement without disrupting customers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523"/>
        <w:gridCol w:w="2523"/>
        <w:gridCol w:w="2523"/>
        <w:gridCol w:w="2523"/>
      </w:tblGrid>
      <w:tr>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Phase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Timeline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Actions</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Customer impact</w:t>
            </w:r>
          </w:p>
        </w:tc>
      </w:tr>
      <w:tr>
        <w:tc>
          <w:tcPr>
            <w:tcW w:type="dxa" w:w="2523"/>
            <w:vAlign w:val="center"/>
            <w:tcMar>
              <w:top w:w="60" w:type="dxa"/>
              <w:bottom w:w="60" w:type="dxa"/>
              <w:left w:w="110" w:type="dxa"/>
              <w:right w:w="110" w:type="dxa"/>
            </w:tcMar>
          </w:tcPr>
          <w:p>
            <w:pPr>
              <w:spacing w:after="40" w:before="40"/>
            </w:pPr>
            <w:r>
              <w:rPr>
                <w:sz w:val="22"/>
                <w:szCs w:val="22"/>
              </w:rPr>
              <w:t>Discover</w:t>
            </w:r>
          </w:p>
        </w:tc>
        <w:tc>
          <w:tcPr>
            <w:tcW w:type="dxa" w:w="2523"/>
            <w:vAlign w:val="center"/>
            <w:tcMar>
              <w:top w:w="60" w:type="dxa"/>
              <w:bottom w:w="60" w:type="dxa"/>
              <w:left w:w="110" w:type="dxa"/>
              <w:right w:w="110" w:type="dxa"/>
            </w:tcMar>
          </w:tcPr>
          <w:p>
            <w:pPr>
              <w:spacing w:after="40" w:before="40"/>
            </w:pPr>
            <w:r>
              <w:rPr>
                <w:sz w:val="22"/>
                <w:szCs w:val="22"/>
              </w:rPr>
              <w:t>Week 1-2</w:t>
            </w:r>
          </w:p>
        </w:tc>
        <w:tc>
          <w:tcPr>
            <w:tcW w:type="dxa" w:w="2523"/>
            <w:vAlign w:val="center"/>
            <w:tcMar>
              <w:top w:w="60" w:type="dxa"/>
              <w:bottom w:w="60" w:type="dxa"/>
              <w:left w:w="110" w:type="dxa"/>
              <w:right w:w="110" w:type="dxa"/>
            </w:tcMar>
          </w:tcPr>
          <w:p>
            <w:pPr>
              <w:spacing w:after="40" w:before="40"/>
            </w:pPr>
            <w:r>
              <w:rPr>
                <w:sz w:val="22"/>
                <w:szCs w:val="22"/>
              </w:rPr>
              <w:t>Export 90 days of tickets, identify merge patterns (same org, same day, similar subject), audit email channels and closed-ticket settings</w:t>
            </w:r>
          </w:p>
        </w:tc>
        <w:tc>
          <w:tcPr>
            <w:tcW w:type="dxa" w:w="2523"/>
            <w:vAlign w:val="center"/>
            <w:tcMar>
              <w:top w:w="60" w:type="dxa"/>
              <w:bottom w:w="60" w:type="dxa"/>
              <w:left w:w="110" w:type="dxa"/>
              <w:right w:w="110" w:type="dxa"/>
            </w:tcMar>
          </w:tcPr>
          <w:p>
            <w:pPr>
              <w:spacing w:after="40" w:before="40"/>
            </w:pPr>
            <w:r>
              <w:rPr>
                <w:sz w:val="22"/>
                <w:szCs w:val="22"/>
              </w:rPr>
              <w:t>None, internal analysis</w:t>
            </w:r>
          </w:p>
        </w:tc>
      </w:tr>
      <w:tr>
        <w:tc>
          <w:tcPr>
            <w:tcW w:type="dxa" w:w="2523"/>
            <w:vAlign w:val="center"/>
            <w:tcMar>
              <w:top w:w="60" w:type="dxa"/>
              <w:bottom w:w="60" w:type="dxa"/>
              <w:left w:w="110" w:type="dxa"/>
              <w:right w:w="110" w:type="dxa"/>
            </w:tcMar>
          </w:tcPr>
          <w:p>
            <w:pPr>
              <w:spacing w:after="40" w:before="40"/>
            </w:pPr>
            <w:r>
              <w:rPr>
                <w:sz w:val="22"/>
                <w:szCs w:val="22"/>
              </w:rPr>
              <w:t>Design</w:t>
            </w:r>
          </w:p>
        </w:tc>
        <w:tc>
          <w:tcPr>
            <w:tcW w:type="dxa" w:w="2523"/>
            <w:vAlign w:val="center"/>
            <w:tcMar>
              <w:top w:w="60" w:type="dxa"/>
              <w:bottom w:w="60" w:type="dxa"/>
              <w:left w:w="110" w:type="dxa"/>
              <w:right w:w="110" w:type="dxa"/>
            </w:tcMar>
          </w:tcPr>
          <w:p>
            <w:pPr>
              <w:spacing w:after="40" w:before="40"/>
            </w:pPr>
            <w:r>
              <w:rPr>
                <w:sz w:val="22"/>
                <w:szCs w:val="22"/>
              </w:rPr>
              <w:t>Week 2-3</w:t>
            </w:r>
          </w:p>
        </w:tc>
        <w:tc>
          <w:tcPr>
            <w:tcW w:type="dxa" w:w="2523"/>
            <w:vAlign w:val="center"/>
            <w:tcMar>
              <w:top w:w="60" w:type="dxa"/>
              <w:bottom w:w="60" w:type="dxa"/>
              <w:left w:w="110" w:type="dxa"/>
              <w:right w:w="110" w:type="dxa"/>
            </w:tcMar>
          </w:tcPr>
          <w:p>
            <w:pPr>
              <w:spacing w:after="40" w:before="40"/>
            </w:pPr>
            <w:r>
              <w:rPr>
                <w:sz w:val="22"/>
                <w:szCs w:val="22"/>
              </w:rPr>
              <w:t>Document follow-up policy, write trigger specs with Zendesk admin, update email templates in sandbox</w:t>
            </w:r>
          </w:p>
        </w:tc>
        <w:tc>
          <w:tcPr>
            <w:tcW w:type="dxa" w:w="2523"/>
            <w:vAlign w:val="center"/>
            <w:tcMar>
              <w:top w:w="60" w:type="dxa"/>
              <w:bottom w:w="60" w:type="dxa"/>
              <w:left w:w="110" w:type="dxa"/>
              <w:right w:w="110" w:type="dxa"/>
            </w:tcMar>
          </w:tcPr>
          <w:p>
            <w:pPr>
              <w:spacing w:after="40" w:before="40"/>
            </w:pPr>
            <w:r>
              <w:rPr>
                <w:sz w:val="22"/>
                <w:szCs w:val="22"/>
              </w:rPr>
              <w:t>None</w:t>
            </w:r>
          </w:p>
        </w:tc>
      </w:tr>
      <w:tr>
        <w:tc>
          <w:tcPr>
            <w:tcW w:type="dxa" w:w="2523"/>
            <w:vAlign w:val="center"/>
            <w:tcMar>
              <w:top w:w="60" w:type="dxa"/>
              <w:bottom w:w="60" w:type="dxa"/>
              <w:left w:w="110" w:type="dxa"/>
              <w:right w:w="110" w:type="dxa"/>
            </w:tcMar>
          </w:tcPr>
          <w:p>
            <w:pPr>
              <w:spacing w:after="40" w:before="40"/>
            </w:pPr>
            <w:r>
              <w:rPr>
                <w:sz w:val="22"/>
                <w:szCs w:val="22"/>
              </w:rPr>
              <w:t>Pilot</w:t>
            </w:r>
          </w:p>
        </w:tc>
        <w:tc>
          <w:tcPr>
            <w:tcW w:type="dxa" w:w="2523"/>
            <w:vAlign w:val="center"/>
            <w:tcMar>
              <w:top w:w="60" w:type="dxa"/>
              <w:bottom w:w="60" w:type="dxa"/>
              <w:left w:w="110" w:type="dxa"/>
              <w:right w:w="110" w:type="dxa"/>
            </w:tcMar>
          </w:tcPr>
          <w:p>
            <w:pPr>
              <w:spacing w:after="40" w:before="40"/>
            </w:pPr>
            <w:r>
              <w:rPr>
                <w:sz w:val="22"/>
                <w:szCs w:val="22"/>
              </w:rPr>
              <w:t>Week 3-4</w:t>
            </w:r>
          </w:p>
        </w:tc>
        <w:tc>
          <w:tcPr>
            <w:tcW w:type="dxa" w:w="2523"/>
            <w:vAlign w:val="center"/>
            <w:tcMar>
              <w:top w:w="60" w:type="dxa"/>
              <w:bottom w:w="60" w:type="dxa"/>
              <w:left w:w="110" w:type="dxa"/>
              <w:right w:w="110" w:type="dxa"/>
            </w:tcMar>
          </w:tcPr>
          <w:p>
            <w:pPr>
              <w:spacing w:after="40" w:before="40"/>
            </w:pPr>
            <w:r>
              <w:rPr>
                <w:sz w:val="22"/>
                <w:szCs w:val="22"/>
              </w:rPr>
              <w:t>Enable follow-up-on-closed in sandbox, one EMEA pod, duplicate suggestions only (no auto-merge)</w:t>
            </w:r>
          </w:p>
        </w:tc>
        <w:tc>
          <w:tcPr>
            <w:tcW w:type="dxa" w:w="2523"/>
            <w:vAlign w:val="center"/>
            <w:tcMar>
              <w:top w:w="60" w:type="dxa"/>
              <w:bottom w:w="60" w:type="dxa"/>
              <w:left w:w="110" w:type="dxa"/>
              <w:right w:w="110" w:type="dxa"/>
            </w:tcMar>
          </w:tcPr>
          <w:p>
            <w:pPr>
              <w:spacing w:after="40" w:before="40"/>
            </w:pPr>
            <w:r>
              <w:rPr>
                <w:sz w:val="22"/>
                <w:szCs w:val="22"/>
              </w:rPr>
              <w:t>None, internal only</w:t>
            </w:r>
          </w:p>
        </w:tc>
      </w:tr>
      <w:tr>
        <w:tc>
          <w:tcPr>
            <w:tcW w:type="dxa" w:w="2523"/>
            <w:vAlign w:val="center"/>
            <w:tcMar>
              <w:top w:w="60" w:type="dxa"/>
              <w:bottom w:w="60" w:type="dxa"/>
              <w:left w:w="110" w:type="dxa"/>
              <w:right w:w="110" w:type="dxa"/>
            </w:tcMar>
          </w:tcPr>
          <w:p>
            <w:pPr>
              <w:spacing w:after="40" w:before="40"/>
            </w:pPr>
            <w:r>
              <w:rPr>
                <w:sz w:val="22"/>
                <w:szCs w:val="22"/>
              </w:rPr>
              <w:t>Roll out</w:t>
            </w:r>
          </w:p>
        </w:tc>
        <w:tc>
          <w:tcPr>
            <w:tcW w:type="dxa" w:w="2523"/>
            <w:vAlign w:val="center"/>
            <w:tcMar>
              <w:top w:w="60" w:type="dxa"/>
              <w:bottom w:w="60" w:type="dxa"/>
              <w:left w:w="110" w:type="dxa"/>
              <w:right w:w="110" w:type="dxa"/>
            </w:tcMar>
          </w:tcPr>
          <w:p>
            <w:pPr>
              <w:spacing w:after="40" w:before="40"/>
            </w:pPr>
            <w:r>
              <w:rPr>
                <w:sz w:val="22"/>
                <w:szCs w:val="22"/>
              </w:rPr>
              <w:t>Week 5-6</w:t>
            </w:r>
          </w:p>
        </w:tc>
        <w:tc>
          <w:tcPr>
            <w:tcW w:type="dxa" w:w="2523"/>
            <w:vAlign w:val="center"/>
            <w:tcMar>
              <w:top w:w="60" w:type="dxa"/>
              <w:bottom w:w="60" w:type="dxa"/>
              <w:left w:w="110" w:type="dxa"/>
              <w:right w:w="110" w:type="dxa"/>
            </w:tcMar>
          </w:tcPr>
          <w:p>
            <w:pPr>
              <w:spacing w:after="40" w:before="40"/>
            </w:pPr>
            <w:r>
              <w:rPr>
                <w:sz w:val="22"/>
                <w:szCs w:val="22"/>
              </w:rPr>
              <w:t>Production follow-up policy, template updates, 15-min agent huddle + quick reference card</w:t>
            </w:r>
          </w:p>
        </w:tc>
        <w:tc>
          <w:tcPr>
            <w:tcW w:type="dxa" w:w="2523"/>
            <w:vAlign w:val="center"/>
            <w:tcMar>
              <w:top w:w="60" w:type="dxa"/>
              <w:bottom w:w="60" w:type="dxa"/>
              <w:left w:w="110" w:type="dxa"/>
              <w:right w:w="110" w:type="dxa"/>
            </w:tcMar>
          </w:tcPr>
          <w:p>
            <w:pPr>
              <w:spacing w:after="40" w:before="40"/>
            </w:pPr>
            <w:r>
              <w:rPr>
                <w:sz w:val="22"/>
                <w:szCs w:val="22"/>
              </w:rPr>
              <w:t>Minor, clearer ticket IDs in email subjects</w:t>
            </w:r>
          </w:p>
        </w:tc>
      </w:tr>
      <w:tr>
        <w:tc>
          <w:tcPr>
            <w:tcW w:type="dxa" w:w="2523"/>
            <w:vAlign w:val="center"/>
            <w:tcMar>
              <w:top w:w="60" w:type="dxa"/>
              <w:bottom w:w="60" w:type="dxa"/>
              <w:left w:w="110" w:type="dxa"/>
              <w:right w:w="110" w:type="dxa"/>
            </w:tcMar>
          </w:tcPr>
          <w:p>
            <w:pPr>
              <w:spacing w:after="40" w:before="40"/>
            </w:pPr>
            <w:r>
              <w:rPr>
                <w:sz w:val="22"/>
                <w:szCs w:val="22"/>
              </w:rPr>
              <w:t>Optimise</w:t>
            </w:r>
          </w:p>
        </w:tc>
        <w:tc>
          <w:tcPr>
            <w:tcW w:type="dxa" w:w="2523"/>
            <w:vAlign w:val="center"/>
            <w:tcMar>
              <w:top w:w="60" w:type="dxa"/>
              <w:bottom w:w="60" w:type="dxa"/>
              <w:left w:w="110" w:type="dxa"/>
              <w:right w:w="110" w:type="dxa"/>
            </w:tcMar>
          </w:tcPr>
          <w:p>
            <w:pPr>
              <w:spacing w:after="40" w:before="40"/>
            </w:pPr>
            <w:r>
              <w:rPr>
                <w:sz w:val="22"/>
                <w:szCs w:val="22"/>
              </w:rPr>
              <w:t>Week 7-12</w:t>
            </w:r>
          </w:p>
        </w:tc>
        <w:tc>
          <w:tcPr>
            <w:tcW w:type="dxa" w:w="2523"/>
            <w:vAlign w:val="center"/>
            <w:tcMar>
              <w:top w:w="60" w:type="dxa"/>
              <w:bottom w:w="60" w:type="dxa"/>
              <w:left w:w="110" w:type="dxa"/>
              <w:right w:w="110" w:type="dxa"/>
            </w:tcMar>
          </w:tcPr>
          <w:p>
            <w:pPr>
              <w:spacing w:after="40" w:before="40"/>
            </w:pPr>
            <w:r>
              <w:rPr>
                <w:sz w:val="22"/>
                <w:szCs w:val="22"/>
              </w:rPr>
              <w:t>Enable high-confidence auto-merge, refine triggers from pilot false-positive rate</w:t>
            </w:r>
          </w:p>
        </w:tc>
        <w:tc>
          <w:tcPr>
            <w:tcW w:type="dxa" w:w="2523"/>
            <w:vAlign w:val="center"/>
            <w:tcMar>
              <w:top w:w="60" w:type="dxa"/>
              <w:bottom w:w="60" w:type="dxa"/>
              <w:left w:w="110" w:type="dxa"/>
              <w:right w:w="110" w:type="dxa"/>
            </w:tcMar>
          </w:tcPr>
          <w:p>
            <w:pPr>
              <w:spacing w:after="40" w:before="40"/>
            </w:pPr>
            <w:r>
              <w:rPr>
                <w:sz w:val="22"/>
                <w:szCs w:val="22"/>
              </w:rPr>
              <w:t>Positive, fewer duplicate ticket numbers</w:t>
            </w:r>
          </w:p>
        </w:tc>
      </w:tr>
    </w:tbl>
    <w:p>
      <w:pPr>
        <w:jc w:val="both"/>
      </w:pPr>
    </w:p>
    <w:p>
      <w:pPr>
        <w:pStyle w:val="Heading3"/>
      </w:pPr>
      <w:r>
        <w:rPr/>
        <w:t>Safeguards</w:t>
      </w:r>
    </w:p>
    <w:p>
      <w:pPr>
        <w:pStyle w:val="ListBullet"/>
      </w:pPr>
      <w:r>
        <w:rPr/>
        <w:t>Phase 1: suggest-only duplicates, never auto-merge without assignee acknowledgement</w:t>
      </w:r>
    </w:p>
    <w:p>
      <w:pPr>
        <w:pStyle w:val="ListBullet"/>
      </w:pPr>
      <w:r>
        <w:rPr/>
        <w:t>Flag strategic, TAM-managed accounts for manual review before any merge</w:t>
      </w:r>
    </w:p>
    <w:p>
      <w:pPr>
        <w:pStyle w:val="ListBullet"/>
      </w:pPr>
      <w:r>
        <w:rPr/>
        <w:t>Each trigger can be disabled independently for rollback</w:t>
      </w:r>
    </w:p>
    <w:p>
      <w:pPr>
        <w:pStyle w:val="ListBullet"/>
      </w:pPr>
      <w:r>
        <w:rPr/>
        <w:t>Weekly review of false positives in first 30 days of production</w:t>
      </w:r>
    </w:p>
    <w:p>
      <w:pPr>
        <w:pStyle w:val="Heading2"/>
      </w:pPr>
      <w:r>
        <w:rPr/>
        <w:t>How to measure success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523"/>
        <w:gridCol w:w="2523"/>
        <w:gridCol w:w="2523"/>
        <w:gridCol w:w="2523"/>
      </w:tblGrid>
      <w:tr>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Metric</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How to measure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Baseline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90-day target</w:t>
            </w:r>
          </w:p>
        </w:tc>
      </w:tr>
      <w:tr>
        <w:tc>
          <w:tcPr>
            <w:tcW w:type="dxa" w:w="2523"/>
            <w:vAlign w:val="center"/>
            <w:tcMar>
              <w:top w:w="60" w:type="dxa"/>
              <w:bottom w:w="60" w:type="dxa"/>
              <w:left w:w="110" w:type="dxa"/>
              <w:right w:w="110" w:type="dxa"/>
            </w:tcMar>
          </w:tcPr>
          <w:p>
            <w:pPr>
              <w:spacing w:after="40" w:before="40"/>
            </w:pPr>
            <w:r>
              <w:rPr>
                <w:sz w:val="22"/>
                <w:szCs w:val="22"/>
              </w:rPr>
              <w:t>Duplicate ticket rate</w:t>
            </w:r>
          </w:p>
        </w:tc>
        <w:tc>
          <w:tcPr>
            <w:tcW w:type="dxa" w:w="2523"/>
            <w:vAlign w:val="center"/>
            <w:tcMar>
              <w:top w:w="60" w:type="dxa"/>
              <w:bottom w:w="60" w:type="dxa"/>
              <w:left w:w="110" w:type="dxa"/>
              <w:right w:w="110" w:type="dxa"/>
            </w:tcMar>
          </w:tcPr>
          <w:p>
            <w:pPr>
              <w:spacing w:after="40" w:before="40"/>
            </w:pPr>
            <w:r>
              <w:rPr>
                <w:sz w:val="22"/>
                <w:szCs w:val="22"/>
              </w:rPr>
              <w:t>Tickets merged within 48h of creation ÷ total new tickets</w:t>
            </w:r>
          </w:p>
        </w:tc>
        <w:tc>
          <w:tcPr>
            <w:tcW w:type="dxa" w:w="2523"/>
            <w:vAlign w:val="center"/>
            <w:tcMar>
              <w:top w:w="60" w:type="dxa"/>
              <w:bottom w:w="60" w:type="dxa"/>
              <w:left w:w="110" w:type="dxa"/>
              <w:right w:w="110" w:type="dxa"/>
            </w:tcMar>
          </w:tcPr>
          <w:p>
            <w:pPr>
              <w:spacing w:after="40" w:before="40"/>
            </w:pPr>
            <w:r>
              <w:rPr>
                <w:sz w:val="22"/>
                <w:szCs w:val="22"/>
              </w:rPr>
              <w:t>Measure now from 90-day export</w:t>
            </w:r>
          </w:p>
        </w:tc>
        <w:tc>
          <w:tcPr>
            <w:tcW w:type="dxa" w:w="2523"/>
            <w:vAlign w:val="center"/>
            <w:tcMar>
              <w:top w:w="60" w:type="dxa"/>
              <w:bottom w:w="60" w:type="dxa"/>
              <w:left w:w="110" w:type="dxa"/>
              <w:right w:w="110" w:type="dxa"/>
            </w:tcMar>
          </w:tcPr>
          <w:p>
            <w:pPr>
              <w:spacing w:after="40" w:before="40"/>
            </w:pPr>
            <w:r>
              <w:rPr>
                <w:sz w:val="22"/>
                <w:szCs w:val="22"/>
              </w:rPr>
              <w:t>Reduce by 40%</w:t>
            </w:r>
          </w:p>
        </w:tc>
      </w:tr>
      <w:tr>
        <w:tc>
          <w:tcPr>
            <w:tcW w:type="dxa" w:w="2523"/>
            <w:vAlign w:val="center"/>
            <w:tcMar>
              <w:top w:w="60" w:type="dxa"/>
              <w:bottom w:w="60" w:type="dxa"/>
              <w:left w:w="110" w:type="dxa"/>
              <w:right w:w="110" w:type="dxa"/>
            </w:tcMar>
          </w:tcPr>
          <w:p>
            <w:pPr>
              <w:spacing w:after="40" w:before="40"/>
            </w:pPr>
            <w:r>
              <w:rPr>
                <w:sz w:val="22"/>
                <w:szCs w:val="22"/>
              </w:rPr>
              <w:t>Reopen vs new-on-reply</w:t>
            </w:r>
          </w:p>
        </w:tc>
        <w:tc>
          <w:tcPr>
            <w:tcW w:type="dxa" w:w="2523"/>
            <w:vAlign w:val="center"/>
            <w:tcMar>
              <w:top w:w="60" w:type="dxa"/>
              <w:bottom w:w="60" w:type="dxa"/>
              <w:left w:w="110" w:type="dxa"/>
              <w:right w:w="110" w:type="dxa"/>
            </w:tcMar>
          </w:tcPr>
          <w:p>
            <w:pPr>
              <w:spacing w:after="40" w:before="40"/>
            </w:pPr>
            <w:r>
              <w:rPr>
                <w:sz w:val="22"/>
                <w:szCs w:val="22"/>
              </w:rPr>
              <w:t>Follow-ups on closed tickets that reopen vs create new</w:t>
            </w:r>
          </w:p>
        </w:tc>
        <w:tc>
          <w:tcPr>
            <w:tcW w:type="dxa" w:w="2523"/>
            <w:vAlign w:val="center"/>
            <w:tcMar>
              <w:top w:w="60" w:type="dxa"/>
              <w:bottom w:w="60" w:type="dxa"/>
              <w:left w:w="110" w:type="dxa"/>
              <w:right w:w="110" w:type="dxa"/>
            </w:tcMar>
          </w:tcPr>
          <w:p>
            <w:pPr>
              <w:spacing w:after="40" w:before="40"/>
            </w:pPr>
            <w:r>
              <w:rPr>
                <w:sz w:val="22"/>
                <w:szCs w:val="22"/>
              </w:rPr>
              <w:t>Measure now</w:t>
            </w:r>
          </w:p>
        </w:tc>
        <w:tc>
          <w:tcPr>
            <w:tcW w:type="dxa" w:w="2523"/>
            <w:vAlign w:val="center"/>
            <w:tcMar>
              <w:top w:w="60" w:type="dxa"/>
              <w:bottom w:w="60" w:type="dxa"/>
              <w:left w:w="110" w:type="dxa"/>
              <w:right w:w="110" w:type="dxa"/>
            </w:tcMar>
          </w:tcPr>
          <w:p>
            <w:pPr>
              <w:spacing w:after="40" w:before="40"/>
            </w:pPr>
            <w:r>
              <w:rPr>
                <w:sz w:val="22"/>
                <w:szCs w:val="22"/>
              </w:rPr>
              <w:t>Increase reopen rate where appropriate</w:t>
            </w:r>
          </w:p>
        </w:tc>
      </w:tr>
      <w:tr>
        <w:tc>
          <w:tcPr>
            <w:tcW w:type="dxa" w:w="2523"/>
            <w:vAlign w:val="center"/>
            <w:tcMar>
              <w:top w:w="60" w:type="dxa"/>
              <w:bottom w:w="60" w:type="dxa"/>
              <w:left w:w="110" w:type="dxa"/>
              <w:right w:w="110" w:type="dxa"/>
            </w:tcMar>
          </w:tcPr>
          <w:p>
            <w:pPr>
              <w:spacing w:after="40" w:before="40"/>
            </w:pPr>
            <w:r>
              <w:rPr>
                <w:sz w:val="22"/>
                <w:szCs w:val="22"/>
              </w:rPr>
              <w:t>Repeat handle time</w:t>
            </w:r>
          </w:p>
        </w:tc>
        <w:tc>
          <w:tcPr>
            <w:tcW w:type="dxa" w:w="2523"/>
            <w:vAlign w:val="center"/>
            <w:tcMar>
              <w:top w:w="60" w:type="dxa"/>
              <w:bottom w:w="60" w:type="dxa"/>
              <w:left w:w="110" w:type="dxa"/>
              <w:right w:w="110" w:type="dxa"/>
            </w:tcMar>
          </w:tcPr>
          <w:p>
            <w:pPr>
              <w:spacing w:after="40" w:before="40"/>
            </w:pPr>
            <w:r>
              <w:rPr>
                <w:sz w:val="22"/>
                <w:szCs w:val="22"/>
              </w:rPr>
              <w:t>Avg agent touches on duplicate clusters (audit sample)</w:t>
            </w:r>
          </w:p>
        </w:tc>
        <w:tc>
          <w:tcPr>
            <w:tcW w:type="dxa" w:w="2523"/>
            <w:vAlign w:val="center"/>
            <w:tcMar>
              <w:top w:w="60" w:type="dxa"/>
              <w:bottom w:w="60" w:type="dxa"/>
              <w:left w:w="110" w:type="dxa"/>
              <w:right w:w="110" w:type="dxa"/>
            </w:tcMar>
          </w:tcPr>
          <w:p>
            <w:pPr>
              <w:spacing w:after="40" w:before="40"/>
            </w:pPr>
            <w:r>
              <w:rPr>
                <w:sz w:val="22"/>
                <w:szCs w:val="22"/>
              </w:rPr>
              <w:t>Sample 30 clusters</w:t>
            </w:r>
          </w:p>
        </w:tc>
        <w:tc>
          <w:tcPr>
            <w:tcW w:type="dxa" w:w="2523"/>
            <w:vAlign w:val="center"/>
            <w:tcMar>
              <w:top w:w="60" w:type="dxa"/>
              <w:bottom w:w="60" w:type="dxa"/>
              <w:left w:w="110" w:type="dxa"/>
              <w:right w:w="110" w:type="dxa"/>
            </w:tcMar>
          </w:tcPr>
          <w:p>
            <w:pPr>
              <w:spacing w:after="40" w:before="40"/>
            </w:pPr>
            <w:r>
              <w:rPr>
                <w:sz w:val="22"/>
                <w:szCs w:val="22"/>
              </w:rPr>
              <w:t>Reduce by 25%</w:t>
            </w:r>
          </w:p>
        </w:tc>
      </w:tr>
      <w:tr>
        <w:tc>
          <w:tcPr>
            <w:tcW w:type="dxa" w:w="2523"/>
            <w:vAlign w:val="center"/>
            <w:tcMar>
              <w:top w:w="60" w:type="dxa"/>
              <w:bottom w:w="60" w:type="dxa"/>
              <w:left w:w="110" w:type="dxa"/>
              <w:right w:w="110" w:type="dxa"/>
            </w:tcMar>
          </w:tcPr>
          <w:p>
            <w:pPr>
              <w:spacing w:after="40" w:before="40"/>
            </w:pPr>
            <w:r>
              <w:rPr>
                <w:sz w:val="22"/>
                <w:szCs w:val="22"/>
              </w:rPr>
              <w:t>Customer complaints</w:t>
            </w:r>
          </w:p>
        </w:tc>
        <w:tc>
          <w:tcPr>
            <w:tcW w:type="dxa" w:w="2523"/>
            <w:vAlign w:val="center"/>
            <w:tcMar>
              <w:top w:w="60" w:type="dxa"/>
              <w:bottom w:w="60" w:type="dxa"/>
              <w:left w:w="110" w:type="dxa"/>
              <w:right w:w="110" w:type="dxa"/>
            </w:tcMar>
          </w:tcPr>
          <w:p>
            <w:pPr>
              <w:spacing w:after="40" w:before="40"/>
            </w:pPr>
            <w:r>
              <w:rPr>
                <w:sz w:val="22"/>
                <w:szCs w:val="22"/>
              </w:rPr>
              <w:t>Tickets tagged duplicate_ticket_complaint or free-text search</w:t>
            </w:r>
          </w:p>
        </w:tc>
        <w:tc>
          <w:tcPr>
            <w:tcW w:type="dxa" w:w="2523"/>
            <w:vAlign w:val="center"/>
            <w:tcMar>
              <w:top w:w="60" w:type="dxa"/>
              <w:bottom w:w="60" w:type="dxa"/>
              <w:left w:w="110" w:type="dxa"/>
              <w:right w:w="110" w:type="dxa"/>
            </w:tcMar>
          </w:tcPr>
          <w:p>
            <w:pPr>
              <w:spacing w:after="40" w:before="40"/>
            </w:pPr>
            <w:r>
              <w:rPr>
                <w:sz w:val="22"/>
                <w:szCs w:val="22"/>
              </w:rPr>
              <w:t>Current monthly count</w:t>
            </w:r>
          </w:p>
        </w:tc>
        <w:tc>
          <w:tcPr>
            <w:tcW w:type="dxa" w:w="2523"/>
            <w:vAlign w:val="center"/>
            <w:tcMar>
              <w:top w:w="60" w:type="dxa"/>
              <w:bottom w:w="60" w:type="dxa"/>
              <w:left w:w="110" w:type="dxa"/>
              <w:right w:w="110" w:type="dxa"/>
            </w:tcMar>
          </w:tcPr>
          <w:p>
            <w:pPr>
              <w:spacing w:after="40" w:before="40"/>
            </w:pPr>
            <w:r>
              <w:rPr>
                <w:sz w:val="22"/>
                <w:szCs w:val="22"/>
              </w:rPr>
              <w:t>Near zero</w:t>
            </w:r>
          </w:p>
        </w:tc>
      </w:tr>
      <w:tr>
        <w:tc>
          <w:tcPr>
            <w:tcW w:type="dxa" w:w="2523"/>
            <w:vAlign w:val="center"/>
            <w:tcMar>
              <w:top w:w="60" w:type="dxa"/>
              <w:bottom w:w="60" w:type="dxa"/>
              <w:left w:w="110" w:type="dxa"/>
              <w:right w:w="110" w:type="dxa"/>
            </w:tcMar>
          </w:tcPr>
          <w:p>
            <w:pPr>
              <w:spacing w:after="40" w:before="40"/>
            </w:pPr>
            <w:r>
              <w:rPr>
                <w:sz w:val="22"/>
                <w:szCs w:val="22"/>
              </w:rPr>
              <w:t>Agent pulse</w:t>
            </w:r>
          </w:p>
        </w:tc>
        <w:tc>
          <w:tcPr>
            <w:tcW w:type="dxa" w:w="2523"/>
            <w:vAlign w:val="center"/>
            <w:tcMar>
              <w:top w:w="60" w:type="dxa"/>
              <w:bottom w:w="60" w:type="dxa"/>
              <w:left w:w="110" w:type="dxa"/>
              <w:right w:w="110" w:type="dxa"/>
            </w:tcMar>
          </w:tcPr>
          <w:p>
            <w:pPr>
              <w:spacing w:after="40" w:before="40"/>
            </w:pPr>
            <w:r>
              <w:rPr>
                <w:sz w:val="22"/>
                <w:szCs w:val="22"/>
              </w:rPr>
              <w:t>Monthly 1-question survey on duplicate frustration</w:t>
            </w:r>
          </w:p>
        </w:tc>
        <w:tc>
          <w:tcPr>
            <w:tcW w:type="dxa" w:w="2523"/>
            <w:vAlign w:val="center"/>
            <w:tcMar>
              <w:top w:w="60" w:type="dxa"/>
              <w:bottom w:w="60" w:type="dxa"/>
              <w:left w:w="110" w:type="dxa"/>
              <w:right w:w="110" w:type="dxa"/>
            </w:tcMar>
          </w:tcPr>
          <w:p>
            <w:pPr>
              <w:spacing w:after="40" w:before="40"/>
            </w:pPr>
            <w:r>
              <w:rPr>
                <w:sz w:val="22"/>
                <w:szCs w:val="22"/>
              </w:rPr>
              <w:t>Baseline survey</w:t>
            </w:r>
          </w:p>
        </w:tc>
        <w:tc>
          <w:tcPr>
            <w:tcW w:type="dxa" w:w="2523"/>
            <w:vAlign w:val="center"/>
            <w:tcMar>
              <w:top w:w="60" w:type="dxa"/>
              <w:bottom w:w="60" w:type="dxa"/>
              <w:left w:w="110" w:type="dxa"/>
              <w:right w:w="110" w:type="dxa"/>
            </w:tcMar>
          </w:tcPr>
          <w:p>
            <w:pPr>
              <w:spacing w:after="40" w:before="40"/>
            </w:pPr>
            <w:r>
              <w:rPr>
                <w:sz w:val="22"/>
                <w:szCs w:val="22"/>
              </w:rPr>
              <w:t>Measurable improvement</w:t>
            </w:r>
          </w:p>
        </w:tc>
      </w:tr>
    </w:tbl>
    <w:p>
      <w:pPr>
        <w:jc w:val="both"/>
      </w:pPr>
    </w:p>
    <w:p>
      <w:pPr>
        <w:pStyle w:val="Heading1"/>
      </w:pPr>
      <w:r>
        <w:rPr/>
        <w:t>Issue 2: Supplier Escalation Updates Do Not Reopen Parent Zendesk Tickets</w:t>
      </w:r>
    </w:p>
    <w:p>
      <w:pPr>
        <w:jc w:val="both"/>
      </w:pPr>
      <w:r>
        <w:rPr>
          <w:i/>
        </w:rPr>
        <w:t>Directly observed, regression from previous JIRA workflow where supplier updates auto-transitioned the parent issue.</w:t>
      </w:r>
    </w:p>
    <w:p>
      <w:pPr>
        <w:pStyle w:val="Heading2"/>
      </w:pPr>
      <w:r>
        <w:rPr/>
        <w:t>What the problem is</w:t>
      </w:r>
    </w:p>
    <w:p>
      <w:pPr>
        <w:jc w:val="both"/>
      </w:pPr>
      <w:r>
        <w:rPr/>
        <w:t>Many customer issues require escalation to an external supplier: mobile carriers, SMS aggregators, CPaaS platform vendors, or numbering/hosting partners. In Zendesk, agents typically open a side conversation, send email to a supplier address, or create a child ticket, then set the parent customer ticket to On-hold.</w:t>
      </w:r>
    </w:p>
    <w:p>
      <w:pPr>
        <w:jc w:val="both"/>
      </w:pPr>
      <w:r>
        <w:rPr/>
        <w:t>When the supplier responds, often hours or days later, that response frequently does not update the parent customer ticket. The parent remains On-hold. The assignee receives no notification. No status changes to Open or a custom "Supplier Responded" state. The agent must manually remember to check the side thread.</w:t>
      </w:r>
    </w:p>
    <w:p>
      <w:pPr>
        <w:jc w:val="both"/>
      </w:pPr>
      <w:r>
        <w:rPr/>
        <w:t>In our previous JIRA setup, supplier-linked issues automatically moved the parent issue when the supplier ticket was updated, and the assignee was notified. Agents built muscle memory around that behaviour. Zendesk, as currently configured, does not replicate it. This is the single largest process regression reported by experienced agents in my first two weeks.</w:t>
      </w:r>
    </w:p>
    <w:p>
      <w:pPr>
        <w:pStyle w:val="Heading3"/>
      </w:pPr>
      <w:r>
        <w:rPr/>
        <w:t>Who is affected</w:t>
      </w:r>
    </w:p>
    <w:p>
      <w:pPr>
        <w:pStyle w:val="ListBullet"/>
      </w:pPr>
      <w:r>
        <w:rPr/>
        <w:t>Support agents, manual polling of supplier threads, missed updates, inconsistent practice across EMEA</w:t>
      </w:r>
    </w:p>
    <w:p>
      <w:pPr>
        <w:pStyle w:val="ListBullet"/>
      </w:pPr>
      <w:r>
        <w:rPr/>
        <w:t>Customers, delayed updates while parent ticket appears idle</w:t>
      </w:r>
    </w:p>
    <w:p>
      <w:pPr>
        <w:pStyle w:val="ListBullet"/>
      </w:pPr>
      <w:r>
        <w:rPr/>
        <w:t>Team leads, cannot trust on-hold queues without manual audits</w:t>
      </w:r>
    </w:p>
    <w:p>
      <w:pPr>
        <w:pStyle w:val="ListBullet"/>
      </w:pPr>
      <w:r>
        <w:rPr/>
        <w:t>TAMs, blind to supplier-dependent delays on strategic accounts</w:t>
      </w:r>
    </w:p>
    <w:p>
      <w:pPr>
        <w:pStyle w:val="ListBullet"/>
      </w:pPr>
      <w:r>
        <w:rPr/>
        <w:t>Suppliers, sometimes receive duplicate escalations because agents open new threads when old ones are forgotten</w:t>
      </w:r>
    </w:p>
    <w:p>
      <w:pPr>
        <w:pStyle w:val="Heading3"/>
      </w:pPr>
      <w:r>
        <w:rPr/>
        <w:t>Real-world scenario</w:t>
      </w:r>
    </w:p>
    <w:p>
      <w:pPr>
        <w:jc w:val="both"/>
      </w:pPr>
      <w:r>
        <w:rPr/>
        <w:t>An agent escalates an SMS delivery failure to Carrier A via side conversation on ticket #55001. Parent ticket set On-hold. Carrier A replies 18 hours later with a routing fix and request for test confirmation. The reply lands in the side conversation only.</w:t>
      </w:r>
    </w:p>
    <w:p>
      <w:pPr>
        <w:jc w:val="both"/>
      </w:pPr>
      <w:r>
        <w:rPr/>
        <w:t>The parent ticket still shows On-hold. The assignee is working other tickets and does not notice. After 48 hours the customer emails: "Any update?", now unhappy. The agent discovers the supplier reply, apologises, and runs the test. Total delay attributable to tooling: ~30 hours that should have been &lt; 2 hours from supplier response.</w:t>
      </w:r>
    </w:p>
    <w:p>
      <w:pPr>
        <w:pStyle w:val="Heading3"/>
      </w:pPr>
      <w:r>
        <w:rPr/>
        <w:t>Root causes</w:t>
      </w:r>
    </w:p>
    <w:p>
      <w:pPr>
        <w:pStyle w:val="ListBullet"/>
      </w:pPr>
      <w:r>
        <w:rPr/>
        <w:t>No Zendesk trigger linking side conversation, child ticket inbound activity to parent ticket</w:t>
      </w:r>
    </w:p>
    <w:p>
      <w:pPr>
        <w:pStyle w:val="ListBullet"/>
      </w:pPr>
      <w:r>
        <w:rPr/>
        <w:t>Mixed escalation practices, some agents use side conversations, some email from personal inbox, some child tickets</w:t>
      </w:r>
    </w:p>
    <w:p>
      <w:pPr>
        <w:pStyle w:val="ListBullet"/>
      </w:pPr>
      <w:r>
        <w:rPr/>
        <w:t>Supplier auto-acknowledgement emails not filtered, so teams disabled notifications to avoid noise</w:t>
      </w:r>
    </w:p>
    <w:p>
      <w:pPr>
        <w:pStyle w:val="ListBullet"/>
      </w:pPr>
      <w:r>
        <w:rPr/>
        <w:t>Parent ticket on-hold automations do not distinguish "waiting on customer" vs "waiting on supplier"</w:t>
      </w:r>
    </w:p>
    <w:p>
      <w:pPr>
        <w:pStyle w:val="ListBullet"/>
      </w:pPr>
      <w:r>
        <w:rPr/>
        <w:t>No custom fields capturing supplier_ticket_id for searchability</w:t>
      </w:r>
    </w:p>
    <w:p>
      <w:pPr>
        <w:pStyle w:val="ListBullet"/>
      </w:pPr>
      <w:r>
        <w:rPr/>
        <w:t>JIRA workflow rules were not mapped 1:1 during Zendesk migration</w:t>
      </w:r>
    </w:p>
    <w:p>
      <w:pPr>
        <w:pStyle w:val="Heading3"/>
      </w:pPr>
      <w:r>
        <w:rPr/>
        <w:t>Business impact</w:t>
      </w:r>
    </w:p>
    <w:p>
      <w:pPr>
        <w:pStyle w:val="ListBullet"/>
      </w:pPr>
      <w:r>
        <w:rPr/>
        <w:t>Extended customer wait time on supplier-dependent incidents (often P1/P2)</w:t>
      </w:r>
    </w:p>
    <w:p>
      <w:pPr>
        <w:pStyle w:val="ListBullet"/>
      </w:pPr>
      <w:r>
        <w:rPr/>
        <w:t>SLA breach risk on first-response and resolution targets</w:t>
      </w:r>
    </w:p>
    <w:p>
      <w:pPr>
        <w:pStyle w:val="ListBullet"/>
      </w:pPr>
      <w:r>
        <w:rPr/>
        <w:t>Inconsistent EMEA customer experience vs agents who manually check threads</w:t>
      </w:r>
    </w:p>
    <w:p>
      <w:pPr>
        <w:pStyle w:val="ListBullet"/>
      </w:pPr>
      <w:r>
        <w:rPr/>
        <w:t>Increased TAM and executive escalations driven by silence, not technical complexity</w:t>
      </w:r>
    </w:p>
    <w:p>
      <w:pPr>
        <w:pStyle w:val="ListBullet"/>
      </w:pPr>
      <w:r>
        <w:rPr/>
        <w:t>Agent frustration and loss of trust in the tooling migration</w:t>
      </w:r>
    </w:p>
    <w:p>
      <w:pPr>
        <w:pStyle w:val="Heading2"/>
      </w:pPr>
      <w:r>
        <w:rPr/>
        <w:t>What I would change and why</w:t>
      </w:r>
    </w:p>
    <w:p>
      <w:pPr>
        <w:pStyle w:val="Heading3"/>
      </w:pPr>
      <w:r>
        <w:rPr/>
        <w:t>A. Standardise one escalation model per supplier category</w:t>
      </w:r>
    </w:p>
    <w:p>
      <w:pPr>
        <w:jc w:val="both"/>
      </w:pPr>
      <w:r>
        <w:rPr/>
        <w:t>Document and enforce a single pattern, no ad-hoc email from agent personal inboxes:</w:t>
      </w:r>
    </w:p>
    <w:p>
      <w:pPr>
        <w:pStyle w:val="ListBullet"/>
      </w:pPr>
      <w:r>
        <w:rPr/>
        <w:t>Email-based suppliers to Side Conversation from parent ticket (required)</w:t>
      </w:r>
    </w:p>
    <w:p>
      <w:pPr>
        <w:pStyle w:val="ListBullet"/>
      </w:pPr>
      <w:r>
        <w:rPr/>
        <w:t>Formal supplier SLAs to Child ticket linked to parent with shared custom fields</w:t>
      </w:r>
    </w:p>
    <w:p>
      <w:pPr>
        <w:pStyle w:val="ListBullet"/>
      </w:pPr>
      <w:r>
        <w:rPr/>
        <w:t>Portal/API suppliers to Webhook integration to parent ticket via middleware</w:t>
      </w:r>
    </w:p>
    <w:p>
      <w:pPr>
        <w:jc w:val="both"/>
      </w:pPr>
      <w:r>
        <w:rPr/>
        <w:t>Why: Triggers can only be reliable if input channels are predictable. Mixed models make automation impossible.</w:t>
      </w:r>
    </w:p>
    <w:p>
      <w:pPr>
        <w:pStyle w:val="Heading3"/>
      </w:pPr>
      <w:r>
        <w:rPr/>
        <w:t>B. "Supplier reply to parent ticket action" automations</w:t>
      </w:r>
    </w:p>
    <w:p>
      <w:pPr>
        <w:jc w:val="both"/>
      </w:pPr>
      <w:r>
        <w:rPr/>
        <w:t>Example trigger (to be refined with Zendesk admin):</w:t>
      </w:r>
    </w:p>
    <w:p>
      <w:pPr>
        <w:jc w:val="both"/>
      </w:pPr>
      <w:r>
        <w:rPr/>
        <w:t>WHEN: Inbound comment or email on side conversation OR child ticket update</w:t>
      </w:r>
    </w:p>
    <w:p>
      <w:pPr>
        <w:jc w:val="both"/>
      </w:pPr>
      <w:r>
        <w:rPr/>
        <w:t>AND: Tagged supplier_escalation OR sender domain in supplier allowlist</w:t>
      </w:r>
    </w:p>
    <w:p>
      <w:pPr>
        <w:jc w:val="both"/>
      </w:pPr>
      <w:r>
        <w:rPr/>
        <w:t>AND: NOT subject matches "auto-acknowledgement|ticket received|out of office"</w:t>
      </w:r>
    </w:p>
    <w:p>
      <w:pPr>
        <w:jc w:val="both"/>
      </w:pPr>
      <w:r>
        <w:rPr/>
        <w:t>THEN on PARENT ticket:</w:t>
      </w:r>
    </w:p>
    <w:p>
      <w:pPr>
        <w:pStyle w:val="ListBullet"/>
      </w:pPr>
      <w:r>
        <w:rPr/>
        <w:t>Set status to Open (or custom status "Supplier Responded")</w:t>
      </w:r>
    </w:p>
    <w:p>
      <w:pPr>
        <w:pStyle w:val="ListBullet"/>
      </w:pPr>
      <w:r>
        <w:rPr/>
        <w:t>Add internal note with supplier reply excerpt and timestamp</w:t>
      </w:r>
    </w:p>
    <w:p>
      <w:pPr>
        <w:pStyle w:val="ListBullet"/>
      </w:pPr>
      <w:r>
        <w:rPr/>
        <w:t>Notify assignee + @escalation group via email/Slack</w:t>
      </w:r>
    </w:p>
    <w:p>
      <w:pPr>
        <w:pStyle w:val="ListBullet"/>
      </w:pPr>
      <w:r>
        <w:rPr/>
        <w:t>If parent on-hold &gt; 72h to also notify EMEA Team Lead</w:t>
      </w:r>
    </w:p>
    <w:p>
      <w:pPr>
        <w:jc w:val="both"/>
      </w:pPr>
      <w:r>
        <w:rPr/>
        <w:t>Why: Directly replicates JIRA auto-transition. Assignee gets the signal they expect without polling.</w:t>
      </w:r>
    </w:p>
    <w:p>
      <w:pPr>
        <w:pStyle w:val="Heading3"/>
      </w:pPr>
      <w:r>
        <w:rPr/>
        <w:t>C. Escalation custom fields and macros</w:t>
      </w:r>
    </w:p>
    <w:p>
      <w:pPr>
        <w:jc w:val="both"/>
      </w:pPr>
      <w:r>
        <w:rPr/>
        <w:t>Add fields: supplier_name (dropdown), supplier_ticket_id (text), escalation_opened_at (date), escalation_type (carrier, platform, numbering, other)</w:t>
      </w:r>
    </w:p>
    <w:p>
      <w:pPr>
        <w:jc w:val="both"/>
      </w:pPr>
      <w:r>
        <w:rPr/>
        <w:t>Macro "Start supplier escalation", sets fields, opens side conversation with template, sets parent On-hold, applies tag supplier_escalation</w:t>
      </w:r>
    </w:p>
    <w:p>
      <w:pPr>
        <w:jc w:val="both"/>
      </w:pPr>
      <w:r>
        <w:rPr/>
        <w:t>Macro "Supplier noise, keep on hold", suppresses false-positive reopen for auto-replies</w:t>
      </w:r>
    </w:p>
    <w:p>
      <w:pPr>
        <w:jc w:val="both"/>
      </w:pPr>
      <w:r>
        <w:rPr/>
        <w:t>Why: Structured data enables reporting ("MTTR on carrier escalations") and TAM visibility without reading side threads.</w:t>
      </w:r>
    </w:p>
    <w:p>
      <w:pPr>
        <w:pStyle w:val="Heading3"/>
      </w:pPr>
      <w:r>
        <w:rPr/>
        <w:t>D. Integration layer for non-email suppliers</w:t>
      </w:r>
    </w:p>
    <w:p>
      <w:pPr>
        <w:jc w:val="both"/>
      </w:pPr>
      <w:r>
        <w:rPr/>
        <w:t>Where suppliers use portals, configure Zendesk webhooks + lightweight middleware (Make, Zapier, or internal service) to post internal notes and trigger parent reopen on supplier status change</w:t>
      </w:r>
    </w:p>
    <w:p>
      <w:pPr>
        <w:jc w:val="both"/>
      </w:pPr>
      <w:r>
        <w:rPr/>
        <w:t>Map JIRA webhook rules from migration documentation as starting template</w:t>
      </w:r>
    </w:p>
    <w:p>
      <w:pPr>
        <w:jc w:val="both"/>
      </w:pPr>
      <w:r>
        <w:rPr/>
        <w:t>Why: Some strategic suppliers will never email side conversations reliably. API path matches old JIRA behaviour.</w:t>
      </w:r>
    </w:p>
    <w:p>
      <w:pPr>
        <w:pStyle w:val="Heading2"/>
      </w:pPr>
      <w:r>
        <w:rPr/>
        <w:t>How to implement without disrupting customers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523"/>
        <w:gridCol w:w="2523"/>
        <w:gridCol w:w="2523"/>
        <w:gridCol w:w="2523"/>
      </w:tblGrid>
      <w:tr>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Phase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Timeline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Actions</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Customer impact</w:t>
            </w:r>
          </w:p>
        </w:tc>
      </w:tr>
      <w:tr>
        <w:tc>
          <w:tcPr>
            <w:tcW w:type="dxa" w:w="2523"/>
            <w:vAlign w:val="center"/>
            <w:tcMar>
              <w:top w:w="60" w:type="dxa"/>
              <w:bottom w:w="60" w:type="dxa"/>
              <w:left w:w="110" w:type="dxa"/>
              <w:right w:w="110" w:type="dxa"/>
            </w:tcMar>
          </w:tcPr>
          <w:p>
            <w:pPr>
              <w:spacing w:after="40" w:before="40"/>
            </w:pPr>
            <w:r>
              <w:rPr>
                <w:sz w:val="22"/>
                <w:szCs w:val="22"/>
              </w:rPr>
              <w:t>Discover</w:t>
            </w:r>
          </w:p>
        </w:tc>
        <w:tc>
          <w:tcPr>
            <w:tcW w:type="dxa" w:w="2523"/>
            <w:vAlign w:val="center"/>
            <w:tcMar>
              <w:top w:w="60" w:type="dxa"/>
              <w:bottom w:w="60" w:type="dxa"/>
              <w:left w:w="110" w:type="dxa"/>
              <w:right w:w="110" w:type="dxa"/>
            </w:tcMar>
          </w:tcPr>
          <w:p>
            <w:pPr>
              <w:spacing w:after="40" w:before="40"/>
            </w:pPr>
            <w:r>
              <w:rPr>
                <w:sz w:val="22"/>
                <w:szCs w:val="22"/>
              </w:rPr>
              <w:t>Week 1-2</w:t>
            </w:r>
          </w:p>
        </w:tc>
        <w:tc>
          <w:tcPr>
            <w:tcW w:type="dxa" w:w="2523"/>
            <w:vAlign w:val="center"/>
            <w:tcMar>
              <w:top w:w="60" w:type="dxa"/>
              <w:bottom w:w="60" w:type="dxa"/>
              <w:left w:w="110" w:type="dxa"/>
              <w:right w:w="110" w:type="dxa"/>
            </w:tcMar>
          </w:tcPr>
          <w:p>
            <w:pPr>
              <w:spacing w:after="40" w:before="40"/>
            </w:pPr>
            <w:r>
              <w:rPr>
                <w:sz w:val="22"/>
                <w:szCs w:val="22"/>
              </w:rPr>
              <w:t>Interview 8-10 agents, map top 10 supplier paths, document JIRA vs Zendesk gap, list mailboxes and side conv usage</w:t>
            </w:r>
          </w:p>
        </w:tc>
        <w:tc>
          <w:tcPr>
            <w:tcW w:type="dxa" w:w="2523"/>
            <w:vAlign w:val="center"/>
            <w:tcMar>
              <w:top w:w="60" w:type="dxa"/>
              <w:bottom w:w="60" w:type="dxa"/>
              <w:left w:w="110" w:type="dxa"/>
              <w:right w:w="110" w:type="dxa"/>
            </w:tcMar>
          </w:tcPr>
          <w:p>
            <w:pPr>
              <w:spacing w:after="40" w:before="40"/>
            </w:pPr>
            <w:r>
              <w:rPr>
                <w:sz w:val="22"/>
                <w:szCs w:val="22"/>
              </w:rPr>
              <w:t>None</w:t>
            </w:r>
          </w:p>
        </w:tc>
      </w:tr>
      <w:tr>
        <w:tc>
          <w:tcPr>
            <w:tcW w:type="dxa" w:w="2523"/>
            <w:vAlign w:val="center"/>
            <w:tcMar>
              <w:top w:w="60" w:type="dxa"/>
              <w:bottom w:w="60" w:type="dxa"/>
              <w:left w:w="110" w:type="dxa"/>
              <w:right w:w="110" w:type="dxa"/>
            </w:tcMar>
          </w:tcPr>
          <w:p>
            <w:pPr>
              <w:spacing w:after="40" w:before="40"/>
            </w:pPr>
            <w:r>
              <w:rPr>
                <w:sz w:val="22"/>
                <w:szCs w:val="22"/>
              </w:rPr>
              <w:t>Design</w:t>
            </w:r>
          </w:p>
        </w:tc>
        <w:tc>
          <w:tcPr>
            <w:tcW w:type="dxa" w:w="2523"/>
            <w:vAlign w:val="center"/>
            <w:tcMar>
              <w:top w:w="60" w:type="dxa"/>
              <w:bottom w:w="60" w:type="dxa"/>
              <w:left w:w="110" w:type="dxa"/>
              <w:right w:w="110" w:type="dxa"/>
            </w:tcMar>
          </w:tcPr>
          <w:p>
            <w:pPr>
              <w:spacing w:after="40" w:before="40"/>
            </w:pPr>
            <w:r>
              <w:rPr>
                <w:sz w:val="22"/>
                <w:szCs w:val="22"/>
              </w:rPr>
              <w:t>Week 3</w:t>
            </w:r>
          </w:p>
        </w:tc>
        <w:tc>
          <w:tcPr>
            <w:tcW w:type="dxa" w:w="2523"/>
            <w:vAlign w:val="center"/>
            <w:tcMar>
              <w:top w:w="60" w:type="dxa"/>
              <w:bottom w:w="60" w:type="dxa"/>
              <w:left w:w="110" w:type="dxa"/>
              <w:right w:w="110" w:type="dxa"/>
            </w:tcMar>
          </w:tcPr>
          <w:p>
            <w:pPr>
              <w:spacing w:after="40" w:before="40"/>
            </w:pPr>
            <w:r>
              <w:rPr>
                <w:sz w:val="22"/>
                <w:szCs w:val="22"/>
              </w:rPr>
              <w:t>Agree escalation model per supplier type, write trigger spec, define allowlist and noise filters</w:t>
            </w:r>
          </w:p>
        </w:tc>
        <w:tc>
          <w:tcPr>
            <w:tcW w:type="dxa" w:w="2523"/>
            <w:vAlign w:val="center"/>
            <w:tcMar>
              <w:top w:w="60" w:type="dxa"/>
              <w:bottom w:w="60" w:type="dxa"/>
              <w:left w:w="110" w:type="dxa"/>
              <w:right w:w="110" w:type="dxa"/>
            </w:tcMar>
          </w:tcPr>
          <w:p>
            <w:pPr>
              <w:spacing w:after="40" w:before="40"/>
            </w:pPr>
            <w:r>
              <w:rPr>
                <w:sz w:val="22"/>
                <w:szCs w:val="22"/>
              </w:rPr>
              <w:t>None</w:t>
            </w:r>
          </w:p>
        </w:tc>
      </w:tr>
      <w:tr>
        <w:tc>
          <w:tcPr>
            <w:tcW w:type="dxa" w:w="2523"/>
            <w:vAlign w:val="center"/>
            <w:tcMar>
              <w:top w:w="60" w:type="dxa"/>
              <w:bottom w:w="60" w:type="dxa"/>
              <w:left w:w="110" w:type="dxa"/>
              <w:right w:w="110" w:type="dxa"/>
            </w:tcMar>
          </w:tcPr>
          <w:p>
            <w:pPr>
              <w:spacing w:after="40" w:before="40"/>
            </w:pPr>
            <w:r>
              <w:rPr>
                <w:sz w:val="22"/>
                <w:szCs w:val="22"/>
              </w:rPr>
              <w:t>Shadow pilot</w:t>
            </w:r>
          </w:p>
        </w:tc>
        <w:tc>
          <w:tcPr>
            <w:tcW w:type="dxa" w:w="2523"/>
            <w:vAlign w:val="center"/>
            <w:tcMar>
              <w:top w:w="60" w:type="dxa"/>
              <w:bottom w:w="60" w:type="dxa"/>
              <w:left w:w="110" w:type="dxa"/>
              <w:right w:w="110" w:type="dxa"/>
            </w:tcMar>
          </w:tcPr>
          <w:p>
            <w:pPr>
              <w:spacing w:after="40" w:before="40"/>
            </w:pPr>
            <w:r>
              <w:rPr>
                <w:sz w:val="22"/>
                <w:szCs w:val="22"/>
              </w:rPr>
              <w:t>Week 4-5</w:t>
            </w:r>
          </w:p>
        </w:tc>
        <w:tc>
          <w:tcPr>
            <w:tcW w:type="dxa" w:w="2523"/>
            <w:vAlign w:val="center"/>
            <w:tcMar>
              <w:top w:w="60" w:type="dxa"/>
              <w:bottom w:w="60" w:type="dxa"/>
              <w:left w:w="110" w:type="dxa"/>
              <w:right w:w="110" w:type="dxa"/>
            </w:tcMar>
          </w:tcPr>
          <w:p>
            <w:pPr>
              <w:spacing w:after="40" w:before="40"/>
            </w:pPr>
            <w:r>
              <w:rPr>
                <w:sz w:val="22"/>
                <w:szCs w:val="22"/>
              </w:rPr>
              <w:t>Triggers fire in log-only mode, record what would have happened, no ticket changes</w:t>
            </w:r>
          </w:p>
        </w:tc>
        <w:tc>
          <w:tcPr>
            <w:tcW w:type="dxa" w:w="2523"/>
            <w:vAlign w:val="center"/>
            <w:tcMar>
              <w:top w:w="60" w:type="dxa"/>
              <w:bottom w:w="60" w:type="dxa"/>
              <w:left w:w="110" w:type="dxa"/>
              <w:right w:w="110" w:type="dxa"/>
            </w:tcMar>
          </w:tcPr>
          <w:p>
            <w:pPr>
              <w:spacing w:after="40" w:before="40"/>
            </w:pPr>
            <w:r>
              <w:rPr>
                <w:sz w:val="22"/>
                <w:szCs w:val="22"/>
              </w:rPr>
              <w:t>None</w:t>
            </w:r>
          </w:p>
        </w:tc>
      </w:tr>
      <w:tr>
        <w:tc>
          <w:tcPr>
            <w:tcW w:type="dxa" w:w="2523"/>
            <w:vAlign w:val="center"/>
            <w:tcMar>
              <w:top w:w="60" w:type="dxa"/>
              <w:bottom w:w="60" w:type="dxa"/>
              <w:left w:w="110" w:type="dxa"/>
              <w:right w:w="110" w:type="dxa"/>
            </w:tcMar>
          </w:tcPr>
          <w:p>
            <w:pPr>
              <w:spacing w:after="40" w:before="40"/>
            </w:pPr>
            <w:r>
              <w:rPr>
                <w:sz w:val="22"/>
                <w:szCs w:val="22"/>
              </w:rPr>
              <w:t>Live pilot</w:t>
            </w:r>
          </w:p>
        </w:tc>
        <w:tc>
          <w:tcPr>
            <w:tcW w:type="dxa" w:w="2523"/>
            <w:vAlign w:val="center"/>
            <w:tcMar>
              <w:top w:w="60" w:type="dxa"/>
              <w:bottom w:w="60" w:type="dxa"/>
              <w:left w:w="110" w:type="dxa"/>
              <w:right w:w="110" w:type="dxa"/>
            </w:tcMar>
          </w:tcPr>
          <w:p>
            <w:pPr>
              <w:spacing w:after="40" w:before="40"/>
            </w:pPr>
            <w:r>
              <w:rPr>
                <w:sz w:val="22"/>
                <w:szCs w:val="22"/>
              </w:rPr>
              <w:t>Week 6-7</w:t>
            </w:r>
          </w:p>
        </w:tc>
        <w:tc>
          <w:tcPr>
            <w:tcW w:type="dxa" w:w="2523"/>
            <w:vAlign w:val="center"/>
            <w:tcMar>
              <w:top w:w="60" w:type="dxa"/>
              <w:bottom w:w="60" w:type="dxa"/>
              <w:left w:w="110" w:type="dxa"/>
              <w:right w:w="110" w:type="dxa"/>
            </w:tcMar>
          </w:tcPr>
          <w:p>
            <w:pPr>
              <w:spacing w:after="40" w:before="40"/>
            </w:pPr>
            <w:r>
              <w:rPr>
                <w:sz w:val="22"/>
                <w:szCs w:val="22"/>
              </w:rPr>
              <w:t>One supplier category (e.g. carrier) in EMEA, status change + notify enabled</w:t>
            </w:r>
          </w:p>
        </w:tc>
        <w:tc>
          <w:tcPr>
            <w:tcW w:type="dxa" w:w="2523"/>
            <w:vAlign w:val="center"/>
            <w:tcMar>
              <w:top w:w="60" w:type="dxa"/>
              <w:bottom w:w="60" w:type="dxa"/>
              <w:left w:w="110" w:type="dxa"/>
              <w:right w:w="110" w:type="dxa"/>
            </w:tcMar>
          </w:tcPr>
          <w:p>
            <w:pPr>
              <w:spacing w:after="40" w:before="40"/>
            </w:pPr>
            <w:r>
              <w:rPr>
                <w:sz w:val="22"/>
                <w:szCs w:val="22"/>
              </w:rPr>
              <w:t>Positive, faster updates, no customer process change</w:t>
            </w:r>
          </w:p>
        </w:tc>
      </w:tr>
      <w:tr>
        <w:tc>
          <w:tcPr>
            <w:tcW w:type="dxa" w:w="2523"/>
            <w:vAlign w:val="center"/>
            <w:tcMar>
              <w:top w:w="60" w:type="dxa"/>
              <w:bottom w:w="60" w:type="dxa"/>
              <w:left w:w="110" w:type="dxa"/>
              <w:right w:w="110" w:type="dxa"/>
            </w:tcMar>
          </w:tcPr>
          <w:p>
            <w:pPr>
              <w:spacing w:after="40" w:before="40"/>
            </w:pPr>
            <w:r>
              <w:rPr>
                <w:sz w:val="22"/>
                <w:szCs w:val="22"/>
              </w:rPr>
              <w:t>Roll out</w:t>
            </w:r>
          </w:p>
        </w:tc>
        <w:tc>
          <w:tcPr>
            <w:tcW w:type="dxa" w:w="2523"/>
            <w:vAlign w:val="center"/>
            <w:tcMar>
              <w:top w:w="60" w:type="dxa"/>
              <w:bottom w:w="60" w:type="dxa"/>
              <w:left w:w="110" w:type="dxa"/>
              <w:right w:w="110" w:type="dxa"/>
            </w:tcMar>
          </w:tcPr>
          <w:p>
            <w:pPr>
              <w:spacing w:after="40" w:before="40"/>
            </w:pPr>
            <w:r>
              <w:rPr>
                <w:sz w:val="22"/>
                <w:szCs w:val="22"/>
              </w:rPr>
              <w:t>Week 8-10</w:t>
            </w:r>
          </w:p>
        </w:tc>
        <w:tc>
          <w:tcPr>
            <w:tcW w:type="dxa" w:w="2523"/>
            <w:vAlign w:val="center"/>
            <w:tcMar>
              <w:top w:w="60" w:type="dxa"/>
              <w:bottom w:w="60" w:type="dxa"/>
              <w:left w:w="110" w:type="dxa"/>
              <w:right w:w="110" w:type="dxa"/>
            </w:tcMar>
          </w:tcPr>
          <w:p>
            <w:pPr>
              <w:spacing w:after="40" w:before="40"/>
            </w:pPr>
            <w:r>
              <w:rPr>
                <w:sz w:val="22"/>
                <w:szCs w:val="22"/>
              </w:rPr>
              <w:t>All EMEA suppliers, updated playbook, US/APAC alignment session</w:t>
            </w:r>
          </w:p>
        </w:tc>
        <w:tc>
          <w:tcPr>
            <w:tcW w:type="dxa" w:w="2523"/>
            <w:vAlign w:val="center"/>
            <w:tcMar>
              <w:top w:w="60" w:type="dxa"/>
              <w:bottom w:w="60" w:type="dxa"/>
              <w:left w:w="110" w:type="dxa"/>
              <w:right w:w="110" w:type="dxa"/>
            </w:tcMar>
          </w:tcPr>
          <w:p>
            <w:pPr>
              <w:spacing w:after="40" w:before="40"/>
            </w:pPr>
            <w:r>
              <w:rPr>
                <w:sz w:val="22"/>
                <w:szCs w:val="22"/>
              </w:rPr>
              <w:t>None if model is consistent</w:t>
            </w:r>
          </w:p>
        </w:tc>
      </w:tr>
    </w:tbl>
    <w:p>
      <w:pPr>
        <w:jc w:val="both"/>
      </w:pPr>
    </w:p>
    <w:p>
      <w:pPr>
        <w:pStyle w:val="Heading3"/>
      </w:pPr>
      <w:r>
        <w:rPr/>
        <w:t>Safeguards</w:t>
      </w:r>
    </w:p>
    <w:p>
      <w:pPr>
        <w:pStyle w:val="ListBullet"/>
      </w:pPr>
      <w:r>
        <w:rPr/>
        <w:t>Shadow mode minimum 2 weeks before any status change in production</w:t>
      </w:r>
    </w:p>
    <w:p>
      <w:pPr>
        <w:pStyle w:val="ListBullet"/>
      </w:pPr>
      <w:r>
        <w:rPr/>
        <w:t>Regex filter for supplier auto-acknowledgements and out-of-office replies</w:t>
      </w:r>
    </w:p>
    <w:p>
      <w:pPr>
        <w:pStyle w:val="ListBullet"/>
      </w:pPr>
      <w:r>
        <w:rPr/>
        <w:t>Agent override macro always available, automation assists, does not trap</w:t>
      </w:r>
    </w:p>
    <w:p>
      <w:pPr>
        <w:pStyle w:val="ListBullet"/>
      </w:pPr>
      <w:r>
        <w:rPr/>
        <w:t>Weekly false-positive review with escalation SMEs</w:t>
      </w:r>
    </w:p>
    <w:p>
      <w:pPr>
        <w:pStyle w:val="Heading2"/>
      </w:pPr>
      <w:r>
        <w:rPr/>
        <w:t>How to measure success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523"/>
        <w:gridCol w:w="2523"/>
        <w:gridCol w:w="2523"/>
        <w:gridCol w:w="2523"/>
      </w:tblGrid>
      <w:tr>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Metric</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How to measure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Baseline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90-day target</w:t>
            </w:r>
          </w:p>
        </w:tc>
      </w:tr>
      <w:tr>
        <w:tc>
          <w:tcPr>
            <w:tcW w:type="dxa" w:w="2523"/>
            <w:vAlign w:val="center"/>
            <w:tcMar>
              <w:top w:w="60" w:type="dxa"/>
              <w:bottom w:w="60" w:type="dxa"/>
              <w:left w:w="110" w:type="dxa"/>
              <w:right w:w="110" w:type="dxa"/>
            </w:tcMar>
          </w:tcPr>
          <w:p>
            <w:pPr>
              <w:spacing w:after="40" w:before="40"/>
            </w:pPr>
            <w:r>
              <w:rPr>
                <w:sz w:val="22"/>
                <w:szCs w:val="22"/>
              </w:rPr>
              <w:t>Supplier reply to action time</w:t>
            </w:r>
          </w:p>
        </w:tc>
        <w:tc>
          <w:tcPr>
            <w:tcW w:type="dxa" w:w="2523"/>
            <w:vAlign w:val="center"/>
            <w:tcMar>
              <w:top w:w="60" w:type="dxa"/>
              <w:bottom w:w="60" w:type="dxa"/>
              <w:left w:w="110" w:type="dxa"/>
              <w:right w:w="110" w:type="dxa"/>
            </w:tcMar>
          </w:tcPr>
          <w:p>
            <w:pPr>
              <w:spacing w:after="40" w:before="40"/>
            </w:pPr>
            <w:r>
              <w:rPr>
                <w:sz w:val="22"/>
                <w:szCs w:val="22"/>
              </w:rPr>
              <w:t>Timestamp supplier inbound to parent status change (audit sample n=50/month)</w:t>
            </w:r>
          </w:p>
        </w:tc>
        <w:tc>
          <w:tcPr>
            <w:tcW w:type="dxa" w:w="2523"/>
            <w:vAlign w:val="center"/>
            <w:tcMar>
              <w:top w:w="60" w:type="dxa"/>
              <w:bottom w:w="60" w:type="dxa"/>
              <w:left w:w="110" w:type="dxa"/>
              <w:right w:w="110" w:type="dxa"/>
            </w:tcMar>
          </w:tcPr>
          <w:p>
            <w:pPr>
              <w:spacing w:after="40" w:before="40"/>
            </w:pPr>
            <w:r>
              <w:rPr>
                <w:sz w:val="22"/>
                <w:szCs w:val="22"/>
              </w:rPr>
              <w:t>Median hours, measure now</w:t>
            </w:r>
          </w:p>
        </w:tc>
        <w:tc>
          <w:tcPr>
            <w:tcW w:type="dxa" w:w="2523"/>
            <w:vAlign w:val="center"/>
            <w:tcMar>
              <w:top w:w="60" w:type="dxa"/>
              <w:bottom w:w="60" w:type="dxa"/>
              <w:left w:w="110" w:type="dxa"/>
              <w:right w:w="110" w:type="dxa"/>
            </w:tcMar>
          </w:tcPr>
          <w:p>
            <w:pPr>
              <w:spacing w:after="40" w:before="40"/>
            </w:pPr>
            <w:r>
              <w:rPr>
                <w:sz w:val="22"/>
                <w:szCs w:val="22"/>
              </w:rPr>
              <w:t>Reduce by 70% (e.g. 24h to &lt;4h)</w:t>
            </w:r>
          </w:p>
        </w:tc>
      </w:tr>
      <w:tr>
        <w:tc>
          <w:tcPr>
            <w:tcW w:type="dxa" w:w="2523"/>
            <w:vAlign w:val="center"/>
            <w:tcMar>
              <w:top w:w="60" w:type="dxa"/>
              <w:bottom w:w="60" w:type="dxa"/>
              <w:left w:w="110" w:type="dxa"/>
              <w:right w:w="110" w:type="dxa"/>
            </w:tcMar>
          </w:tcPr>
          <w:p>
            <w:pPr>
              <w:spacing w:after="40" w:before="40"/>
            </w:pPr>
            <w:r>
              <w:rPr>
                <w:sz w:val="22"/>
                <w:szCs w:val="22"/>
              </w:rPr>
              <w:t>Missed supplier updates</w:t>
            </w:r>
          </w:p>
        </w:tc>
        <w:tc>
          <w:tcPr>
            <w:tcW w:type="dxa" w:w="2523"/>
            <w:vAlign w:val="center"/>
            <w:tcMar>
              <w:top w:w="60" w:type="dxa"/>
              <w:bottom w:w="60" w:type="dxa"/>
              <w:left w:w="110" w:type="dxa"/>
              <w:right w:w="110" w:type="dxa"/>
            </w:tcMar>
          </w:tcPr>
          <w:p>
            <w:pPr>
              <w:spacing w:after="40" w:before="40"/>
            </w:pPr>
            <w:r>
              <w:rPr>
                <w:sz w:val="22"/>
                <w:szCs w:val="22"/>
              </w:rPr>
              <w:t>Monthly audit: on-hold tickets with supplier reply but no parent action</w:t>
            </w:r>
          </w:p>
        </w:tc>
        <w:tc>
          <w:tcPr>
            <w:tcW w:type="dxa" w:w="2523"/>
            <w:vAlign w:val="center"/>
            <w:tcMar>
              <w:top w:w="60" w:type="dxa"/>
              <w:bottom w:w="60" w:type="dxa"/>
              <w:left w:w="110" w:type="dxa"/>
              <w:right w:w="110" w:type="dxa"/>
            </w:tcMar>
          </w:tcPr>
          <w:p>
            <w:pPr>
              <w:spacing w:after="40" w:before="40"/>
            </w:pPr>
            <w:r>
              <w:rPr>
                <w:sz w:val="22"/>
                <w:szCs w:val="22"/>
              </w:rPr>
              <w:t>Current count</w:t>
            </w:r>
          </w:p>
        </w:tc>
        <w:tc>
          <w:tcPr>
            <w:tcW w:type="dxa" w:w="2523"/>
            <w:vAlign w:val="center"/>
            <w:tcMar>
              <w:top w:w="60" w:type="dxa"/>
              <w:bottom w:w="60" w:type="dxa"/>
              <w:left w:w="110" w:type="dxa"/>
              <w:right w:w="110" w:type="dxa"/>
            </w:tcMar>
          </w:tcPr>
          <w:p>
            <w:pPr>
              <w:spacing w:after="40" w:before="40"/>
            </w:pPr>
            <w:r>
              <w:rPr>
                <w:sz w:val="22"/>
                <w:szCs w:val="22"/>
              </w:rPr>
              <w:t>Reduce by 80%</w:t>
            </w:r>
          </w:p>
        </w:tc>
      </w:tr>
      <w:tr>
        <w:tc>
          <w:tcPr>
            <w:tcW w:type="dxa" w:w="2523"/>
            <w:vAlign w:val="center"/>
            <w:tcMar>
              <w:top w:w="60" w:type="dxa"/>
              <w:bottom w:w="60" w:type="dxa"/>
              <w:left w:w="110" w:type="dxa"/>
              <w:right w:w="110" w:type="dxa"/>
            </w:tcMar>
          </w:tcPr>
          <w:p>
            <w:pPr>
              <w:spacing w:after="40" w:before="40"/>
            </w:pPr>
            <w:r>
              <w:rPr>
                <w:sz w:val="22"/>
                <w:szCs w:val="22"/>
              </w:rPr>
              <w:t>MTTR on escalations</w:t>
            </w:r>
          </w:p>
        </w:tc>
        <w:tc>
          <w:tcPr>
            <w:tcW w:type="dxa" w:w="2523"/>
            <w:vAlign w:val="center"/>
            <w:tcMar>
              <w:top w:w="60" w:type="dxa"/>
              <w:bottom w:w="60" w:type="dxa"/>
              <w:left w:w="110" w:type="dxa"/>
              <w:right w:w="110" w:type="dxa"/>
            </w:tcMar>
          </w:tcPr>
          <w:p>
            <w:pPr>
              <w:spacing w:after="40" w:before="40"/>
            </w:pPr>
            <w:r>
              <w:rPr>
                <w:sz w:val="22"/>
                <w:szCs w:val="22"/>
              </w:rPr>
              <w:t>Explore report: tickets tagged supplier_escalation</w:t>
            </w:r>
          </w:p>
        </w:tc>
        <w:tc>
          <w:tcPr>
            <w:tcW w:type="dxa" w:w="2523"/>
            <w:vAlign w:val="center"/>
            <w:tcMar>
              <w:top w:w="60" w:type="dxa"/>
              <w:bottom w:w="60" w:type="dxa"/>
              <w:left w:w="110" w:type="dxa"/>
              <w:right w:w="110" w:type="dxa"/>
            </w:tcMar>
          </w:tcPr>
          <w:p>
            <w:pPr>
              <w:spacing w:after="40" w:before="40"/>
            </w:pPr>
            <w:r>
              <w:rPr>
                <w:sz w:val="22"/>
                <w:szCs w:val="22"/>
              </w:rPr>
              <w:t>Current MTTR</w:t>
            </w:r>
          </w:p>
        </w:tc>
        <w:tc>
          <w:tcPr>
            <w:tcW w:type="dxa" w:w="2523"/>
            <w:vAlign w:val="center"/>
            <w:tcMar>
              <w:top w:w="60" w:type="dxa"/>
              <w:bottom w:w="60" w:type="dxa"/>
              <w:left w:w="110" w:type="dxa"/>
              <w:right w:w="110" w:type="dxa"/>
            </w:tcMar>
          </w:tcPr>
          <w:p>
            <w:pPr>
              <w:spacing w:after="40" w:before="40"/>
            </w:pPr>
            <w:r>
              <w:rPr>
                <w:sz w:val="22"/>
                <w:szCs w:val="22"/>
              </w:rPr>
              <w:t>Reduce by 15%</w:t>
            </w:r>
          </w:p>
        </w:tc>
      </w:tr>
      <w:tr>
        <w:tc>
          <w:tcPr>
            <w:tcW w:type="dxa" w:w="2523"/>
            <w:vAlign w:val="center"/>
            <w:tcMar>
              <w:top w:w="60" w:type="dxa"/>
              <w:bottom w:w="60" w:type="dxa"/>
              <w:left w:w="110" w:type="dxa"/>
              <w:right w:w="110" w:type="dxa"/>
            </w:tcMar>
          </w:tcPr>
          <w:p>
            <w:pPr>
              <w:spacing w:after="40" w:before="40"/>
            </w:pPr>
            <w:r>
              <w:rPr>
                <w:sz w:val="22"/>
                <w:szCs w:val="22"/>
              </w:rPr>
              <w:t>False-positive reopens</w:t>
            </w:r>
          </w:p>
        </w:tc>
        <w:tc>
          <w:tcPr>
            <w:tcW w:type="dxa" w:w="2523"/>
            <w:vAlign w:val="center"/>
            <w:tcMar>
              <w:top w:w="60" w:type="dxa"/>
              <w:bottom w:w="60" w:type="dxa"/>
              <w:left w:w="110" w:type="dxa"/>
              <w:right w:w="110" w:type="dxa"/>
            </w:tcMar>
          </w:tcPr>
          <w:p>
            <w:pPr>
              <w:spacing w:after="40" w:before="40"/>
            </w:pPr>
            <w:r>
              <w:rPr>
                <w:sz w:val="22"/>
                <w:szCs w:val="22"/>
              </w:rPr>
              <w:t>Reopens reversed by agent within 1h ÷ total supplier triggers</w:t>
            </w:r>
          </w:p>
        </w:tc>
        <w:tc>
          <w:tcPr>
            <w:tcW w:type="dxa" w:w="2523"/>
            <w:vAlign w:val="center"/>
            <w:tcMar>
              <w:top w:w="60" w:type="dxa"/>
              <w:bottom w:w="60" w:type="dxa"/>
              <w:left w:w="110" w:type="dxa"/>
              <w:right w:w="110" w:type="dxa"/>
            </w:tcMar>
          </w:tcPr>
          <w:p>
            <w:pPr>
              <w:spacing w:after="40" w:before="40"/>
            </w:pPr>
            <w:r>
              <w:rPr>
                <w:sz w:val="22"/>
                <w:szCs w:val="22"/>
              </w:rPr>
              <w:t>N/A in pilot</w:t>
            </w:r>
          </w:p>
        </w:tc>
        <w:tc>
          <w:tcPr>
            <w:tcW w:type="dxa" w:w="2523"/>
            <w:vAlign w:val="center"/>
            <w:tcMar>
              <w:top w:w="60" w:type="dxa"/>
              <w:bottom w:w="60" w:type="dxa"/>
              <w:left w:w="110" w:type="dxa"/>
              <w:right w:w="110" w:type="dxa"/>
            </w:tcMar>
          </w:tcPr>
          <w:p>
            <w:pPr>
              <w:spacing w:after="40" w:before="40"/>
            </w:pPr>
            <w:r>
              <w:rPr>
                <w:sz w:val="22"/>
                <w:szCs w:val="22"/>
              </w:rPr>
              <w:t>Under 10%</w:t>
            </w:r>
          </w:p>
        </w:tc>
      </w:tr>
      <w:tr>
        <w:tc>
          <w:tcPr>
            <w:tcW w:type="dxa" w:w="2523"/>
            <w:vAlign w:val="center"/>
            <w:tcMar>
              <w:top w:w="60" w:type="dxa"/>
              <w:bottom w:w="60" w:type="dxa"/>
              <w:left w:w="110" w:type="dxa"/>
              <w:right w:w="110" w:type="dxa"/>
            </w:tcMar>
          </w:tcPr>
          <w:p>
            <w:pPr>
              <w:spacing w:after="40" w:before="40"/>
            </w:pPr>
            <w:r>
              <w:rPr>
                <w:sz w:val="22"/>
                <w:szCs w:val="22"/>
              </w:rPr>
              <w:t>Agent polling</w:t>
            </w:r>
          </w:p>
        </w:tc>
        <w:tc>
          <w:tcPr>
            <w:tcW w:type="dxa" w:w="2523"/>
            <w:vAlign w:val="center"/>
            <w:tcMar>
              <w:top w:w="60" w:type="dxa"/>
              <w:bottom w:w="60" w:type="dxa"/>
              <w:left w:w="110" w:type="dxa"/>
              <w:right w:w="110" w:type="dxa"/>
            </w:tcMar>
          </w:tcPr>
          <w:p>
            <w:pPr>
              <w:spacing w:after="40" w:before="40"/>
            </w:pPr>
            <w:r>
              <w:rPr>
                <w:sz w:val="22"/>
                <w:szCs w:val="22"/>
              </w:rPr>
              <w:t>Survey: "How often do you manually check supplier threads?"</w:t>
            </w:r>
          </w:p>
        </w:tc>
        <w:tc>
          <w:tcPr>
            <w:tcW w:type="dxa" w:w="2523"/>
            <w:vAlign w:val="center"/>
            <w:tcMar>
              <w:top w:w="60" w:type="dxa"/>
              <w:bottom w:w="60" w:type="dxa"/>
              <w:left w:w="110" w:type="dxa"/>
              <w:right w:w="110" w:type="dxa"/>
            </w:tcMar>
          </w:tcPr>
          <w:p>
            <w:pPr>
              <w:spacing w:after="40" w:before="40"/>
            </w:pPr>
            <w:r>
              <w:rPr>
                <w:sz w:val="22"/>
                <w:szCs w:val="22"/>
              </w:rPr>
              <w:t>Baseline</w:t>
            </w:r>
          </w:p>
        </w:tc>
        <w:tc>
          <w:tcPr>
            <w:tcW w:type="dxa" w:w="2523"/>
            <w:vAlign w:val="center"/>
            <w:tcMar>
              <w:top w:w="60" w:type="dxa"/>
              <w:bottom w:w="60" w:type="dxa"/>
              <w:left w:w="110" w:type="dxa"/>
              <w:right w:w="110" w:type="dxa"/>
            </w:tcMar>
          </w:tcPr>
          <w:p>
            <w:pPr>
              <w:spacing w:after="40" w:before="40"/>
            </w:pPr>
            <w:r>
              <w:rPr>
                <w:sz w:val="22"/>
                <w:szCs w:val="22"/>
              </w:rPr>
              <w:t>Significant reduction</w:t>
            </w:r>
          </w:p>
        </w:tc>
      </w:tr>
    </w:tbl>
    <w:p>
      <w:pPr>
        <w:jc w:val="both"/>
      </w:pPr>
    </w:p>
    <w:p>
      <w:pPr>
        <w:pStyle w:val="Heading1"/>
      </w:pPr>
      <w:r>
        <w:rPr/>
        <w:t>Issue 3: Stale and On-Hold Tickets Lack Automated Nudges</w:t>
      </w:r>
    </w:p>
    <w:p>
      <w:pPr>
        <w:jc w:val="both"/>
      </w:pPr>
      <w:r>
        <w:rPr>
          <w:i/>
        </w:rPr>
        <w:t>Suggested for evaluation, complements Issue 2, visible in queue audits.</w:t>
      </w:r>
    </w:p>
    <w:p>
      <w:pPr>
        <w:pStyle w:val="Heading2"/>
      </w:pPr>
      <w:r>
        <w:rPr/>
        <w:t>What the problem is</w:t>
      </w:r>
    </w:p>
    <w:p>
      <w:pPr>
        <w:jc w:val="both"/>
      </w:pPr>
      <w:r>
        <w:rPr/>
        <w:t>Tickets in Pending (awaiting customer) or On-hold (awaiting supplier or internal team) frequently sit without any activity for days. Zendesk does not currently send a structured reminder to the assignee, team lead, or TAM until the customer chases, SLA breach fires, or someone happens to audit the queue.</w:t>
      </w:r>
    </w:p>
    <w:p>
      <w:pPr>
        <w:jc w:val="both"/>
      </w:pPr>
      <w:r>
        <w:rPr/>
        <w:t>This creates "silent tickets", work items that are technically open but invisible to management. In EMEA, with handoffs across time zones, a ticket placed on-hold on Friday evening may not be touched until Tuesday. If the supplier replied Saturday (Issue 2), the delay compounds.</w:t>
      </w:r>
    </w:p>
    <w:p>
      <w:pPr>
        <w:jc w:val="both"/>
      </w:pPr>
      <w:r>
        <w:rPr/>
        <w:t>Agents are not lazy, they are queue-driven. Without nudges, on-hold tickets deprioritise relative to new inbound work.</w:t>
      </w:r>
    </w:p>
    <w:p>
      <w:pPr>
        <w:pStyle w:val="Heading3"/>
      </w:pPr>
      <w:r>
        <w:rPr/>
        <w:t>Who is affected</w:t>
      </w:r>
    </w:p>
    <w:p>
      <w:pPr>
        <w:pStyle w:val="ListBullet"/>
      </w:pPr>
      <w:r>
        <w:rPr/>
        <w:t>Customers, "any update?" messages that damage trust</w:t>
      </w:r>
    </w:p>
    <w:p>
      <w:pPr>
        <w:pStyle w:val="ListBullet"/>
      </w:pPr>
      <w:r>
        <w:rPr/>
        <w:t>Agents, surprise SLA breaches on forgotten on-hold tickets</w:t>
      </w:r>
    </w:p>
    <w:p>
      <w:pPr>
        <w:pStyle w:val="ListBullet"/>
      </w:pPr>
      <w:r>
        <w:rPr/>
        <w:t>Team leads, queue audits required to find stale work</w:t>
      </w:r>
    </w:p>
    <w:p>
      <w:pPr>
        <w:pStyle w:val="ListBullet"/>
      </w:pPr>
      <w:r>
        <w:rPr/>
        <w:t>TAMs, cannot distinguish healthy on-hold from neglected on-hold</w:t>
      </w:r>
    </w:p>
    <w:p>
      <w:pPr>
        <w:pStyle w:val="Heading3"/>
      </w:pPr>
      <w:r>
        <w:rPr/>
        <w:t>Real-world scenario</w:t>
      </w:r>
    </w:p>
    <w:p>
      <w:pPr>
        <w:jc w:val="both"/>
      </w:pPr>
      <w:r>
        <w:rPr/>
        <w:t>Ticket #60045 set On-hold awaiting internal engineering on a webhook configuration fix. Engineering posts a question in an internal Slack thread but never updates Zendesk. The ticket is silent for 6 days. Customer sends a frustrated follow-up. P1 is considered for escalation. Engineering answer was available on day 2, customer impact was tooling and handoff failure, not technical difficulty.</w:t>
      </w:r>
    </w:p>
    <w:p>
      <w:pPr>
        <w:pStyle w:val="Heading3"/>
      </w:pPr>
      <w:r>
        <w:rPr/>
        <w:t>Root causes</w:t>
      </w:r>
    </w:p>
    <w:p>
      <w:pPr>
        <w:pStyle w:val="ListBullet"/>
      </w:pPr>
      <w:r>
        <w:rPr/>
        <w:t>No time-based automations on on-hold, pending status</w:t>
      </w:r>
    </w:p>
    <w:p>
      <w:pPr>
        <w:pStyle w:val="ListBullet"/>
      </w:pPr>
      <w:r>
        <w:rPr/>
        <w:t>Same nudge logic for P1 and P4, or no nudge at all</w:t>
      </w:r>
    </w:p>
    <w:p>
      <w:pPr>
        <w:pStyle w:val="ListBullet"/>
      </w:pPr>
      <w:r>
        <w:rPr/>
        <w:t>Internal dependencies not tracked separately from supplier waits</w:t>
      </w:r>
    </w:p>
    <w:p>
      <w:pPr>
        <w:pStyle w:val="ListBullet"/>
      </w:pPr>
      <w:r>
        <w:rPr/>
        <w:t>Fear of customer spam prevents any auto-communication, but internal nudges are not used instead</w:t>
      </w:r>
    </w:p>
    <w:p>
      <w:pPr>
        <w:pStyle w:val="Heading3"/>
      </w:pPr>
      <w:r>
        <w:rPr/>
        <w:t>Business impact</w:t>
      </w:r>
    </w:p>
    <w:p>
      <w:pPr>
        <w:pStyle w:val="ListBullet"/>
      </w:pPr>
      <w:r>
        <w:rPr/>
        <w:t>Increased "customer chase" messages, leading indicator of CSAT risk</w:t>
      </w:r>
    </w:p>
    <w:p>
      <w:pPr>
        <w:pStyle w:val="ListBullet"/>
      </w:pPr>
      <w:r>
        <w:rPr/>
        <w:t>SLA breaches on tickets that were recoverable days earlier</w:t>
      </w:r>
    </w:p>
    <w:p>
      <w:pPr>
        <w:pStyle w:val="ListBullet"/>
      </w:pPr>
      <w:r>
        <w:rPr/>
        <w:t>Higher mean age of on-hold tickets in reporting</w:t>
      </w:r>
    </w:p>
    <w:p>
      <w:pPr>
        <w:pStyle w:val="ListBullet"/>
      </w:pPr>
      <w:r>
        <w:rPr/>
        <w:t>Team lead time spent on manual queue audits</w:t>
      </w:r>
    </w:p>
    <w:p>
      <w:pPr>
        <w:pStyle w:val="Heading2"/>
      </w:pPr>
      <w:r>
        <w:rPr/>
        <w:t>What I would change and why</w:t>
      </w:r>
    </w:p>
    <w:p>
      <w:pPr>
        <w:pStyle w:val="Heading3"/>
      </w:pPr>
      <w:r>
        <w:rPr/>
        <w:t>A. Tiered internal nudge automations</w:t>
      </w:r>
    </w:p>
    <w:p>
      <w:pPr>
        <w:jc w:val="both"/>
      </w:pPr>
      <w:r>
        <w:rPr/>
        <w:t>P1/P2 on-hold or pending with no public/internal comment:</w:t>
      </w:r>
    </w:p>
    <w:p>
      <w:pPr>
        <w:pStyle w:val="ListBullet"/>
      </w:pPr>
      <w:r>
        <w:rPr/>
        <w:t>24h to email assignee: "Ticket #{{ticket.id}}, no update 24h"</w:t>
      </w:r>
    </w:p>
    <w:p>
      <w:pPr>
        <w:pStyle w:val="ListBullet"/>
      </w:pPr>
      <w:r>
        <w:rPr/>
        <w:t>48h to internal note + notify assignee and team lead</w:t>
      </w:r>
    </w:p>
    <w:p>
      <w:pPr>
        <w:pStyle w:val="ListBullet"/>
      </w:pPr>
      <w:r>
        <w:rPr/>
        <w:t>72h to apply tag stale_ticket, notify TAM if enterprise account</w:t>
      </w:r>
    </w:p>
    <w:p>
      <w:pPr>
        <w:jc w:val="both"/>
      </w:pPr>
      <w:r>
        <w:rPr/>
        <w:t>P3/P4: use 48h, 72h, 5-day thresholds</w:t>
      </w:r>
    </w:p>
    <w:p>
      <w:pPr>
        <w:jc w:val="both"/>
      </w:pPr>
      <w:r>
        <w:rPr/>
        <w:t>Why: Internal-only nudges do not spam customers. Tiering matches urgency to priority.</w:t>
      </w:r>
    </w:p>
    <w:p>
      <w:pPr>
        <w:pStyle w:val="Heading3"/>
      </w:pPr>
      <w:r>
        <w:rPr/>
        <w:t>B. Distinguish on-hold reason</w:t>
      </w:r>
    </w:p>
    <w:p>
      <w:pPr>
        <w:jc w:val="both"/>
      </w:pPr>
      <w:r>
        <w:rPr/>
        <w:t>Custom field on_hold_reason: Customer, Supplier, Internal engineering, Other</w:t>
      </w:r>
    </w:p>
    <w:p>
      <w:pPr>
        <w:jc w:val="both"/>
      </w:pPr>
      <w:r>
        <w:rPr/>
        <w:t>Different nudge copy and escalation path per reason (links to Issue 2 for supplier)</w:t>
      </w:r>
    </w:p>
    <w:p>
      <w:pPr>
        <w:jc w:val="both"/>
      </w:pPr>
      <w:r>
        <w:rPr/>
        <w:t>Why: "On-hold" is too vague for automation. Supplier waits need Issue 2 triggers, internal waits need engineering nudges.</w:t>
      </w:r>
    </w:p>
    <w:p>
      <w:pPr>
        <w:pStyle w:val="Heading3"/>
      </w:pPr>
      <w:r>
        <w:rPr/>
        <w:t>C. Team lead weekly stale queue review</w:t>
      </w:r>
    </w:p>
    <w:p>
      <w:pPr>
        <w:jc w:val="both"/>
      </w:pPr>
      <w:r>
        <w:rPr/>
        <w:t>Explore report: all tickets tagged stale_ticket or exceeding nudge threshold</w:t>
      </w:r>
    </w:p>
    <w:p>
      <w:pPr>
        <w:jc w:val="both"/>
      </w:pPr>
      <w:r>
        <w:rPr/>
        <w:t>15-minute weekly review in EMEA huddle, assign owner or close loop</w:t>
      </w:r>
    </w:p>
    <w:p>
      <w:pPr>
        <w:jc w:val="both"/>
      </w:pPr>
      <w:r>
        <w:rPr/>
        <w:t>Why: Automation surfaces problems, humans resolve policy edge cases.</w:t>
      </w:r>
    </w:p>
    <w:p>
      <w:pPr>
        <w:pStyle w:val="Heading2"/>
      </w:pPr>
      <w:r>
        <w:rPr/>
        <w:t>How to implement without disrupting customers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523"/>
        <w:gridCol w:w="2523"/>
        <w:gridCol w:w="2523"/>
        <w:gridCol w:w="2523"/>
      </w:tblGrid>
      <w:tr>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Phase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Timeline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Actions</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Customer impact</w:t>
            </w:r>
          </w:p>
        </w:tc>
      </w:tr>
      <w:tr>
        <w:tc>
          <w:tcPr>
            <w:tcW w:type="dxa" w:w="2523"/>
            <w:vAlign w:val="center"/>
            <w:tcMar>
              <w:top w:w="60" w:type="dxa"/>
              <w:bottom w:w="60" w:type="dxa"/>
              <w:left w:w="110" w:type="dxa"/>
              <w:right w:w="110" w:type="dxa"/>
            </w:tcMar>
          </w:tcPr>
          <w:p>
            <w:pPr>
              <w:spacing w:after="40" w:before="40"/>
            </w:pPr>
            <w:r>
              <w:rPr>
                <w:sz w:val="22"/>
                <w:szCs w:val="22"/>
              </w:rPr>
              <w:t>Define thresholds</w:t>
            </w:r>
          </w:p>
        </w:tc>
        <w:tc>
          <w:tcPr>
            <w:tcW w:type="dxa" w:w="2523"/>
            <w:vAlign w:val="center"/>
            <w:tcMar>
              <w:top w:w="60" w:type="dxa"/>
              <w:bottom w:w="60" w:type="dxa"/>
              <w:left w:w="110" w:type="dxa"/>
              <w:right w:w="110" w:type="dxa"/>
            </w:tcMar>
          </w:tcPr>
          <w:p>
            <w:pPr>
              <w:spacing w:after="40" w:before="40"/>
            </w:pPr>
            <w:r>
              <w:rPr>
                <w:sz w:val="22"/>
                <w:szCs w:val="22"/>
              </w:rPr>
              <w:t>Week 1</w:t>
            </w:r>
          </w:p>
        </w:tc>
        <w:tc>
          <w:tcPr>
            <w:tcW w:type="dxa" w:w="2523"/>
            <w:vAlign w:val="center"/>
            <w:tcMar>
              <w:top w:w="60" w:type="dxa"/>
              <w:bottom w:w="60" w:type="dxa"/>
              <w:left w:w="110" w:type="dxa"/>
              <w:right w:w="110" w:type="dxa"/>
            </w:tcMar>
          </w:tcPr>
          <w:p>
            <w:pPr>
              <w:spacing w:after="40" w:before="40"/>
            </w:pPr>
            <w:r>
              <w:rPr>
                <w:sz w:val="22"/>
                <w:szCs w:val="22"/>
              </w:rPr>
              <w:t>Agree P1/P2 vs P3/P4 timings with EMEA leads</w:t>
            </w:r>
          </w:p>
        </w:tc>
        <w:tc>
          <w:tcPr>
            <w:tcW w:type="dxa" w:w="2523"/>
            <w:vAlign w:val="center"/>
            <w:tcMar>
              <w:top w:w="60" w:type="dxa"/>
              <w:bottom w:w="60" w:type="dxa"/>
              <w:left w:w="110" w:type="dxa"/>
              <w:right w:w="110" w:type="dxa"/>
            </w:tcMar>
          </w:tcPr>
          <w:p>
            <w:pPr>
              <w:spacing w:after="40" w:before="40"/>
            </w:pPr>
            <w:r>
              <w:rPr>
                <w:sz w:val="22"/>
                <w:szCs w:val="22"/>
              </w:rPr>
              <w:t>None</w:t>
            </w:r>
          </w:p>
        </w:tc>
      </w:tr>
      <w:tr>
        <w:tc>
          <w:tcPr>
            <w:tcW w:type="dxa" w:w="2523"/>
            <w:vAlign w:val="center"/>
            <w:tcMar>
              <w:top w:w="60" w:type="dxa"/>
              <w:bottom w:w="60" w:type="dxa"/>
              <w:left w:w="110" w:type="dxa"/>
              <w:right w:w="110" w:type="dxa"/>
            </w:tcMar>
          </w:tcPr>
          <w:p>
            <w:pPr>
              <w:spacing w:after="40" w:before="40"/>
            </w:pPr>
            <w:r>
              <w:rPr>
                <w:sz w:val="22"/>
                <w:szCs w:val="22"/>
              </w:rPr>
              <w:t>Build automations</w:t>
            </w:r>
          </w:p>
        </w:tc>
        <w:tc>
          <w:tcPr>
            <w:tcW w:type="dxa" w:w="2523"/>
            <w:vAlign w:val="center"/>
            <w:tcMar>
              <w:top w:w="60" w:type="dxa"/>
              <w:bottom w:w="60" w:type="dxa"/>
              <w:left w:w="110" w:type="dxa"/>
              <w:right w:w="110" w:type="dxa"/>
            </w:tcMar>
          </w:tcPr>
          <w:p>
            <w:pPr>
              <w:spacing w:after="40" w:before="40"/>
            </w:pPr>
            <w:r>
              <w:rPr>
                <w:sz w:val="22"/>
                <w:szCs w:val="22"/>
              </w:rPr>
              <w:t>Week 2</w:t>
            </w:r>
          </w:p>
        </w:tc>
        <w:tc>
          <w:tcPr>
            <w:tcW w:type="dxa" w:w="2523"/>
            <w:vAlign w:val="center"/>
            <w:tcMar>
              <w:top w:w="60" w:type="dxa"/>
              <w:bottom w:w="60" w:type="dxa"/>
              <w:left w:w="110" w:type="dxa"/>
              <w:right w:w="110" w:type="dxa"/>
            </w:tcMar>
          </w:tcPr>
          <w:p>
            <w:pPr>
              <w:spacing w:after="40" w:before="40"/>
            </w:pPr>
            <w:r>
              <w:rPr>
                <w:sz w:val="22"/>
                <w:szCs w:val="22"/>
              </w:rPr>
              <w:t>Sandbox automations, internal email only</w:t>
            </w:r>
          </w:p>
        </w:tc>
        <w:tc>
          <w:tcPr>
            <w:tcW w:type="dxa" w:w="2523"/>
            <w:vAlign w:val="center"/>
            <w:tcMar>
              <w:top w:w="60" w:type="dxa"/>
              <w:bottom w:w="60" w:type="dxa"/>
              <w:left w:w="110" w:type="dxa"/>
              <w:right w:w="110" w:type="dxa"/>
            </w:tcMar>
          </w:tcPr>
          <w:p>
            <w:pPr>
              <w:spacing w:after="40" w:before="40"/>
            </w:pPr>
            <w:r>
              <w:rPr>
                <w:sz w:val="22"/>
                <w:szCs w:val="22"/>
              </w:rPr>
              <w:t>None</w:t>
            </w:r>
          </w:p>
        </w:tc>
      </w:tr>
      <w:tr>
        <w:tc>
          <w:tcPr>
            <w:tcW w:type="dxa" w:w="2523"/>
            <w:vAlign w:val="center"/>
            <w:tcMar>
              <w:top w:w="60" w:type="dxa"/>
              <w:bottom w:w="60" w:type="dxa"/>
              <w:left w:w="110" w:type="dxa"/>
              <w:right w:w="110" w:type="dxa"/>
            </w:tcMar>
          </w:tcPr>
          <w:p>
            <w:pPr>
              <w:spacing w:after="40" w:before="40"/>
            </w:pPr>
            <w:r>
              <w:rPr>
                <w:sz w:val="22"/>
                <w:szCs w:val="22"/>
              </w:rPr>
              <w:t>Pilot</w:t>
            </w:r>
          </w:p>
        </w:tc>
        <w:tc>
          <w:tcPr>
            <w:tcW w:type="dxa" w:w="2523"/>
            <w:vAlign w:val="center"/>
            <w:tcMar>
              <w:top w:w="60" w:type="dxa"/>
              <w:bottom w:w="60" w:type="dxa"/>
              <w:left w:w="110" w:type="dxa"/>
              <w:right w:w="110" w:type="dxa"/>
            </w:tcMar>
          </w:tcPr>
          <w:p>
            <w:pPr>
              <w:spacing w:after="40" w:before="40"/>
            </w:pPr>
            <w:r>
              <w:rPr>
                <w:sz w:val="22"/>
                <w:szCs w:val="22"/>
              </w:rPr>
              <w:t>Week 3-4</w:t>
            </w:r>
          </w:p>
        </w:tc>
        <w:tc>
          <w:tcPr>
            <w:tcW w:type="dxa" w:w="2523"/>
            <w:vAlign w:val="center"/>
            <w:tcMar>
              <w:top w:w="60" w:type="dxa"/>
              <w:bottom w:w="60" w:type="dxa"/>
              <w:left w:w="110" w:type="dxa"/>
              <w:right w:w="110" w:type="dxa"/>
            </w:tcMar>
          </w:tcPr>
          <w:p>
            <w:pPr>
              <w:spacing w:after="40" w:before="40"/>
            </w:pPr>
            <w:r>
              <w:rPr>
                <w:sz w:val="22"/>
                <w:szCs w:val="22"/>
              </w:rPr>
              <w:t>EMEA enterprise queue only</w:t>
            </w:r>
          </w:p>
        </w:tc>
        <w:tc>
          <w:tcPr>
            <w:tcW w:type="dxa" w:w="2523"/>
            <w:vAlign w:val="center"/>
            <w:tcMar>
              <w:top w:w="60" w:type="dxa"/>
              <w:bottom w:w="60" w:type="dxa"/>
              <w:left w:w="110" w:type="dxa"/>
              <w:right w:w="110" w:type="dxa"/>
            </w:tcMar>
          </w:tcPr>
          <w:p>
            <w:pPr>
              <w:spacing w:after="40" w:before="40"/>
            </w:pPr>
            <w:r>
              <w:rPr>
                <w:sz w:val="22"/>
                <w:szCs w:val="22"/>
              </w:rPr>
              <w:t>None, internal notifications</w:t>
            </w:r>
          </w:p>
        </w:tc>
      </w:tr>
      <w:tr>
        <w:tc>
          <w:tcPr>
            <w:tcW w:type="dxa" w:w="2523"/>
            <w:vAlign w:val="center"/>
            <w:tcMar>
              <w:top w:w="60" w:type="dxa"/>
              <w:bottom w:w="60" w:type="dxa"/>
              <w:left w:w="110" w:type="dxa"/>
              <w:right w:w="110" w:type="dxa"/>
            </w:tcMar>
          </w:tcPr>
          <w:p>
            <w:pPr>
              <w:spacing w:after="40" w:before="40"/>
            </w:pPr>
            <w:r>
              <w:rPr>
                <w:sz w:val="22"/>
                <w:szCs w:val="22"/>
              </w:rPr>
              <w:t>Roll out</w:t>
            </w:r>
          </w:p>
        </w:tc>
        <w:tc>
          <w:tcPr>
            <w:tcW w:type="dxa" w:w="2523"/>
            <w:vAlign w:val="center"/>
            <w:tcMar>
              <w:top w:w="60" w:type="dxa"/>
              <w:bottom w:w="60" w:type="dxa"/>
              <w:left w:w="110" w:type="dxa"/>
              <w:right w:w="110" w:type="dxa"/>
            </w:tcMar>
          </w:tcPr>
          <w:p>
            <w:pPr>
              <w:spacing w:after="40" w:before="40"/>
            </w:pPr>
            <w:r>
              <w:rPr>
                <w:sz w:val="22"/>
                <w:szCs w:val="22"/>
              </w:rPr>
              <w:t>Week 5+</w:t>
            </w:r>
          </w:p>
        </w:tc>
        <w:tc>
          <w:tcPr>
            <w:tcW w:type="dxa" w:w="2523"/>
            <w:vAlign w:val="center"/>
            <w:tcMar>
              <w:top w:w="60" w:type="dxa"/>
              <w:bottom w:w="60" w:type="dxa"/>
              <w:left w:w="110" w:type="dxa"/>
              <w:right w:w="110" w:type="dxa"/>
            </w:tcMar>
          </w:tcPr>
          <w:p>
            <w:pPr>
              <w:spacing w:after="40" w:before="40"/>
            </w:pPr>
            <w:r>
              <w:rPr>
                <w:sz w:val="22"/>
                <w:szCs w:val="22"/>
              </w:rPr>
              <w:t>All EMEA, add on_hold_reason field</w:t>
            </w:r>
          </w:p>
        </w:tc>
        <w:tc>
          <w:tcPr>
            <w:tcW w:type="dxa" w:w="2523"/>
            <w:vAlign w:val="center"/>
            <w:tcMar>
              <w:top w:w="60" w:type="dxa"/>
              <w:bottom w:w="60" w:type="dxa"/>
              <w:left w:w="110" w:type="dxa"/>
              <w:right w:w="110" w:type="dxa"/>
            </w:tcMar>
          </w:tcPr>
          <w:p>
            <w:pPr>
              <w:spacing w:after="40" w:before="40"/>
            </w:pPr>
            <w:r>
              <w:rPr>
                <w:sz w:val="22"/>
                <w:szCs w:val="22"/>
              </w:rPr>
              <w:t>Positive, faster responses</w:t>
            </w:r>
          </w:p>
        </w:tc>
      </w:tr>
    </w:tbl>
    <w:p>
      <w:pPr>
        <w:jc w:val="both"/>
      </w:pPr>
    </w:p>
    <w:p>
      <w:pPr>
        <w:pStyle w:val="Heading3"/>
      </w:pPr>
      <w:r>
        <w:rPr/>
        <w:t>Safeguards</w:t>
      </w:r>
    </w:p>
    <w:p>
      <w:pPr>
        <w:pStyle w:val="ListBullet"/>
      </w:pPr>
      <w:r>
        <w:rPr/>
        <w:t>No customer-facing emails from nudge automations, internal only</w:t>
      </w:r>
    </w:p>
    <w:p>
      <w:pPr>
        <w:pStyle w:val="ListBullet"/>
      </w:pPr>
      <w:r>
        <w:rPr/>
        <w:t>Snooze macro for agents with documented reason (e.g. "customer on holiday until Monday")</w:t>
      </w:r>
    </w:p>
    <w:p>
      <w:pPr>
        <w:pStyle w:val="ListBullet"/>
      </w:pPr>
      <w:r>
        <w:rPr/>
        <w:t>Nudges suppress if assignee added internal note within threshold window</w:t>
      </w:r>
    </w:p>
    <w:p>
      <w:pPr>
        <w:pStyle w:val="Heading2"/>
      </w:pPr>
      <w:r>
        <w:rPr/>
        <w:t>How to measure success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523"/>
        <w:gridCol w:w="2523"/>
        <w:gridCol w:w="2523"/>
        <w:gridCol w:w="2523"/>
      </w:tblGrid>
      <w:tr>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Metric</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How to measure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Baseline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90-day target</w:t>
            </w:r>
          </w:p>
        </w:tc>
      </w:tr>
      <w:tr>
        <w:tc>
          <w:tcPr>
            <w:tcW w:type="dxa" w:w="2523"/>
            <w:vAlign w:val="center"/>
            <w:tcMar>
              <w:top w:w="60" w:type="dxa"/>
              <w:bottom w:w="60" w:type="dxa"/>
              <w:left w:w="110" w:type="dxa"/>
              <w:right w:w="110" w:type="dxa"/>
            </w:tcMar>
          </w:tcPr>
          <w:p>
            <w:pPr>
              <w:spacing w:after="40" w:before="40"/>
            </w:pPr>
            <w:r>
              <w:rPr>
                <w:sz w:val="22"/>
                <w:szCs w:val="22"/>
              </w:rPr>
              <w:t>Tickets open &gt;5 days no activity</w:t>
            </w:r>
          </w:p>
        </w:tc>
        <w:tc>
          <w:tcPr>
            <w:tcW w:type="dxa" w:w="2523"/>
            <w:vAlign w:val="center"/>
            <w:tcMar>
              <w:top w:w="60" w:type="dxa"/>
              <w:bottom w:w="60" w:type="dxa"/>
              <w:left w:w="110" w:type="dxa"/>
              <w:right w:w="110" w:type="dxa"/>
            </w:tcMar>
          </w:tcPr>
          <w:p>
            <w:pPr>
              <w:spacing w:after="40" w:before="40"/>
            </w:pPr>
            <w:r>
              <w:rPr>
                <w:sz w:val="22"/>
                <w:szCs w:val="22"/>
              </w:rPr>
              <w:t>Explore: count by priority</w:t>
            </w:r>
          </w:p>
        </w:tc>
        <w:tc>
          <w:tcPr>
            <w:tcW w:type="dxa" w:w="2523"/>
            <w:vAlign w:val="center"/>
            <w:tcMar>
              <w:top w:w="60" w:type="dxa"/>
              <w:bottom w:w="60" w:type="dxa"/>
              <w:left w:w="110" w:type="dxa"/>
              <w:right w:w="110" w:type="dxa"/>
            </w:tcMar>
          </w:tcPr>
          <w:p>
            <w:pPr>
              <w:spacing w:after="40" w:before="40"/>
            </w:pPr>
            <w:r>
              <w:rPr>
                <w:sz w:val="22"/>
                <w:szCs w:val="22"/>
              </w:rPr>
              <w:t>Baseline now</w:t>
            </w:r>
          </w:p>
        </w:tc>
        <w:tc>
          <w:tcPr>
            <w:tcW w:type="dxa" w:w="2523"/>
            <w:vAlign w:val="center"/>
            <w:tcMar>
              <w:top w:w="60" w:type="dxa"/>
              <w:bottom w:w="60" w:type="dxa"/>
              <w:left w:w="110" w:type="dxa"/>
              <w:right w:w="110" w:type="dxa"/>
            </w:tcMar>
          </w:tcPr>
          <w:p>
            <w:pPr>
              <w:spacing w:after="40" w:before="40"/>
            </w:pPr>
            <w:r>
              <w:rPr>
                <w:sz w:val="22"/>
                <w:szCs w:val="22"/>
              </w:rPr>
              <w:t>Reduce 30%</w:t>
            </w:r>
          </w:p>
        </w:tc>
      </w:tr>
      <w:tr>
        <w:tc>
          <w:tcPr>
            <w:tcW w:type="dxa" w:w="2523"/>
            <w:vAlign w:val="center"/>
            <w:tcMar>
              <w:top w:w="60" w:type="dxa"/>
              <w:bottom w:w="60" w:type="dxa"/>
              <w:left w:w="110" w:type="dxa"/>
              <w:right w:w="110" w:type="dxa"/>
            </w:tcMar>
          </w:tcPr>
          <w:p>
            <w:pPr>
              <w:spacing w:after="40" w:before="40"/>
            </w:pPr>
            <w:r>
              <w:rPr>
                <w:sz w:val="22"/>
                <w:szCs w:val="22"/>
              </w:rPr>
              <w:t>Mean on-hold age</w:t>
            </w:r>
          </w:p>
        </w:tc>
        <w:tc>
          <w:tcPr>
            <w:tcW w:type="dxa" w:w="2523"/>
            <w:vAlign w:val="center"/>
            <w:tcMar>
              <w:top w:w="60" w:type="dxa"/>
              <w:bottom w:w="60" w:type="dxa"/>
              <w:left w:w="110" w:type="dxa"/>
              <w:right w:w="110" w:type="dxa"/>
            </w:tcMar>
          </w:tcPr>
          <w:p>
            <w:pPr>
              <w:spacing w:after="40" w:before="40"/>
            </w:pPr>
            <w:r>
              <w:rPr>
                <w:sz w:val="22"/>
                <w:szCs w:val="22"/>
              </w:rPr>
              <w:t>Explore: avg hours in on-hold status</w:t>
            </w:r>
          </w:p>
        </w:tc>
        <w:tc>
          <w:tcPr>
            <w:tcW w:type="dxa" w:w="2523"/>
            <w:vAlign w:val="center"/>
            <w:tcMar>
              <w:top w:w="60" w:type="dxa"/>
              <w:bottom w:w="60" w:type="dxa"/>
              <w:left w:w="110" w:type="dxa"/>
              <w:right w:w="110" w:type="dxa"/>
            </w:tcMar>
          </w:tcPr>
          <w:p>
            <w:pPr>
              <w:spacing w:after="40" w:before="40"/>
            </w:pPr>
            <w:r>
              <w:rPr>
                <w:sz w:val="22"/>
                <w:szCs w:val="22"/>
              </w:rPr>
              <w:t>Baseline now</w:t>
            </w:r>
          </w:p>
        </w:tc>
        <w:tc>
          <w:tcPr>
            <w:tcW w:type="dxa" w:w="2523"/>
            <w:vAlign w:val="center"/>
            <w:tcMar>
              <w:top w:w="60" w:type="dxa"/>
              <w:bottom w:w="60" w:type="dxa"/>
              <w:left w:w="110" w:type="dxa"/>
              <w:right w:w="110" w:type="dxa"/>
            </w:tcMar>
          </w:tcPr>
          <w:p>
            <w:pPr>
              <w:spacing w:after="40" w:before="40"/>
            </w:pPr>
            <w:r>
              <w:rPr>
                <w:sz w:val="22"/>
                <w:szCs w:val="22"/>
              </w:rPr>
              <w:t>Reduce 20%</w:t>
            </w:r>
          </w:p>
        </w:tc>
      </w:tr>
      <w:tr>
        <w:tc>
          <w:tcPr>
            <w:tcW w:type="dxa" w:w="2523"/>
            <w:vAlign w:val="center"/>
            <w:tcMar>
              <w:top w:w="60" w:type="dxa"/>
              <w:bottom w:w="60" w:type="dxa"/>
              <w:left w:w="110" w:type="dxa"/>
              <w:right w:w="110" w:type="dxa"/>
            </w:tcMar>
          </w:tcPr>
          <w:p>
            <w:pPr>
              <w:spacing w:after="40" w:before="40"/>
            </w:pPr>
            <w:r>
              <w:rPr>
                <w:sz w:val="22"/>
                <w:szCs w:val="22"/>
              </w:rPr>
              <w:t>Customer chase messages</w:t>
            </w:r>
          </w:p>
        </w:tc>
        <w:tc>
          <w:tcPr>
            <w:tcW w:type="dxa" w:w="2523"/>
            <w:vAlign w:val="center"/>
            <w:tcMar>
              <w:top w:w="60" w:type="dxa"/>
              <w:bottom w:w="60" w:type="dxa"/>
              <w:left w:w="110" w:type="dxa"/>
              <w:right w:w="110" w:type="dxa"/>
            </w:tcMar>
          </w:tcPr>
          <w:p>
            <w:pPr>
              <w:spacing w:after="40" w:before="40"/>
            </w:pPr>
            <w:r>
              <w:rPr>
                <w:sz w:val="22"/>
                <w:szCs w:val="22"/>
              </w:rPr>
              <w:t>Tag or text search "any update|follow up|still waiting"</w:t>
            </w:r>
          </w:p>
        </w:tc>
        <w:tc>
          <w:tcPr>
            <w:tcW w:type="dxa" w:w="2523"/>
            <w:vAlign w:val="center"/>
            <w:tcMar>
              <w:top w:w="60" w:type="dxa"/>
              <w:bottom w:w="60" w:type="dxa"/>
              <w:left w:w="110" w:type="dxa"/>
              <w:right w:w="110" w:type="dxa"/>
            </w:tcMar>
          </w:tcPr>
          <w:p>
            <w:pPr>
              <w:spacing w:after="40" w:before="40"/>
            </w:pPr>
            <w:r>
              <w:rPr>
                <w:sz w:val="22"/>
                <w:szCs w:val="22"/>
              </w:rPr>
              <w:t>Monthly count</w:t>
            </w:r>
          </w:p>
        </w:tc>
        <w:tc>
          <w:tcPr>
            <w:tcW w:type="dxa" w:w="2523"/>
            <w:vAlign w:val="center"/>
            <w:tcMar>
              <w:top w:w="60" w:type="dxa"/>
              <w:bottom w:w="60" w:type="dxa"/>
              <w:left w:w="110" w:type="dxa"/>
              <w:right w:w="110" w:type="dxa"/>
            </w:tcMar>
          </w:tcPr>
          <w:p>
            <w:pPr>
              <w:spacing w:after="40" w:before="40"/>
            </w:pPr>
            <w:r>
              <w:rPr>
                <w:sz w:val="22"/>
                <w:szCs w:val="22"/>
              </w:rPr>
              <w:t>Reduce 25%</w:t>
            </w:r>
          </w:p>
        </w:tc>
      </w:tr>
      <w:tr>
        <w:tc>
          <w:tcPr>
            <w:tcW w:type="dxa" w:w="2523"/>
            <w:vAlign w:val="center"/>
            <w:tcMar>
              <w:top w:w="60" w:type="dxa"/>
              <w:bottom w:w="60" w:type="dxa"/>
              <w:left w:w="110" w:type="dxa"/>
              <w:right w:w="110" w:type="dxa"/>
            </w:tcMar>
          </w:tcPr>
          <w:p>
            <w:pPr>
              <w:spacing w:after="40" w:before="40"/>
            </w:pPr>
            <w:r>
              <w:rPr>
                <w:sz w:val="22"/>
                <w:szCs w:val="22"/>
              </w:rPr>
              <w:t>SLA breach on stale tickets</w:t>
            </w:r>
          </w:p>
        </w:tc>
        <w:tc>
          <w:tcPr>
            <w:tcW w:type="dxa" w:w="2523"/>
            <w:vAlign w:val="center"/>
            <w:tcMar>
              <w:top w:w="60" w:type="dxa"/>
              <w:bottom w:w="60" w:type="dxa"/>
              <w:left w:w="110" w:type="dxa"/>
              <w:right w:w="110" w:type="dxa"/>
            </w:tcMar>
          </w:tcPr>
          <w:p>
            <w:pPr>
              <w:spacing w:after="40" w:before="40"/>
            </w:pPr>
            <w:r>
              <w:rPr>
                <w:sz w:val="22"/>
                <w:szCs w:val="22"/>
              </w:rPr>
              <w:t>Breaches where ticket had stale_ticket tag in prior 48h</w:t>
            </w:r>
          </w:p>
        </w:tc>
        <w:tc>
          <w:tcPr>
            <w:tcW w:type="dxa" w:w="2523"/>
            <w:vAlign w:val="center"/>
            <w:tcMar>
              <w:top w:w="60" w:type="dxa"/>
              <w:bottom w:w="60" w:type="dxa"/>
              <w:left w:w="110" w:type="dxa"/>
              <w:right w:w="110" w:type="dxa"/>
            </w:tcMar>
          </w:tcPr>
          <w:p>
            <w:pPr>
              <w:spacing w:after="40" w:before="40"/>
            </w:pPr>
            <w:r>
              <w:rPr>
                <w:sz w:val="22"/>
                <w:szCs w:val="22"/>
              </w:rPr>
              <w:t>Baseline</w:t>
            </w:r>
          </w:p>
        </w:tc>
        <w:tc>
          <w:tcPr>
            <w:tcW w:type="dxa" w:w="2523"/>
            <w:vAlign w:val="center"/>
            <w:tcMar>
              <w:top w:w="60" w:type="dxa"/>
              <w:bottom w:w="60" w:type="dxa"/>
              <w:left w:w="110" w:type="dxa"/>
              <w:right w:w="110" w:type="dxa"/>
            </w:tcMar>
          </w:tcPr>
          <w:p>
            <w:pPr>
              <w:spacing w:after="40" w:before="40"/>
            </w:pPr>
            <w:r>
              <w:rPr>
                <w:sz w:val="22"/>
                <w:szCs w:val="22"/>
              </w:rPr>
              <w:t>Reduce 35%</w:t>
            </w:r>
          </w:p>
        </w:tc>
      </w:tr>
    </w:tbl>
    <w:p>
      <w:pPr>
        <w:jc w:val="both"/>
      </w:pPr>
    </w:p>
    <w:p>
      <w:pPr>
        <w:pStyle w:val="Heading1"/>
      </w:pPr>
      <w:r>
        <w:rPr/>
        <w:t>Recommended Priority Order</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018"/>
        <w:gridCol w:w="2018"/>
        <w:gridCol w:w="2018"/>
        <w:gridCol w:w="2018"/>
        <w:gridCol w:w="2018"/>
      </w:tblGrid>
      <w:tr>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Priority</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Issue</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Effort</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Impact</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Rationale</w:t>
            </w:r>
          </w:p>
        </w:tc>
      </w:tr>
      <w:tr>
        <w:tc>
          <w:tcPr>
            <w:tcW w:type="dxa" w:w="2018"/>
            <w:vAlign w:val="center"/>
            <w:tcMar>
              <w:top w:w="60" w:type="dxa"/>
              <w:bottom w:w="60" w:type="dxa"/>
              <w:left w:w="110" w:type="dxa"/>
              <w:right w:w="110" w:type="dxa"/>
            </w:tcMar>
          </w:tcPr>
          <w:p>
            <w:pPr>
              <w:spacing w:after="40" w:before="40"/>
            </w:pPr>
            <w:r>
              <w:rPr>
                <w:sz w:val="22"/>
                <w:szCs w:val="22"/>
              </w:rPr>
              <w:t>P1</w:t>
            </w:r>
          </w:p>
        </w:tc>
        <w:tc>
          <w:tcPr>
            <w:tcW w:type="dxa" w:w="2018"/>
            <w:vAlign w:val="center"/>
            <w:tcMar>
              <w:top w:w="60" w:type="dxa"/>
              <w:bottom w:w="60" w:type="dxa"/>
              <w:left w:w="110" w:type="dxa"/>
              <w:right w:w="110" w:type="dxa"/>
            </w:tcMar>
          </w:tcPr>
          <w:p>
            <w:pPr>
              <w:spacing w:after="40" w:before="40"/>
            </w:pPr>
            <w:r>
              <w:rPr>
                <w:sz w:val="22"/>
                <w:szCs w:val="22"/>
              </w:rPr>
              <w:t>Supplier escalation reopen (Issue 2)</w:t>
            </w:r>
          </w:p>
        </w:tc>
        <w:tc>
          <w:tcPr>
            <w:tcW w:type="dxa" w:w="2018"/>
            <w:vAlign w:val="center"/>
            <w:tcMar>
              <w:top w:w="60" w:type="dxa"/>
              <w:bottom w:w="60" w:type="dxa"/>
              <w:left w:w="110" w:type="dxa"/>
              <w:right w:w="110" w:type="dxa"/>
            </w:tcMar>
          </w:tcPr>
          <w:p>
            <w:pPr>
              <w:spacing w:after="40" w:before="40"/>
            </w:pPr>
            <w:r>
              <w:rPr>
                <w:sz w:val="22"/>
                <w:szCs w:val="22"/>
              </w:rPr>
              <w:t>Medium</w:t>
            </w:r>
          </w:p>
        </w:tc>
        <w:tc>
          <w:tcPr>
            <w:tcW w:type="dxa" w:w="2018"/>
            <w:vAlign w:val="center"/>
            <w:tcMar>
              <w:top w:w="60" w:type="dxa"/>
              <w:bottom w:w="60" w:type="dxa"/>
              <w:left w:w="110" w:type="dxa"/>
              <w:right w:w="110" w:type="dxa"/>
            </w:tcMar>
          </w:tcPr>
          <w:p>
            <w:pPr>
              <w:spacing w:after="40" w:before="40"/>
            </w:pPr>
            <w:r>
              <w:rPr>
                <w:sz w:val="22"/>
                <w:szCs w:val="22"/>
              </w:rPr>
              <w:t>High</w:t>
            </w:r>
          </w:p>
        </w:tc>
        <w:tc>
          <w:tcPr>
            <w:tcW w:type="dxa" w:w="2018"/>
            <w:vAlign w:val="center"/>
            <w:tcMar>
              <w:top w:w="60" w:type="dxa"/>
              <w:bottom w:w="60" w:type="dxa"/>
              <w:left w:w="110" w:type="dxa"/>
              <w:right w:w="110" w:type="dxa"/>
            </w:tcMar>
          </w:tcPr>
          <w:p>
            <w:pPr>
              <w:spacing w:after="40" w:before="40"/>
            </w:pPr>
            <w:r>
              <w:rPr>
                <w:sz w:val="22"/>
                <w:szCs w:val="22"/>
              </w:rPr>
              <w:t>Direct customer wait, JIRA regression, agent trust</w:t>
            </w:r>
          </w:p>
        </w:tc>
      </w:tr>
      <w:tr>
        <w:tc>
          <w:tcPr>
            <w:tcW w:type="dxa" w:w="2018"/>
            <w:vAlign w:val="center"/>
            <w:tcMar>
              <w:top w:w="60" w:type="dxa"/>
              <w:bottom w:w="60" w:type="dxa"/>
              <w:left w:w="110" w:type="dxa"/>
              <w:right w:w="110" w:type="dxa"/>
            </w:tcMar>
          </w:tcPr>
          <w:p>
            <w:pPr>
              <w:spacing w:after="40" w:before="40"/>
            </w:pPr>
            <w:r>
              <w:rPr>
                <w:sz w:val="22"/>
                <w:szCs w:val="22"/>
              </w:rPr>
              <w:t>P1</w:t>
            </w:r>
          </w:p>
        </w:tc>
        <w:tc>
          <w:tcPr>
            <w:tcW w:type="dxa" w:w="2018"/>
            <w:vAlign w:val="center"/>
            <w:tcMar>
              <w:top w:w="60" w:type="dxa"/>
              <w:bottom w:w="60" w:type="dxa"/>
              <w:left w:w="110" w:type="dxa"/>
              <w:right w:w="110" w:type="dxa"/>
            </w:tcMar>
          </w:tcPr>
          <w:p>
            <w:pPr>
              <w:spacing w:after="40" w:before="40"/>
            </w:pPr>
            <w:r>
              <w:rPr>
                <w:sz w:val="22"/>
                <w:szCs w:val="22"/>
              </w:rPr>
              <w:t>Duplicate tickets (Issue 1)</w:t>
            </w:r>
          </w:p>
        </w:tc>
        <w:tc>
          <w:tcPr>
            <w:tcW w:type="dxa" w:w="2018"/>
            <w:vAlign w:val="center"/>
            <w:tcMar>
              <w:top w:w="60" w:type="dxa"/>
              <w:bottom w:w="60" w:type="dxa"/>
              <w:left w:w="110" w:type="dxa"/>
              <w:right w:w="110" w:type="dxa"/>
            </w:tcMar>
          </w:tcPr>
          <w:p>
            <w:pPr>
              <w:spacing w:after="40" w:before="40"/>
            </w:pPr>
            <w:r>
              <w:rPr>
                <w:sz w:val="22"/>
                <w:szCs w:val="22"/>
              </w:rPr>
              <w:t>Medium</w:t>
            </w:r>
          </w:p>
        </w:tc>
        <w:tc>
          <w:tcPr>
            <w:tcW w:type="dxa" w:w="2018"/>
            <w:vAlign w:val="center"/>
            <w:tcMar>
              <w:top w:w="60" w:type="dxa"/>
              <w:bottom w:w="60" w:type="dxa"/>
              <w:left w:w="110" w:type="dxa"/>
              <w:right w:w="110" w:type="dxa"/>
            </w:tcMar>
          </w:tcPr>
          <w:p>
            <w:pPr>
              <w:spacing w:after="40" w:before="40"/>
            </w:pPr>
            <w:r>
              <w:rPr>
                <w:sz w:val="22"/>
                <w:szCs w:val="22"/>
              </w:rPr>
              <w:t>High</w:t>
            </w:r>
          </w:p>
        </w:tc>
        <w:tc>
          <w:tcPr>
            <w:tcW w:type="dxa" w:w="2018"/>
            <w:vAlign w:val="center"/>
            <w:tcMar>
              <w:top w:w="60" w:type="dxa"/>
              <w:bottom w:w="60" w:type="dxa"/>
              <w:left w:w="110" w:type="dxa"/>
              <w:right w:w="110" w:type="dxa"/>
            </w:tcMar>
          </w:tcPr>
          <w:p>
            <w:pPr>
              <w:spacing w:after="40" w:before="40"/>
            </w:pPr>
            <w:r>
              <w:rPr>
                <w:sz w:val="22"/>
                <w:szCs w:val="22"/>
              </w:rPr>
              <w:t>Data quality + customer experience</w:t>
            </w:r>
          </w:p>
        </w:tc>
      </w:tr>
      <w:tr>
        <w:tc>
          <w:tcPr>
            <w:tcW w:type="dxa" w:w="2018"/>
            <w:vAlign w:val="center"/>
            <w:tcMar>
              <w:top w:w="60" w:type="dxa"/>
              <w:bottom w:w="60" w:type="dxa"/>
              <w:left w:w="110" w:type="dxa"/>
              <w:right w:w="110" w:type="dxa"/>
            </w:tcMar>
          </w:tcPr>
          <w:p>
            <w:pPr>
              <w:spacing w:after="40" w:before="40"/>
            </w:pPr>
            <w:r>
              <w:rPr>
                <w:sz w:val="22"/>
                <w:szCs w:val="22"/>
              </w:rPr>
              <w:t>P2</w:t>
            </w:r>
          </w:p>
        </w:tc>
        <w:tc>
          <w:tcPr>
            <w:tcW w:type="dxa" w:w="2018"/>
            <w:vAlign w:val="center"/>
            <w:tcMar>
              <w:top w:w="60" w:type="dxa"/>
              <w:bottom w:w="60" w:type="dxa"/>
              <w:left w:w="110" w:type="dxa"/>
              <w:right w:w="110" w:type="dxa"/>
            </w:tcMar>
          </w:tcPr>
          <w:p>
            <w:pPr>
              <w:spacing w:after="40" w:before="40"/>
            </w:pPr>
            <w:r>
              <w:rPr>
                <w:sz w:val="22"/>
                <w:szCs w:val="22"/>
              </w:rPr>
              <w:t>Stale ticket nudges (Issue 3)</w:t>
            </w:r>
          </w:p>
        </w:tc>
        <w:tc>
          <w:tcPr>
            <w:tcW w:type="dxa" w:w="2018"/>
            <w:vAlign w:val="center"/>
            <w:tcMar>
              <w:top w:w="60" w:type="dxa"/>
              <w:bottom w:w="60" w:type="dxa"/>
              <w:left w:w="110" w:type="dxa"/>
              <w:right w:w="110" w:type="dxa"/>
            </w:tcMar>
          </w:tcPr>
          <w:p>
            <w:pPr>
              <w:spacing w:after="40" w:before="40"/>
            </w:pPr>
            <w:r>
              <w:rPr>
                <w:sz w:val="22"/>
                <w:szCs w:val="22"/>
              </w:rPr>
              <w:t>Low</w:t>
            </w:r>
          </w:p>
        </w:tc>
        <w:tc>
          <w:tcPr>
            <w:tcW w:type="dxa" w:w="2018"/>
            <w:vAlign w:val="center"/>
            <w:tcMar>
              <w:top w:w="60" w:type="dxa"/>
              <w:bottom w:w="60" w:type="dxa"/>
              <w:left w:w="110" w:type="dxa"/>
              <w:right w:w="110" w:type="dxa"/>
            </w:tcMar>
          </w:tcPr>
          <w:p>
            <w:pPr>
              <w:spacing w:after="40" w:before="40"/>
            </w:pPr>
            <w:r>
              <w:rPr>
                <w:sz w:val="22"/>
                <w:szCs w:val="22"/>
              </w:rPr>
              <w:t>Medium</w:t>
            </w:r>
          </w:p>
        </w:tc>
        <w:tc>
          <w:tcPr>
            <w:tcW w:type="dxa" w:w="2018"/>
            <w:vAlign w:val="center"/>
            <w:tcMar>
              <w:top w:w="60" w:type="dxa"/>
              <w:bottom w:w="60" w:type="dxa"/>
              <w:left w:w="110" w:type="dxa"/>
              <w:right w:w="110" w:type="dxa"/>
            </w:tcMar>
          </w:tcPr>
          <w:p>
            <w:pPr>
              <w:spacing w:after="40" w:before="40"/>
            </w:pPr>
            <w:r>
              <w:rPr>
                <w:sz w:val="22"/>
                <w:szCs w:val="22"/>
              </w:rPr>
              <w:t>Quick win, complements Issue 2</w:t>
            </w:r>
          </w:p>
        </w:tc>
      </w:tr>
    </w:tbl>
    <w:p>
      <w:pPr>
        <w:jc w:val="both"/>
      </w:pPr>
    </w:p>
    <w:p>
      <w:pPr>
        <w:pStyle w:val="Heading1"/>
      </w:pPr>
      <w:r>
        <w:rPr/>
        <w:t>Part 2, Step-by-Step Implementation Plan</w:t>
      </w:r>
    </w:p>
    <w:p>
      <w:pPr>
        <w:jc w:val="both"/>
      </w:pPr>
      <w:r>
        <w:rPr/>
        <w:t>Part 1 sets out what to change and why. Part 2 is the detailed execution: program structure, timeline, roles, and a phased project plan for each change, with deliverables, success criteria, and rollback.</w:t>
      </w:r>
    </w:p>
    <w:p>
      <w:pPr>
        <w:pStyle w:val="Heading1"/>
      </w:pPr>
      <w:r>
        <w:rPr/>
        <w:t>Program overview</w:t>
      </w:r>
    </w:p>
    <w:p>
      <w:pPr>
        <w:jc w:val="both"/>
      </w:pPr>
      <w:r>
        <w:rPr/>
        <w:t>This document defines three discrete implementation projects to address Zendesk friction points identified in the first 30 days as EMEA Team Lead. Each project follows the same structure: problem statement, project metadata, phased step-by-step plan, deliverables, success criteria, and rollback plan.</w:t>
      </w:r>
    </w:p>
    <w:p>
      <w:pPr>
        <w:jc w:val="both"/>
      </w:pPr>
      <w:r>
        <w:rPr/>
        <w:t>Projects are designed to run in parallel where possible, with explicit dependencies noted. No project requires customers to change how they submit or receive support.</w:t>
      </w:r>
    </w:p>
    <w:p>
      <w:pPr>
        <w:pStyle w:val="Heading2"/>
      </w:pPr>
      <w:r>
        <w:rPr/>
        <w:t>Program timeline</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018"/>
        <w:gridCol w:w="2018"/>
        <w:gridCol w:w="2018"/>
        <w:gridCol w:w="2018"/>
        <w:gridCol w:w="2018"/>
      </w:tblGrid>
      <w:tr>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Project</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Priority</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Weeks 1-4</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Weeks 5-8</w:t>
            </w:r>
          </w:p>
        </w:tc>
        <w:tc>
          <w:tcPr>
            <w:tcW w:type="dxa" w:w="2018"/>
            <w:vAlign w:val="center"/>
            <w:tcMar>
              <w:top w:w="60" w:type="dxa"/>
              <w:bottom w:w="60" w:type="dxa"/>
              <w:left w:w="110" w:type="dxa"/>
              <w:right w:w="110" w:type="dxa"/>
            </w:tcMar>
            <w:shd w:val="clear" w:color="auto" w:fill="1B3A5B"/>
          </w:tcPr>
          <w:p>
            <w:pPr>
              <w:spacing w:after="40" w:before="40"/>
            </w:pPr>
            <w:r>
              <w:rPr>
                <w:b w:val="true"/>
                <w:color w:val="FFFFFF"/>
                <w:sz w:val="24"/>
                <w:szCs w:val="24"/>
              </w:rPr>
              <w:t>Weeks 9-12</w:t>
            </w:r>
          </w:p>
        </w:tc>
      </w:tr>
      <w:tr>
        <w:tc>
          <w:tcPr>
            <w:tcW w:type="dxa" w:w="2018"/>
            <w:vAlign w:val="center"/>
            <w:tcMar>
              <w:top w:w="60" w:type="dxa"/>
              <w:bottom w:w="60" w:type="dxa"/>
              <w:left w:w="110" w:type="dxa"/>
              <w:right w:w="110" w:type="dxa"/>
            </w:tcMar>
          </w:tcPr>
          <w:p>
            <w:pPr>
              <w:spacing w:after="40" w:before="40"/>
            </w:pPr>
            <w:r>
              <w:rPr>
                <w:sz w:val="22"/>
                <w:szCs w:val="22"/>
              </w:rPr>
              <w:t>P1, Supplier escalation reopen</w:t>
            </w:r>
          </w:p>
        </w:tc>
        <w:tc>
          <w:tcPr>
            <w:tcW w:type="dxa" w:w="2018"/>
            <w:vAlign w:val="center"/>
            <w:tcMar>
              <w:top w:w="60" w:type="dxa"/>
              <w:bottom w:w="60" w:type="dxa"/>
              <w:left w:w="110" w:type="dxa"/>
              <w:right w:w="110" w:type="dxa"/>
            </w:tcMar>
          </w:tcPr>
          <w:p>
            <w:pPr>
              <w:spacing w:after="40" w:before="40"/>
            </w:pPr>
            <w:r>
              <w:rPr>
                <w:sz w:val="22"/>
                <w:szCs w:val="22"/>
              </w:rPr>
              <w:t>Critical</w:t>
            </w:r>
          </w:p>
        </w:tc>
        <w:tc>
          <w:tcPr>
            <w:tcW w:type="dxa" w:w="2018"/>
            <w:vAlign w:val="center"/>
            <w:tcMar>
              <w:top w:w="60" w:type="dxa"/>
              <w:bottom w:w="60" w:type="dxa"/>
              <w:left w:w="110" w:type="dxa"/>
              <w:right w:w="110" w:type="dxa"/>
            </w:tcMar>
          </w:tcPr>
          <w:p>
            <w:pPr>
              <w:spacing w:after="40" w:before="40"/>
            </w:pPr>
            <w:r>
              <w:rPr>
                <w:sz w:val="22"/>
                <w:szCs w:val="22"/>
              </w:rPr>
              <w:t>Discover + Design + Shadow</w:t>
            </w:r>
          </w:p>
        </w:tc>
        <w:tc>
          <w:tcPr>
            <w:tcW w:type="dxa" w:w="2018"/>
            <w:vAlign w:val="center"/>
            <w:tcMar>
              <w:top w:w="60" w:type="dxa"/>
              <w:bottom w:w="60" w:type="dxa"/>
              <w:left w:w="110" w:type="dxa"/>
              <w:right w:w="110" w:type="dxa"/>
            </w:tcMar>
          </w:tcPr>
          <w:p>
            <w:pPr>
              <w:spacing w:after="40" w:before="40"/>
            </w:pPr>
            <w:r>
              <w:rPr>
                <w:sz w:val="22"/>
                <w:szCs w:val="22"/>
              </w:rPr>
              <w:t>Live pilot + Roll out</w:t>
            </w:r>
          </w:p>
        </w:tc>
        <w:tc>
          <w:tcPr>
            <w:tcW w:type="dxa" w:w="2018"/>
            <w:vAlign w:val="center"/>
            <w:tcMar>
              <w:top w:w="60" w:type="dxa"/>
              <w:bottom w:w="60" w:type="dxa"/>
              <w:left w:w="110" w:type="dxa"/>
              <w:right w:w="110" w:type="dxa"/>
            </w:tcMar>
          </w:tcPr>
          <w:p>
            <w:pPr>
              <w:spacing w:after="40" w:before="40"/>
            </w:pPr>
            <w:r>
              <w:rPr>
                <w:sz w:val="22"/>
                <w:szCs w:val="22"/>
              </w:rPr>
              <w:t>Scale + Measure</w:t>
            </w:r>
          </w:p>
        </w:tc>
      </w:tr>
      <w:tr>
        <w:tc>
          <w:tcPr>
            <w:tcW w:type="dxa" w:w="2018"/>
            <w:vAlign w:val="center"/>
            <w:tcMar>
              <w:top w:w="60" w:type="dxa"/>
              <w:bottom w:w="60" w:type="dxa"/>
              <w:left w:w="110" w:type="dxa"/>
              <w:right w:w="110" w:type="dxa"/>
            </w:tcMar>
          </w:tcPr>
          <w:p>
            <w:pPr>
              <w:spacing w:after="40" w:before="40"/>
            </w:pPr>
            <w:r>
              <w:rPr>
                <w:sz w:val="22"/>
                <w:szCs w:val="22"/>
              </w:rPr>
              <w:t>P2, Duplicate ticket prevention</w:t>
            </w:r>
          </w:p>
        </w:tc>
        <w:tc>
          <w:tcPr>
            <w:tcW w:type="dxa" w:w="2018"/>
            <w:vAlign w:val="center"/>
            <w:tcMar>
              <w:top w:w="60" w:type="dxa"/>
              <w:bottom w:w="60" w:type="dxa"/>
              <w:left w:w="110" w:type="dxa"/>
              <w:right w:w="110" w:type="dxa"/>
            </w:tcMar>
          </w:tcPr>
          <w:p>
            <w:pPr>
              <w:spacing w:after="40" w:before="40"/>
            </w:pPr>
            <w:r>
              <w:rPr>
                <w:sz w:val="22"/>
                <w:szCs w:val="22"/>
              </w:rPr>
              <w:t>Critical</w:t>
            </w:r>
          </w:p>
        </w:tc>
        <w:tc>
          <w:tcPr>
            <w:tcW w:type="dxa" w:w="2018"/>
            <w:vAlign w:val="center"/>
            <w:tcMar>
              <w:top w:w="60" w:type="dxa"/>
              <w:bottom w:w="60" w:type="dxa"/>
              <w:left w:w="110" w:type="dxa"/>
              <w:right w:w="110" w:type="dxa"/>
            </w:tcMar>
          </w:tcPr>
          <w:p>
            <w:pPr>
              <w:spacing w:after="40" w:before="40"/>
            </w:pPr>
            <w:r>
              <w:rPr>
                <w:sz w:val="22"/>
                <w:szCs w:val="22"/>
              </w:rPr>
              <w:t>Discover + Design</w:t>
            </w:r>
          </w:p>
        </w:tc>
        <w:tc>
          <w:tcPr>
            <w:tcW w:type="dxa" w:w="2018"/>
            <w:vAlign w:val="center"/>
            <w:tcMar>
              <w:top w:w="60" w:type="dxa"/>
              <w:bottom w:w="60" w:type="dxa"/>
              <w:left w:w="110" w:type="dxa"/>
              <w:right w:w="110" w:type="dxa"/>
            </w:tcMar>
          </w:tcPr>
          <w:p>
            <w:pPr>
              <w:spacing w:after="40" w:before="40"/>
            </w:pPr>
            <w:r>
              <w:rPr>
                <w:sz w:val="22"/>
                <w:szCs w:val="22"/>
              </w:rPr>
              <w:t>Pilot + Roll out</w:t>
            </w:r>
          </w:p>
        </w:tc>
        <w:tc>
          <w:tcPr>
            <w:tcW w:type="dxa" w:w="2018"/>
            <w:vAlign w:val="center"/>
            <w:tcMar>
              <w:top w:w="60" w:type="dxa"/>
              <w:bottom w:w="60" w:type="dxa"/>
              <w:left w:w="110" w:type="dxa"/>
              <w:right w:w="110" w:type="dxa"/>
            </w:tcMar>
          </w:tcPr>
          <w:p>
            <w:pPr>
              <w:spacing w:after="40" w:before="40"/>
            </w:pPr>
            <w:r>
              <w:rPr>
                <w:sz w:val="22"/>
                <w:szCs w:val="22"/>
              </w:rPr>
              <w:t>Optimise + Measure</w:t>
            </w:r>
          </w:p>
        </w:tc>
      </w:tr>
      <w:tr>
        <w:tc>
          <w:tcPr>
            <w:tcW w:type="dxa" w:w="2018"/>
            <w:vAlign w:val="center"/>
            <w:tcMar>
              <w:top w:w="60" w:type="dxa"/>
              <w:bottom w:w="60" w:type="dxa"/>
              <w:left w:w="110" w:type="dxa"/>
              <w:right w:w="110" w:type="dxa"/>
            </w:tcMar>
          </w:tcPr>
          <w:p>
            <w:pPr>
              <w:spacing w:after="40" w:before="40"/>
            </w:pPr>
            <w:r>
              <w:rPr>
                <w:sz w:val="22"/>
                <w:szCs w:val="22"/>
              </w:rPr>
              <w:t>P3, Stale ticket nudges</w:t>
            </w:r>
          </w:p>
        </w:tc>
        <w:tc>
          <w:tcPr>
            <w:tcW w:type="dxa" w:w="2018"/>
            <w:vAlign w:val="center"/>
            <w:tcMar>
              <w:top w:w="60" w:type="dxa"/>
              <w:bottom w:w="60" w:type="dxa"/>
              <w:left w:w="110" w:type="dxa"/>
              <w:right w:w="110" w:type="dxa"/>
            </w:tcMar>
          </w:tcPr>
          <w:p>
            <w:pPr>
              <w:spacing w:after="40" w:before="40"/>
            </w:pPr>
            <w:r>
              <w:rPr>
                <w:sz w:val="22"/>
                <w:szCs w:val="22"/>
              </w:rPr>
              <w:t>High</w:t>
            </w:r>
          </w:p>
        </w:tc>
        <w:tc>
          <w:tcPr>
            <w:tcW w:type="dxa" w:w="2018"/>
            <w:vAlign w:val="center"/>
            <w:tcMar>
              <w:top w:w="60" w:type="dxa"/>
              <w:bottom w:w="60" w:type="dxa"/>
              <w:left w:w="110" w:type="dxa"/>
              <w:right w:w="110" w:type="dxa"/>
            </w:tcMar>
          </w:tcPr>
          <w:p>
            <w:pPr>
              <w:spacing w:after="40" w:before="40"/>
            </w:pPr>
            <w:r>
              <w:rPr>
                <w:sz w:val="22"/>
                <w:szCs w:val="22"/>
              </w:rPr>
              <w:t>Design + Build</w:t>
            </w:r>
          </w:p>
        </w:tc>
        <w:tc>
          <w:tcPr>
            <w:tcW w:type="dxa" w:w="2018"/>
            <w:vAlign w:val="center"/>
            <w:tcMar>
              <w:top w:w="60" w:type="dxa"/>
              <w:bottom w:w="60" w:type="dxa"/>
              <w:left w:w="110" w:type="dxa"/>
              <w:right w:w="110" w:type="dxa"/>
            </w:tcMar>
          </w:tcPr>
          <w:p>
            <w:pPr>
              <w:spacing w:after="40" w:before="40"/>
            </w:pPr>
            <w:r>
              <w:rPr>
                <w:sz w:val="22"/>
                <w:szCs w:val="22"/>
              </w:rPr>
              <w:t>Pilot + Roll out</w:t>
            </w:r>
          </w:p>
        </w:tc>
        <w:tc>
          <w:tcPr>
            <w:tcW w:type="dxa" w:w="2018"/>
            <w:vAlign w:val="center"/>
            <w:tcMar>
              <w:top w:w="60" w:type="dxa"/>
              <w:bottom w:w="60" w:type="dxa"/>
              <w:left w:w="110" w:type="dxa"/>
              <w:right w:w="110" w:type="dxa"/>
            </w:tcMar>
          </w:tcPr>
          <w:p>
            <w:pPr>
              <w:spacing w:after="40" w:before="40"/>
            </w:pPr>
            <w:r>
              <w:rPr>
                <w:sz w:val="22"/>
                <w:szCs w:val="22"/>
              </w:rPr>
              <w:t>Measure</w:t>
            </w:r>
          </w:p>
        </w:tc>
      </w:tr>
    </w:tbl>
    <w:p>
      <w:pPr>
        <w:jc w:val="both"/>
      </w:pPr>
    </w:p>
    <w:p>
      <w:pPr>
        <w:pStyle w:val="Heading2"/>
      </w:pPr>
      <w:r>
        <w:rPr/>
        <w:t>Program roles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5046"/>
        <w:gridCol w:w="5046"/>
      </w:tblGrid>
      <w:tr>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Role</w:t>
            </w:r>
          </w:p>
        </w:tc>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Responsibility</w:t>
            </w:r>
          </w:p>
        </w:tc>
      </w:tr>
      <w:tr>
        <w:tc>
          <w:tcPr>
            <w:tcW w:type="dxa" w:w="5046"/>
            <w:vAlign w:val="center"/>
            <w:tcMar>
              <w:top w:w="60" w:type="dxa"/>
              <w:bottom w:w="60" w:type="dxa"/>
              <w:left w:w="110" w:type="dxa"/>
              <w:right w:w="110" w:type="dxa"/>
            </w:tcMar>
          </w:tcPr>
          <w:p>
            <w:pPr>
              <w:spacing w:after="40" w:before="40"/>
            </w:pPr>
            <w:r>
              <w:rPr>
                <w:sz w:val="22"/>
                <w:szCs w:val="22"/>
              </w:rPr>
              <w:t>EMEA Team Lead</w:t>
            </w:r>
          </w:p>
        </w:tc>
        <w:tc>
          <w:tcPr>
            <w:tcW w:type="dxa" w:w="5046"/>
            <w:vAlign w:val="center"/>
            <w:tcMar>
              <w:top w:w="60" w:type="dxa"/>
              <w:bottom w:w="60" w:type="dxa"/>
              <w:left w:w="110" w:type="dxa"/>
              <w:right w:w="110" w:type="dxa"/>
            </w:tcMar>
          </w:tcPr>
          <w:p>
            <w:pPr>
              <w:spacing w:after="40" w:before="40"/>
            </w:pPr>
            <w:r>
              <w:rPr>
                <w:sz w:val="22"/>
                <w:szCs w:val="22"/>
              </w:rPr>
              <w:t>Project sponsor, agent coaching, acceptance sign-off</w:t>
            </w:r>
          </w:p>
        </w:tc>
      </w:tr>
      <w:tr>
        <w:tc>
          <w:tcPr>
            <w:tcW w:type="dxa" w:w="5046"/>
            <w:vAlign w:val="center"/>
            <w:tcMar>
              <w:top w:w="60" w:type="dxa"/>
              <w:bottom w:w="60" w:type="dxa"/>
              <w:left w:w="110" w:type="dxa"/>
              <w:right w:w="110" w:type="dxa"/>
            </w:tcMar>
          </w:tcPr>
          <w:p>
            <w:pPr>
              <w:spacing w:after="40" w:before="40"/>
            </w:pPr>
            <w:r>
              <w:rPr>
                <w:sz w:val="22"/>
                <w:szCs w:val="22"/>
              </w:rPr>
              <w:t>Zendesk Admin</w:t>
            </w:r>
          </w:p>
        </w:tc>
        <w:tc>
          <w:tcPr>
            <w:tcW w:type="dxa" w:w="5046"/>
            <w:vAlign w:val="center"/>
            <w:tcMar>
              <w:top w:w="60" w:type="dxa"/>
              <w:bottom w:w="60" w:type="dxa"/>
              <w:left w:w="110" w:type="dxa"/>
              <w:right w:w="110" w:type="dxa"/>
            </w:tcMar>
          </w:tcPr>
          <w:p>
            <w:pPr>
              <w:spacing w:after="40" w:before="40"/>
            </w:pPr>
            <w:r>
              <w:rPr>
                <w:sz w:val="22"/>
                <w:szCs w:val="22"/>
              </w:rPr>
              <w:t>Configuration, triggers, automations, sandbox testing</w:t>
            </w:r>
          </w:p>
        </w:tc>
      </w:tr>
      <w:tr>
        <w:tc>
          <w:tcPr>
            <w:tcW w:type="dxa" w:w="5046"/>
            <w:vAlign w:val="center"/>
            <w:tcMar>
              <w:top w:w="60" w:type="dxa"/>
              <w:bottom w:w="60" w:type="dxa"/>
              <w:left w:w="110" w:type="dxa"/>
              <w:right w:w="110" w:type="dxa"/>
            </w:tcMar>
          </w:tcPr>
          <w:p>
            <w:pPr>
              <w:spacing w:after="40" w:before="40"/>
            </w:pPr>
            <w:r>
              <w:rPr>
                <w:sz w:val="22"/>
                <w:szCs w:val="22"/>
              </w:rPr>
              <w:t>Support Ops</w:t>
            </w:r>
          </w:p>
        </w:tc>
        <w:tc>
          <w:tcPr>
            <w:tcW w:type="dxa" w:w="5046"/>
            <w:vAlign w:val="center"/>
            <w:tcMar>
              <w:top w:w="60" w:type="dxa"/>
              <w:bottom w:w="60" w:type="dxa"/>
              <w:left w:w="110" w:type="dxa"/>
              <w:right w:w="110" w:type="dxa"/>
            </w:tcMar>
          </w:tcPr>
          <w:p>
            <w:pPr>
              <w:spacing w:after="40" w:before="40"/>
            </w:pPr>
            <w:r>
              <w:rPr>
                <w:sz w:val="22"/>
                <w:szCs w:val="22"/>
              </w:rPr>
              <w:t>Process documentation, change management, metrics</w:t>
            </w:r>
          </w:p>
        </w:tc>
      </w:tr>
      <w:tr>
        <w:tc>
          <w:tcPr>
            <w:tcW w:type="dxa" w:w="5046"/>
            <w:vAlign w:val="center"/>
            <w:tcMar>
              <w:top w:w="60" w:type="dxa"/>
              <w:bottom w:w="60" w:type="dxa"/>
              <w:left w:w="110" w:type="dxa"/>
              <w:right w:w="110" w:type="dxa"/>
            </w:tcMar>
          </w:tcPr>
          <w:p>
            <w:pPr>
              <w:spacing w:after="40" w:before="40"/>
            </w:pPr>
            <w:r>
              <w:rPr>
                <w:sz w:val="22"/>
                <w:szCs w:val="22"/>
              </w:rPr>
              <w:t>Escalation SMEs</w:t>
            </w:r>
          </w:p>
        </w:tc>
        <w:tc>
          <w:tcPr>
            <w:tcW w:type="dxa" w:w="5046"/>
            <w:vAlign w:val="center"/>
            <w:tcMar>
              <w:top w:w="60" w:type="dxa"/>
              <w:bottom w:w="60" w:type="dxa"/>
              <w:left w:w="110" w:type="dxa"/>
              <w:right w:w="110" w:type="dxa"/>
            </w:tcMar>
          </w:tcPr>
          <w:p>
            <w:pPr>
              <w:spacing w:after="40" w:before="40"/>
            </w:pPr>
            <w:r>
              <w:rPr>
                <w:sz w:val="22"/>
                <w:szCs w:val="22"/>
              </w:rPr>
              <w:t>Supplier playbook, allowlist, false-positive review</w:t>
            </w:r>
          </w:p>
        </w:tc>
      </w:tr>
      <w:tr>
        <w:tc>
          <w:tcPr>
            <w:tcW w:type="dxa" w:w="5046"/>
            <w:vAlign w:val="center"/>
            <w:tcMar>
              <w:top w:w="60" w:type="dxa"/>
              <w:bottom w:w="60" w:type="dxa"/>
              <w:left w:w="110" w:type="dxa"/>
              <w:right w:w="110" w:type="dxa"/>
            </w:tcMar>
          </w:tcPr>
          <w:p>
            <w:pPr>
              <w:spacing w:after="40" w:before="40"/>
            </w:pPr>
            <w:r>
              <w:rPr>
                <w:sz w:val="22"/>
                <w:szCs w:val="22"/>
              </w:rPr>
              <w:t>Ops Analytics</w:t>
            </w:r>
          </w:p>
        </w:tc>
        <w:tc>
          <w:tcPr>
            <w:tcW w:type="dxa" w:w="5046"/>
            <w:vAlign w:val="center"/>
            <w:tcMar>
              <w:top w:w="60" w:type="dxa"/>
              <w:bottom w:w="60" w:type="dxa"/>
              <w:left w:w="110" w:type="dxa"/>
              <w:right w:w="110" w:type="dxa"/>
            </w:tcMar>
          </w:tcPr>
          <w:p>
            <w:pPr>
              <w:spacing w:after="40" w:before="40"/>
            </w:pPr>
            <w:r>
              <w:rPr>
                <w:sz w:val="22"/>
                <w:szCs w:val="22"/>
              </w:rPr>
              <w:t>Baselines, Explore reports, 30/60/90-day reviews</w:t>
            </w:r>
          </w:p>
        </w:tc>
      </w:tr>
    </w:tbl>
    <w:p>
      <w:pPr>
        <w:jc w:val="both"/>
      </w:pPr>
    </w:p>
    <w:p>
      <w:pPr>
        <w:pStyle w:val="Heading1"/>
      </w:pPr>
      <w:r>
        <w:rPr/>
        <w:t>Project 1: Supplier Escalation Reopen Automation</w:t>
      </w:r>
    </w:p>
    <w:p>
      <w:pPr>
        <w:pStyle w:val="Heading2"/>
      </w:pPr>
      <w:r>
        <w:rPr/>
        <w:t>Problem statement</w:t>
      </w:r>
    </w:p>
    <w:p>
      <w:pPr>
        <w:jc w:val="both"/>
      </w:pPr>
      <w:r>
        <w:rPr/>
        <w:t>When a supplier responds to an escalation (carrier, aggregator, platform vendor), the parent customer Zendesk ticket does not reopen or notify the assignee. This is a regression from JIRA where supplier updates auto-transitioned the parent issue. Agents must manually poll side conversations, causing delayed customer updates.</w:t>
      </w:r>
    </w:p>
    <w:p>
      <w:pPr>
        <w:pStyle w:val="Heading2"/>
      </w:pPr>
      <w:r>
        <w:rPr/>
        <w:t>Project overview</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5046"/>
        <w:gridCol w:w="5046"/>
      </w:tblGrid>
      <w:tr>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Field</w:t>
            </w:r>
          </w:p>
        </w:tc>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Detail</w:t>
            </w:r>
          </w:p>
        </w:tc>
      </w:tr>
      <w:tr>
        <w:tc>
          <w:tcPr>
            <w:tcW w:type="dxa" w:w="5046"/>
            <w:vAlign w:val="center"/>
            <w:tcMar>
              <w:top w:w="60" w:type="dxa"/>
              <w:bottom w:w="60" w:type="dxa"/>
              <w:left w:w="110" w:type="dxa"/>
              <w:right w:w="110" w:type="dxa"/>
            </w:tcMar>
          </w:tcPr>
          <w:p>
            <w:pPr>
              <w:spacing w:after="40" w:before="40"/>
            </w:pPr>
            <w:r>
              <w:rPr>
                <w:sz w:val="22"/>
                <w:szCs w:val="22"/>
              </w:rPr>
              <w:t>Project name</w:t>
            </w:r>
          </w:p>
        </w:tc>
        <w:tc>
          <w:tcPr>
            <w:tcW w:type="dxa" w:w="5046"/>
            <w:vAlign w:val="center"/>
            <w:tcMar>
              <w:top w:w="60" w:type="dxa"/>
              <w:bottom w:w="60" w:type="dxa"/>
              <w:left w:w="110" w:type="dxa"/>
              <w:right w:w="110" w:type="dxa"/>
            </w:tcMar>
          </w:tcPr>
          <w:p>
            <w:pPr>
              <w:spacing w:after="40" w:before="40"/>
            </w:pPr>
            <w:r>
              <w:rPr>
                <w:sz w:val="22"/>
                <w:szCs w:val="22"/>
              </w:rPr>
              <w:t>Supplier Escalation Reopen Automation</w:t>
            </w:r>
          </w:p>
        </w:tc>
      </w:tr>
      <w:tr>
        <w:tc>
          <w:tcPr>
            <w:tcW w:type="dxa" w:w="5046"/>
            <w:vAlign w:val="center"/>
            <w:tcMar>
              <w:top w:w="60" w:type="dxa"/>
              <w:bottom w:w="60" w:type="dxa"/>
              <w:left w:w="110" w:type="dxa"/>
              <w:right w:w="110" w:type="dxa"/>
            </w:tcMar>
          </w:tcPr>
          <w:p>
            <w:pPr>
              <w:spacing w:after="40" w:before="40"/>
            </w:pPr>
            <w:r>
              <w:rPr>
                <w:sz w:val="22"/>
                <w:szCs w:val="22"/>
              </w:rPr>
              <w:t>Issue</w:t>
            </w:r>
          </w:p>
        </w:tc>
        <w:tc>
          <w:tcPr>
            <w:tcW w:type="dxa" w:w="5046"/>
            <w:vAlign w:val="center"/>
            <w:tcMar>
              <w:top w:w="60" w:type="dxa"/>
              <w:bottom w:w="60" w:type="dxa"/>
              <w:left w:w="110" w:type="dxa"/>
              <w:right w:w="110" w:type="dxa"/>
            </w:tcMar>
          </w:tcPr>
          <w:p>
            <w:pPr>
              <w:spacing w:after="40" w:before="40"/>
            </w:pPr>
            <w:r>
              <w:rPr>
                <w:sz w:val="22"/>
                <w:szCs w:val="22"/>
              </w:rPr>
              <w:t>Supplier updates do not surface on parent Zendesk ticket</w:t>
            </w:r>
          </w:p>
        </w:tc>
      </w:tr>
      <w:tr>
        <w:tc>
          <w:tcPr>
            <w:tcW w:type="dxa" w:w="5046"/>
            <w:vAlign w:val="center"/>
            <w:tcMar>
              <w:top w:w="60" w:type="dxa"/>
              <w:bottom w:w="60" w:type="dxa"/>
              <w:left w:w="110" w:type="dxa"/>
              <w:right w:w="110" w:type="dxa"/>
            </w:tcMar>
          </w:tcPr>
          <w:p>
            <w:pPr>
              <w:spacing w:after="40" w:before="40"/>
            </w:pPr>
            <w:r>
              <w:rPr>
                <w:sz w:val="22"/>
                <w:szCs w:val="22"/>
              </w:rPr>
              <w:t>Priority</w:t>
            </w:r>
          </w:p>
        </w:tc>
        <w:tc>
          <w:tcPr>
            <w:tcW w:type="dxa" w:w="5046"/>
            <w:vAlign w:val="center"/>
            <w:tcMar>
              <w:top w:w="60" w:type="dxa"/>
              <w:bottom w:w="60" w:type="dxa"/>
              <w:left w:w="110" w:type="dxa"/>
              <w:right w:w="110" w:type="dxa"/>
            </w:tcMar>
          </w:tcPr>
          <w:p>
            <w:pPr>
              <w:spacing w:after="40" w:before="40"/>
            </w:pPr>
            <w:r>
              <w:rPr>
                <w:sz w:val="22"/>
                <w:szCs w:val="22"/>
              </w:rPr>
              <w:t>P1, Critical</w:t>
            </w:r>
          </w:p>
        </w:tc>
      </w:tr>
      <w:tr>
        <w:tc>
          <w:tcPr>
            <w:tcW w:type="dxa" w:w="5046"/>
            <w:vAlign w:val="center"/>
            <w:tcMar>
              <w:top w:w="60" w:type="dxa"/>
              <w:bottom w:w="60" w:type="dxa"/>
              <w:left w:w="110" w:type="dxa"/>
              <w:right w:w="110" w:type="dxa"/>
            </w:tcMar>
          </w:tcPr>
          <w:p>
            <w:pPr>
              <w:spacing w:after="40" w:before="40"/>
            </w:pPr>
            <w:r>
              <w:rPr>
                <w:sz w:val="22"/>
                <w:szCs w:val="22"/>
              </w:rPr>
              <w:t>Project owner</w:t>
            </w:r>
          </w:p>
        </w:tc>
        <w:tc>
          <w:tcPr>
            <w:tcW w:type="dxa" w:w="5046"/>
            <w:vAlign w:val="center"/>
            <w:tcMar>
              <w:top w:w="60" w:type="dxa"/>
              <w:bottom w:w="60" w:type="dxa"/>
              <w:left w:w="110" w:type="dxa"/>
              <w:right w:w="110" w:type="dxa"/>
            </w:tcMar>
          </w:tcPr>
          <w:p>
            <w:pPr>
              <w:spacing w:after="40" w:before="40"/>
            </w:pPr>
            <w:r>
              <w:rPr>
                <w:sz w:val="22"/>
                <w:szCs w:val="22"/>
              </w:rPr>
              <w:t>EMEA Team Lead + Zendesk Admin</w:t>
            </w:r>
          </w:p>
        </w:tc>
      </w:tr>
      <w:tr>
        <w:tc>
          <w:tcPr>
            <w:tcW w:type="dxa" w:w="5046"/>
            <w:vAlign w:val="center"/>
            <w:tcMar>
              <w:top w:w="60" w:type="dxa"/>
              <w:bottom w:w="60" w:type="dxa"/>
              <w:left w:w="110" w:type="dxa"/>
              <w:right w:w="110" w:type="dxa"/>
            </w:tcMar>
          </w:tcPr>
          <w:p>
            <w:pPr>
              <w:spacing w:after="40" w:before="40"/>
            </w:pPr>
            <w:r>
              <w:rPr>
                <w:sz w:val="22"/>
                <w:szCs w:val="22"/>
              </w:rPr>
              <w:t>Duration</w:t>
            </w:r>
          </w:p>
        </w:tc>
        <w:tc>
          <w:tcPr>
            <w:tcW w:type="dxa" w:w="5046"/>
            <w:vAlign w:val="center"/>
            <w:tcMar>
              <w:top w:w="60" w:type="dxa"/>
              <w:bottom w:w="60" w:type="dxa"/>
              <w:left w:w="110" w:type="dxa"/>
              <w:right w:w="110" w:type="dxa"/>
            </w:tcMar>
          </w:tcPr>
          <w:p>
            <w:pPr>
              <w:spacing w:after="40" w:before="40"/>
            </w:pPr>
            <w:r>
              <w:rPr>
                <w:sz w:val="22"/>
                <w:szCs w:val="22"/>
              </w:rPr>
              <w:t>10 weeks</w:t>
            </w:r>
          </w:p>
        </w:tc>
      </w:tr>
      <w:tr>
        <w:tc>
          <w:tcPr>
            <w:tcW w:type="dxa" w:w="5046"/>
            <w:vAlign w:val="center"/>
            <w:tcMar>
              <w:top w:w="60" w:type="dxa"/>
              <w:bottom w:w="60" w:type="dxa"/>
              <w:left w:w="110" w:type="dxa"/>
              <w:right w:w="110" w:type="dxa"/>
            </w:tcMar>
          </w:tcPr>
          <w:p>
            <w:pPr>
              <w:spacing w:after="40" w:before="40"/>
            </w:pPr>
            <w:r>
              <w:rPr>
                <w:sz w:val="22"/>
                <w:szCs w:val="22"/>
              </w:rPr>
              <w:t>Dependencies</w:t>
            </w:r>
          </w:p>
        </w:tc>
        <w:tc>
          <w:tcPr>
            <w:tcW w:type="dxa" w:w="5046"/>
            <w:vAlign w:val="center"/>
            <w:tcMar>
              <w:top w:w="60" w:type="dxa"/>
              <w:bottom w:w="60" w:type="dxa"/>
              <w:left w:w="110" w:type="dxa"/>
              <w:right w:w="110" w:type="dxa"/>
            </w:tcMar>
          </w:tcPr>
          <w:p>
            <w:pPr>
              <w:spacing w:after="40" w:before="40"/>
            </w:pPr>
            <w:r>
              <w:rPr>
                <w:sz w:val="22"/>
                <w:szCs w:val="22"/>
              </w:rPr>
              <w:t>None, start immediately</w:t>
            </w:r>
          </w:p>
        </w:tc>
      </w:tr>
      <w:tr>
        <w:tc>
          <w:tcPr>
            <w:tcW w:type="dxa" w:w="5046"/>
            <w:vAlign w:val="center"/>
            <w:tcMar>
              <w:top w:w="60" w:type="dxa"/>
              <w:bottom w:w="60" w:type="dxa"/>
              <w:left w:w="110" w:type="dxa"/>
              <w:right w:w="110" w:type="dxa"/>
            </w:tcMar>
          </w:tcPr>
          <w:p>
            <w:pPr>
              <w:spacing w:after="40" w:before="40"/>
            </w:pPr>
            <w:r>
              <w:rPr>
                <w:sz w:val="22"/>
                <w:szCs w:val="22"/>
              </w:rPr>
              <w:t>Customer impact</w:t>
            </w:r>
          </w:p>
        </w:tc>
        <w:tc>
          <w:tcPr>
            <w:tcW w:type="dxa" w:w="5046"/>
            <w:vAlign w:val="center"/>
            <w:tcMar>
              <w:top w:w="60" w:type="dxa"/>
              <w:bottom w:w="60" w:type="dxa"/>
              <w:left w:w="110" w:type="dxa"/>
              <w:right w:w="110" w:type="dxa"/>
            </w:tcMar>
          </w:tcPr>
          <w:p>
            <w:pPr>
              <w:spacing w:after="40" w:before="40"/>
            </w:pPr>
            <w:r>
              <w:rPr>
                <w:sz w:val="22"/>
                <w:szCs w:val="22"/>
              </w:rPr>
              <w:t>None during implementation, positive after go-live (faster updates)</w:t>
            </w:r>
          </w:p>
        </w:tc>
      </w:tr>
    </w:tbl>
    <w:p>
      <w:pPr>
        <w:jc w:val="both"/>
      </w:pPr>
    </w:p>
    <w:p>
      <w:pPr>
        <w:pStyle w:val="Heading2"/>
      </w:pPr>
      <w:r>
        <w:rPr/>
        <w:t>Step-by-step implementation plan</w:t>
      </w:r>
    </w:p>
    <w:p>
      <w:pPr>
        <w:pStyle w:val="Heading3"/>
      </w:pPr>
      <w:r>
        <w:rPr/>
        <w:t>Phase 1, Discover (Week 1-2)</w:t>
      </w:r>
    </w:p>
    <w:p>
      <w:pPr>
        <w:jc w:val="both"/>
      </w:pPr>
      <w:r>
        <w:rPr>
          <w:i/>
        </w:rPr>
        <w:t>Goal: Map every supplier escalation path and document the JIRA-to-Zendesk gap.</w:t>
      </w:r>
    </w:p>
    <w:p>
      <w:pPr>
        <w:jc w:val="both"/>
      </w:pPr>
      <w:r>
        <w:rPr>
          <w:b/>
        </w:rPr>
        <w:t>Step 1:</w:t>
      </w:r>
      <w:r>
        <w:rPr/>
        <w:t>Schedule 45-minute interviews with 8-10 experienced EMEA agents. Ask: How do you escalate to suppliers today? What broke after JIRA?</w:t>
      </w:r>
    </w:p>
    <w:p>
      <w:pPr>
        <w:jc w:val="both"/>
      </w:pPr>
      <w:r>
        <w:rPr>
          <w:b/>
        </w:rPr>
        <w:t>Step 2:</w:t>
      </w:r>
      <w:r>
        <w:rPr/>
        <w:t>Export last 90 days of tickets tagged or noted as supplier escalations. Count volume by supplier type (carrier, platform, numbering, other).</w:t>
      </w:r>
    </w:p>
    <w:p>
      <w:pPr>
        <w:jc w:val="both"/>
      </w:pPr>
      <w:r>
        <w:rPr>
          <w:b/>
        </w:rPr>
        <w:t>Step 3:</w:t>
      </w:r>
      <w:r>
        <w:rPr/>
        <w:t>For each of the top 10 suppliers by volume, document: entry method (side conversation, child ticket, personal email), average response time, and whether parent ticket is updated today.</w:t>
      </w:r>
    </w:p>
    <w:p>
      <w:pPr>
        <w:jc w:val="both"/>
      </w:pPr>
      <w:r>
        <w:rPr>
          <w:b/>
        </w:rPr>
        <w:t>Step 4:</w:t>
      </w:r>
      <w:r>
        <w:rPr/>
        <w:t>Request JIRA workflow documentation from ops, identify the exact rules that fired on supplier update (status change, notification, assignee).</w:t>
      </w:r>
    </w:p>
    <w:p>
      <w:pPr>
        <w:jc w:val="both"/>
      </w:pPr>
      <w:r>
        <w:rPr>
          <w:b/>
        </w:rPr>
        <w:t>Step 5:</w:t>
      </w:r>
      <w:r>
        <w:rPr/>
        <w:t>List all supplier email domains and portal systems. Create draft supplier allowlist spreadsheet.</w:t>
      </w:r>
    </w:p>
    <w:p>
      <w:pPr>
        <w:jc w:val="both"/>
      </w:pPr>
      <w:r>
        <w:rPr>
          <w:b/>
        </w:rPr>
        <w:t>Step 6:</w:t>
      </w:r>
      <w:r>
        <w:rPr/>
        <w:t>Identify auto-acknowledgement email patterns (subject/body regex) to exclude from reopen triggers.</w:t>
      </w:r>
    </w:p>
    <w:p>
      <w:pPr>
        <w:jc w:val="both"/>
      </w:pPr>
      <w:r>
        <w:rPr>
          <w:b/>
        </w:rPr>
        <w:t>Step 7:</w:t>
      </w:r>
      <w:r>
        <w:rPr/>
        <w:t>Present findings to Zendesk Admin and Escalation SMEs. Agree scope for pilot supplier category (recommend: carrier escalations first).</w:t>
      </w:r>
    </w:p>
    <w:p>
      <w:pPr>
        <w:jc w:val="both"/>
      </w:pPr>
      <w:r>
        <w:rPr>
          <w:b/>
        </w:rPr>
        <w:t>Deliverables:</w:t>
      </w:r>
    </w:p>
    <w:p>
      <w:pPr>
        <w:pStyle w:val="ListBullet"/>
      </w:pPr>
      <w:r>
        <w:rPr/>
        <w:t>Supplier escalation path map (top 10 suppliers)</w:t>
      </w:r>
    </w:p>
    <w:p>
      <w:pPr>
        <w:pStyle w:val="ListBullet"/>
      </w:pPr>
      <w:r>
        <w:rPr/>
        <w:t>JIRA vs Zendesk gap analysis (1-page)</w:t>
      </w:r>
    </w:p>
    <w:p>
      <w:pPr>
        <w:pStyle w:val="ListBullet"/>
      </w:pPr>
      <w:r>
        <w:rPr/>
        <w:t>Draft supplier domain allowlist</w:t>
      </w:r>
    </w:p>
    <w:p>
      <w:pPr>
        <w:pStyle w:val="ListBullet"/>
      </w:pPr>
      <w:r>
        <w:rPr/>
        <w:t>Auto-ack regex list</w:t>
      </w:r>
    </w:p>
    <w:p>
      <w:pPr>
        <w:pStyle w:val="ListBullet"/>
      </w:pPr>
      <w:r>
        <w:rPr/>
        <w:t>Signed scope for pilot category</w:t>
      </w:r>
    </w:p>
    <w:p>
      <w:pPr>
        <w:jc w:val="both"/>
      </w:pPr>
    </w:p>
    <w:p>
      <w:pPr>
        <w:pStyle w:val="Heading3"/>
      </w:pPr>
      <w:r>
        <w:rPr/>
        <w:t>Phase 2, Design (Week 3)</w:t>
      </w:r>
    </w:p>
    <w:p>
      <w:pPr>
        <w:jc w:val="both"/>
      </w:pPr>
      <w:r>
        <w:rPr>
          <w:i/>
        </w:rPr>
        <w:t>Goal: Write complete trigger specifications and agent playbook before any production change.</w:t>
      </w:r>
    </w:p>
    <w:p>
      <w:pPr>
        <w:jc w:val="both"/>
      </w:pPr>
      <w:r>
        <w:rPr>
          <w:b/>
        </w:rPr>
        <w:t>Step 1:</w:t>
      </w:r>
      <w:r>
        <w:rPr/>
        <w:t>Agree standard escalation model: Side Conversation (email suppliers) OR Child ticket (formal SLAs), one model per supplier category, documented.</w:t>
      </w:r>
    </w:p>
    <w:p>
      <w:pPr>
        <w:jc w:val="both"/>
      </w:pPr>
      <w:r>
        <w:rPr>
          <w:b/>
        </w:rPr>
        <w:t>Step 2:</w:t>
      </w:r>
      <w:r>
        <w:rPr/>
        <w:t>Define custom fields: supplier_name (dropdown), supplier_ticket_id (text), escalation_opened_at (date), escalation_type (dropdown).</w:t>
      </w:r>
    </w:p>
    <w:p>
      <w:pPr>
        <w:jc w:val="both"/>
      </w:pPr>
      <w:r>
        <w:rPr>
          <w:b/>
        </w:rPr>
        <w:t>Step 3:</w:t>
      </w:r>
      <w:r>
        <w:rPr/>
        <w:t>Write trigger spec #1, Side conversation inbound: conditions, exclusions, parent actions (status, note, notify).</w:t>
      </w:r>
    </w:p>
    <w:p>
      <w:pPr>
        <w:jc w:val="both"/>
      </w:pPr>
      <w:r>
        <w:rPr>
          <w:b/>
        </w:rPr>
        <w:t>Step 4:</w:t>
      </w:r>
      <w:r>
        <w:rPr/>
        <w:t>Write trigger spec #2, Child ticket update: same parent actions.</w:t>
      </w:r>
    </w:p>
    <w:p>
      <w:pPr>
        <w:jc w:val="both"/>
      </w:pPr>
      <w:r>
        <w:rPr>
          <w:b/>
        </w:rPr>
        <w:t>Step 5:</w:t>
      </w:r>
      <w:r>
        <w:rPr/>
        <w:t>Design custom status "Supplier Responded" (optional) or use Open status with tag supplier_update_received.</w:t>
      </w:r>
    </w:p>
    <w:p>
      <w:pPr>
        <w:jc w:val="both"/>
      </w:pPr>
      <w:r>
        <w:rPr>
          <w:b/>
        </w:rPr>
        <w:t>Step 6:</w:t>
      </w:r>
      <w:r>
        <w:rPr/>
        <w:t>Draft macro "Start supplier escalation", sets fields, opens side conversation with template, sets On-hold, applies tag supplier_escalation.</w:t>
      </w:r>
    </w:p>
    <w:p>
      <w:pPr>
        <w:jc w:val="both"/>
      </w:pPr>
      <w:r>
        <w:rPr>
          <w:b/>
        </w:rPr>
        <w:t>Step 7:</w:t>
      </w:r>
      <w:r>
        <w:rPr/>
        <w:t>Draft macro "Supplier noise, keep on hold", removes false-positive tag, resets status, documents reason.</w:t>
      </w:r>
    </w:p>
    <w:p>
      <w:pPr>
        <w:jc w:val="both"/>
      </w:pPr>
      <w:r>
        <w:rPr>
          <w:b/>
        </w:rPr>
        <w:t>Step 8:</w:t>
      </w:r>
      <w:r>
        <w:rPr/>
        <w:t>Define shadow-mode logging: trigger adds internal note "SHADOW: would have reopened parent" without status change.</w:t>
      </w:r>
    </w:p>
    <w:p>
      <w:pPr>
        <w:jc w:val="both"/>
      </w:pPr>
      <w:r>
        <w:rPr>
          <w:b/>
        </w:rPr>
        <w:t>Step 9:</w:t>
      </w:r>
      <w:r>
        <w:rPr/>
        <w:t>Zendesk Admin reviews specs in change advisory. Schedule sandbox build for Week 4.</w:t>
      </w:r>
    </w:p>
    <w:p>
      <w:pPr>
        <w:jc w:val="both"/>
      </w:pPr>
      <w:r>
        <w:rPr>
          <w:b/>
        </w:rPr>
        <w:t>Deliverables:</w:t>
      </w:r>
    </w:p>
    <w:p>
      <w:pPr>
        <w:pStyle w:val="ListBullet"/>
      </w:pPr>
      <w:r>
        <w:rPr/>
        <w:t>Trigger specification document (signed off)</w:t>
      </w:r>
    </w:p>
    <w:p>
      <w:pPr>
        <w:pStyle w:val="ListBullet"/>
      </w:pPr>
      <w:r>
        <w:rPr/>
        <w:t>Custom field definitions</w:t>
      </w:r>
    </w:p>
    <w:p>
      <w:pPr>
        <w:pStyle w:val="ListBullet"/>
      </w:pPr>
      <w:r>
        <w:rPr/>
        <w:t>Two agent macros (draft)</w:t>
      </w:r>
    </w:p>
    <w:p>
      <w:pPr>
        <w:pStyle w:val="ListBullet"/>
      </w:pPr>
      <w:r>
        <w:rPr/>
        <w:t>Updated escalation playbook (draft)</w:t>
      </w:r>
    </w:p>
    <w:p>
      <w:pPr>
        <w:pStyle w:val="ListBullet"/>
      </w:pPr>
      <w:r>
        <w:rPr/>
        <w:t>Sandbox test plan</w:t>
      </w:r>
    </w:p>
    <w:p>
      <w:pPr>
        <w:jc w:val="both"/>
      </w:pPr>
    </w:p>
    <w:p>
      <w:pPr>
        <w:pStyle w:val="Heading3"/>
      </w:pPr>
      <w:r>
        <w:rPr/>
        <w:t>Phase 3, Build and shadow pilot (Week 4-5)</w:t>
      </w:r>
    </w:p>
    <w:p>
      <w:pPr>
        <w:jc w:val="both"/>
      </w:pPr>
      <w:r>
        <w:rPr>
          <w:i/>
        </w:rPr>
        <w:t>Goal: Build in sandbox, then run shadow mode in production, log only, no ticket changes.</w:t>
      </w:r>
    </w:p>
    <w:p>
      <w:pPr>
        <w:jc w:val="both"/>
      </w:pPr>
      <w:r>
        <w:rPr>
          <w:b/>
        </w:rPr>
        <w:t>Step 1:</w:t>
      </w:r>
      <w:r>
        <w:rPr/>
        <w:t>Zendesk Admin creates custom fields in sandbox. Validate on test tickets.</w:t>
      </w:r>
    </w:p>
    <w:p>
      <w:pPr>
        <w:jc w:val="both"/>
      </w:pPr>
      <w:r>
        <w:rPr>
          <w:b/>
        </w:rPr>
        <w:t>Step 2:</w:t>
      </w:r>
      <w:r>
        <w:rPr/>
        <w:t>Build triggers in sandbox. Test with sample supplier emails (use test mailboxes).</w:t>
      </w:r>
    </w:p>
    <w:p>
      <w:pPr>
        <w:jc w:val="both"/>
      </w:pPr>
      <w:r>
        <w:rPr>
          <w:b/>
        </w:rPr>
        <w:t>Step 3:</w:t>
      </w:r>
      <w:r>
        <w:rPr/>
        <w:t>Verify false-positive cases: auto-ack, out-of-office, internal forwards, must NOT fire.</w:t>
      </w:r>
    </w:p>
    <w:p>
      <w:pPr>
        <w:jc w:val="both"/>
      </w:pPr>
      <w:r>
        <w:rPr>
          <w:b/>
        </w:rPr>
        <w:t>Step 4:</w:t>
      </w:r>
      <w:r>
        <w:rPr/>
        <w:t>Promote fields and triggers to production in SHADOW mode (internal note only, no status change).</w:t>
      </w:r>
    </w:p>
    <w:p>
      <w:pPr>
        <w:jc w:val="both"/>
      </w:pPr>
      <w:r>
        <w:rPr>
          <w:b/>
        </w:rPr>
        <w:t>Step 5:</w:t>
      </w:r>
      <w:r>
        <w:rPr/>
        <w:t>Notify EMEA agents: "Shadow mode live, no workflow change yet."</w:t>
      </w:r>
    </w:p>
    <w:p>
      <w:pPr>
        <w:jc w:val="both"/>
      </w:pPr>
      <w:r>
        <w:rPr>
          <w:b/>
        </w:rPr>
        <w:t>Step 6:</w:t>
      </w:r>
      <w:r>
        <w:rPr/>
        <w:t>Run shadow mode for minimum 10 business days. Log every fire event in shared spreadsheet.</w:t>
      </w:r>
    </w:p>
    <w:p>
      <w:pPr>
        <w:jc w:val="both"/>
      </w:pPr>
      <w:r>
        <w:rPr>
          <w:b/>
        </w:rPr>
        <w:t>Step 7:</w:t>
      </w:r>
      <w:r>
        <w:rPr/>
        <w:t>Daily review (15 min): assignee + SME classify each shadow event as true positive or false positive.</w:t>
      </w:r>
    </w:p>
    <w:p>
      <w:pPr>
        <w:jc w:val="both"/>
      </w:pPr>
      <w:r>
        <w:rPr>
          <w:b/>
        </w:rPr>
        <w:t>Step 8:</w:t>
      </w:r>
      <w:r>
        <w:rPr/>
        <w:t>Calculate false-positive rate. Target: &lt;10% before proceeding. Tune regex and conditions if needed.</w:t>
      </w:r>
    </w:p>
    <w:p>
      <w:pPr>
        <w:jc w:val="both"/>
      </w:pPr>
      <w:r>
        <w:rPr>
          <w:b/>
        </w:rPr>
        <w:t>Step 9:</w:t>
      </w:r>
      <w:r>
        <w:rPr/>
        <w:t>Team Lead sign-off to proceed to live pilot.</w:t>
      </w:r>
    </w:p>
    <w:p>
      <w:pPr>
        <w:jc w:val="both"/>
      </w:pPr>
      <w:r>
        <w:rPr>
          <w:b/>
        </w:rPr>
        <w:t>Deliverables:</w:t>
      </w:r>
    </w:p>
    <w:p>
      <w:pPr>
        <w:pStyle w:val="ListBullet"/>
      </w:pPr>
      <w:r>
        <w:rPr/>
        <w:t>Sandbox test results log</w:t>
      </w:r>
    </w:p>
    <w:p>
      <w:pPr>
        <w:pStyle w:val="ListBullet"/>
      </w:pPr>
      <w:r>
        <w:rPr/>
        <w:t>Shadow mode event log (10+ days)</w:t>
      </w:r>
    </w:p>
    <w:p>
      <w:pPr>
        <w:pStyle w:val="ListBullet"/>
      </w:pPr>
      <w:r>
        <w:rPr/>
        <w:t>False-positive rate report</w:t>
      </w:r>
    </w:p>
    <w:p>
      <w:pPr>
        <w:pStyle w:val="ListBullet"/>
      </w:pPr>
      <w:r>
        <w:rPr/>
        <w:t>Tuned trigger conditions</w:t>
      </w:r>
    </w:p>
    <w:p>
      <w:pPr>
        <w:pStyle w:val="ListBullet"/>
      </w:pPr>
      <w:r>
        <w:rPr/>
        <w:t>Go/no-go decision record</w:t>
      </w:r>
    </w:p>
    <w:p>
      <w:pPr>
        <w:jc w:val="both"/>
      </w:pPr>
    </w:p>
    <w:p>
      <w:pPr>
        <w:pStyle w:val="Heading3"/>
      </w:pPr>
      <w:r>
        <w:rPr/>
        <w:t>Phase 4, Live pilot (Week 6-7)</w:t>
      </w:r>
    </w:p>
    <w:p>
      <w:pPr>
        <w:jc w:val="both"/>
      </w:pPr>
      <w:r>
        <w:rPr>
          <w:i/>
        </w:rPr>
        <w:t>Goal: Enable parent reopen and assignee notification for one supplier category in EMEA.</w:t>
      </w:r>
    </w:p>
    <w:p>
      <w:pPr>
        <w:jc w:val="both"/>
      </w:pPr>
      <w:r>
        <w:rPr>
          <w:b/>
        </w:rPr>
        <w:t>Step 1:</w:t>
      </w:r>
      <w:r>
        <w:rPr/>
        <w:t>Select pilot: carrier escalations only (highest volume, email-based, clear allowlist).</w:t>
      </w:r>
    </w:p>
    <w:p>
      <w:pPr>
        <w:jc w:val="both"/>
      </w:pPr>
      <w:r>
        <w:rPr>
          <w:b/>
        </w:rPr>
        <w:t>Step 2:</w:t>
      </w:r>
      <w:r>
        <w:rPr/>
        <w:t>Enable live triggers for carrier domain allowlist only. Other suppliers remain manual.</w:t>
      </w:r>
    </w:p>
    <w:p>
      <w:pPr>
        <w:jc w:val="both"/>
      </w:pPr>
      <w:r>
        <w:rPr>
          <w:b/>
        </w:rPr>
        <w:t>Step 3:</w:t>
      </w:r>
      <w:r>
        <w:rPr/>
        <w:t>Publish updated escalation playbook v1.0. 30-minute EMEA team huddle walkthrough.</w:t>
      </w:r>
    </w:p>
    <w:p>
      <w:pPr>
        <w:jc w:val="both"/>
      </w:pPr>
      <w:r>
        <w:rPr>
          <w:b/>
        </w:rPr>
        <w:t>Step 4:</w:t>
      </w:r>
      <w:r>
        <w:rPr/>
        <w:t>Post quick-reference card in team channel: "Starting carrier escalation" to use macro to expect parent reopen on supplier reply.</w:t>
      </w:r>
    </w:p>
    <w:p>
      <w:pPr>
        <w:jc w:val="both"/>
      </w:pPr>
      <w:r>
        <w:rPr>
          <w:b/>
        </w:rPr>
        <w:t>Step 5:</w:t>
      </w:r>
      <w:r>
        <w:rPr/>
        <w:t>Monitor pilot daily for first 5 days: review every triggered ticket with assignee.</w:t>
      </w:r>
    </w:p>
    <w:p>
      <w:pPr>
        <w:jc w:val="both"/>
      </w:pPr>
      <w:r>
        <w:rPr>
          <w:b/>
        </w:rPr>
        <w:t>Step 6:</w:t>
      </w:r>
      <w:r>
        <w:rPr/>
        <w:t>Collect agent feedback at Day 3 and Day 7 via 3-question form.</w:t>
      </w:r>
    </w:p>
    <w:p>
      <w:pPr>
        <w:jc w:val="both"/>
      </w:pPr>
      <w:r>
        <w:rPr>
          <w:b/>
        </w:rPr>
        <w:t>Step 7:</w:t>
      </w:r>
      <w:r>
        <w:rPr/>
        <w:t>Measure: median time from supplier inbound to parent action. Compare to shadow-mode baseline.</w:t>
      </w:r>
    </w:p>
    <w:p>
      <w:pPr>
        <w:jc w:val="both"/>
      </w:pPr>
      <w:r>
        <w:rPr>
          <w:b/>
        </w:rPr>
        <w:t>Step 8:</w:t>
      </w:r>
      <w:r>
        <w:rPr/>
        <w:t>Address any false positives immediately, disable single trigger if needed, not whole project.</w:t>
      </w:r>
    </w:p>
    <w:p>
      <w:pPr>
        <w:jc w:val="both"/>
      </w:pPr>
      <w:r>
        <w:rPr>
          <w:b/>
        </w:rPr>
        <w:t>Step 9:</w:t>
      </w:r>
      <w:r>
        <w:rPr/>
        <w:t>Pilot sign-off at end of Week 7 if metrics and feedback acceptable.</w:t>
      </w:r>
    </w:p>
    <w:p>
      <w:pPr>
        <w:jc w:val="both"/>
      </w:pPr>
      <w:r>
        <w:rPr>
          <w:b/>
        </w:rPr>
        <w:t>Deliverables:</w:t>
      </w:r>
    </w:p>
    <w:p>
      <w:pPr>
        <w:pStyle w:val="ListBullet"/>
      </w:pPr>
      <w:r>
        <w:rPr/>
        <w:t>Live pilot enabled (carrier category)</w:t>
      </w:r>
    </w:p>
    <w:p>
      <w:pPr>
        <w:pStyle w:val="ListBullet"/>
      </w:pPr>
      <w:r>
        <w:rPr/>
        <w:t>Playbook v1.0 published</w:t>
      </w:r>
    </w:p>
    <w:p>
      <w:pPr>
        <w:pStyle w:val="ListBullet"/>
      </w:pPr>
      <w:r>
        <w:rPr/>
        <w:t>Agent training complete (attendance log)</w:t>
      </w:r>
    </w:p>
    <w:p>
      <w:pPr>
        <w:pStyle w:val="ListBullet"/>
      </w:pPr>
      <w:r>
        <w:rPr/>
        <w:t>Week 1 pilot metrics report</w:t>
      </w:r>
    </w:p>
    <w:p>
      <w:pPr>
        <w:pStyle w:val="ListBullet"/>
      </w:pPr>
      <w:r>
        <w:rPr/>
        <w:t>Pilot sign-off or remediation list</w:t>
      </w:r>
    </w:p>
    <w:p>
      <w:pPr>
        <w:jc w:val="both"/>
      </w:pPr>
    </w:p>
    <w:p>
      <w:pPr>
        <w:pStyle w:val="Heading3"/>
      </w:pPr>
      <w:r>
        <w:rPr/>
        <w:t>Phase 5, Roll out and scale (Week 8-10)</w:t>
      </w:r>
    </w:p>
    <w:p>
      <w:pPr>
        <w:jc w:val="both"/>
      </w:pPr>
      <w:r>
        <w:rPr>
          <w:i/>
        </w:rPr>
        <w:t>Goal: Extend to all EMEA supplier categories and align with US/APAC.</w:t>
      </w:r>
    </w:p>
    <w:p>
      <w:pPr>
        <w:jc w:val="both"/>
      </w:pPr>
      <w:r>
        <w:rPr>
          <w:b/>
        </w:rPr>
        <w:t>Step 1:</w:t>
      </w:r>
      <w:r>
        <w:rPr/>
        <w:t>Add remaining supplier domains to allowlist by category (platform, numbering, other).</w:t>
      </w:r>
    </w:p>
    <w:p>
      <w:pPr>
        <w:jc w:val="both"/>
      </w:pPr>
      <w:r>
        <w:rPr>
          <w:b/>
        </w:rPr>
        <w:t>Step 2:</w:t>
      </w:r>
      <w:r>
        <w:rPr/>
        <w:t>Enable child-ticket triggers if used for formal supplier SLAs.</w:t>
      </w:r>
    </w:p>
    <w:p>
      <w:pPr>
        <w:jc w:val="both"/>
      </w:pPr>
      <w:r>
        <w:rPr>
          <w:b/>
        </w:rPr>
        <w:t>Step 3:</w:t>
      </w:r>
      <w:r>
        <w:rPr/>
        <w:t>For portal suppliers: scope webhook integration (Phase 5b sub-project if needed).</w:t>
      </w:r>
    </w:p>
    <w:p>
      <w:pPr>
        <w:jc w:val="both"/>
      </w:pPr>
      <w:r>
        <w:rPr>
          <w:b/>
        </w:rPr>
        <w:t>Step 4:</w:t>
      </w:r>
      <w:r>
        <w:rPr/>
        <w:t>Roll out to all EMEA agents. Update macros in production.</w:t>
      </w:r>
    </w:p>
    <w:p>
      <w:pPr>
        <w:jc w:val="both"/>
      </w:pPr>
      <w:r>
        <w:rPr>
          <w:b/>
        </w:rPr>
        <w:t>Step 5:</w:t>
      </w:r>
      <w:r>
        <w:rPr/>
        <w:t>Share playbook and lessons learned with US/APAC team leads, 60-minute alignment session.</w:t>
      </w:r>
    </w:p>
    <w:p>
      <w:pPr>
        <w:jc w:val="both"/>
      </w:pPr>
      <w:r>
        <w:rPr>
          <w:b/>
        </w:rPr>
        <w:t>Step 6:</w:t>
      </w:r>
      <w:r>
        <w:rPr/>
        <w:t>Run 30-day measurement against success criteria (see below).</w:t>
      </w:r>
    </w:p>
    <w:p>
      <w:pPr>
        <w:jc w:val="both"/>
      </w:pPr>
      <w:r>
        <w:rPr>
          <w:b/>
        </w:rPr>
        <w:t>Step 7:</w:t>
      </w:r>
      <w:r>
        <w:rPr/>
        <w:t>Ops Analytics produces Explore dashboard: supplier escalation MTTR, reopen accuracy.</w:t>
      </w:r>
    </w:p>
    <w:p>
      <w:pPr>
        <w:jc w:val="both"/>
      </w:pPr>
      <w:r>
        <w:rPr>
          <w:b/>
        </w:rPr>
        <w:t>Step 8:</w:t>
      </w:r>
      <w:r>
        <w:rPr/>
        <w:t>Program retrospective: what worked, what to tune, documentation finalised.</w:t>
      </w:r>
    </w:p>
    <w:p>
      <w:pPr>
        <w:jc w:val="both"/>
      </w:pPr>
      <w:r>
        <w:rPr>
          <w:b/>
        </w:rPr>
        <w:t>Deliverables:</w:t>
      </w:r>
    </w:p>
    <w:p>
      <w:pPr>
        <w:pStyle w:val="ListBullet"/>
      </w:pPr>
      <w:r>
        <w:rPr/>
        <w:t>Full EMEA roll-out complete</w:t>
      </w:r>
    </w:p>
    <w:p>
      <w:pPr>
        <w:pStyle w:val="ListBullet"/>
      </w:pPr>
      <w:r>
        <w:rPr/>
        <w:t>US/APAC alignment session delivered</w:t>
      </w:r>
    </w:p>
    <w:p>
      <w:pPr>
        <w:pStyle w:val="ListBullet"/>
      </w:pPr>
      <w:r>
        <w:rPr/>
        <w:t>Explore dashboard live</w:t>
      </w:r>
    </w:p>
    <w:p>
      <w:pPr>
        <w:pStyle w:val="ListBullet"/>
      </w:pPr>
      <w:r>
        <w:rPr/>
        <w:t>30-day metrics report</w:t>
      </w:r>
    </w:p>
    <w:p>
      <w:pPr>
        <w:pStyle w:val="ListBullet"/>
      </w:pPr>
      <w:r>
        <w:rPr/>
        <w:t>Playbook v2.0 (final)</w:t>
      </w:r>
    </w:p>
    <w:p>
      <w:pPr>
        <w:jc w:val="both"/>
      </w:pPr>
    </w:p>
    <w:p>
      <w:pPr>
        <w:pStyle w:val="Heading2"/>
      </w:pPr>
      <w:r>
        <w:rPr/>
        <w:t>Success criteria (exit gates)</w:t>
      </w:r>
    </w:p>
    <w:p>
      <w:pPr>
        <w:pStyle w:val="ListBullet"/>
      </w:pPr>
      <w:r>
        <w:rPr/>
        <w:t>Median time supplier reply to parent ticket action reduced by 70% (e.g. 24h to &lt;4h)</w:t>
      </w:r>
    </w:p>
    <w:p>
      <w:pPr>
        <w:pStyle w:val="ListBullet"/>
      </w:pPr>
      <w:r>
        <w:rPr/>
        <w:t>Missed supplier updates (audit sample) reduced by 80%</w:t>
      </w:r>
    </w:p>
    <w:p>
      <w:pPr>
        <w:pStyle w:val="ListBullet"/>
      </w:pPr>
      <w:r>
        <w:rPr/>
        <w:t>False-positive reopen rate below 10%</w:t>
      </w:r>
    </w:p>
    <w:p>
      <w:pPr>
        <w:pStyle w:val="ListBullet"/>
      </w:pPr>
      <w:r>
        <w:rPr/>
        <w:t>Agent survey: 75%+ agree "supplier updates are easier to track than before"</w:t>
      </w:r>
    </w:p>
    <w:p>
      <w:pPr>
        <w:pStyle w:val="ListBullet"/>
      </w:pPr>
      <w:r>
        <w:rPr/>
        <w:t>MTTR on supplier_escalation tagged tickets reduced by 15%</w:t>
      </w:r>
    </w:p>
    <w:p>
      <w:pPr>
        <w:pStyle w:val="Heading2"/>
      </w:pPr>
      <w:r>
        <w:rPr/>
        <w:t>Rollback plan</w:t>
      </w:r>
    </w:p>
    <w:p>
      <w:pPr>
        <w:pStyle w:val="ListBullet"/>
      </w:pPr>
      <w:r>
        <w:rPr/>
        <w:t>Each trigger can be disabled independently in Zendesk Admin</w:t>
      </w:r>
    </w:p>
    <w:p>
      <w:pPr>
        <w:pStyle w:val="ListBullet"/>
      </w:pPr>
      <w:r>
        <w:rPr/>
        <w:t>Disable live triggers to revert to manual process, playbook documents fallback</w:t>
      </w:r>
    </w:p>
    <w:p>
      <w:pPr>
        <w:pStyle w:val="ListBullet"/>
      </w:pPr>
      <w:r>
        <w:rPr/>
        <w:t>Custom fields remain (no harm), status values can be hidden</w:t>
      </w:r>
    </w:p>
    <w:p>
      <w:pPr>
        <w:pStyle w:val="ListBullet"/>
      </w:pPr>
      <w:r>
        <w:rPr/>
        <w:t>Rollback decision within 2 hours if critical false-positive spike</w:t>
      </w:r>
    </w:p>
    <w:p>
      <w:pPr>
        <w:jc w:val="both"/>
      </w:pPr>
    </w:p>
    <w:p>
      <w:pPr>
        <w:jc w:val="both"/>
      </w:pPr>
      <w:r>
        <w:rPr/>
      </w:r>
    </w:p>
    <w:p>
      <w:pPr>
        <w:pStyle w:val="Heading1"/>
      </w:pPr>
      <w:r>
        <w:rPr/>
        <w:t>Project 2: Duplicate Ticket Prevention</w:t>
      </w:r>
    </w:p>
    <w:p>
      <w:pPr>
        <w:pStyle w:val="Heading2"/>
      </w:pPr>
      <w:r>
        <w:rPr/>
        <w:t>Problem statement</w:t>
      </w:r>
    </w:p>
    <w:p>
      <w:pPr>
        <w:jc w:val="both"/>
      </w:pPr>
      <w:r>
        <w:rPr/>
        <w:t>When customers reply on the same issue, especially after solve/close or via a different email/subject, Zendesk creates a new ticket instead of threading to the original. Agents duplicate work, customers get multiple ticket numbers, and metrics are distorted.</w:t>
      </w:r>
    </w:p>
    <w:p>
      <w:pPr>
        <w:pStyle w:val="Heading2"/>
      </w:pPr>
      <w:r>
        <w:rPr/>
        <w:t>Project overview</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5046"/>
        <w:gridCol w:w="5046"/>
      </w:tblGrid>
      <w:tr>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Field</w:t>
            </w:r>
          </w:p>
        </w:tc>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Detail</w:t>
            </w:r>
          </w:p>
        </w:tc>
      </w:tr>
      <w:tr>
        <w:tc>
          <w:tcPr>
            <w:tcW w:type="dxa" w:w="5046"/>
            <w:vAlign w:val="center"/>
            <w:tcMar>
              <w:top w:w="60" w:type="dxa"/>
              <w:bottom w:w="60" w:type="dxa"/>
              <w:left w:w="110" w:type="dxa"/>
              <w:right w:w="110" w:type="dxa"/>
            </w:tcMar>
          </w:tcPr>
          <w:p>
            <w:pPr>
              <w:spacing w:after="40" w:before="40"/>
            </w:pPr>
            <w:r>
              <w:rPr>
                <w:sz w:val="22"/>
                <w:szCs w:val="22"/>
              </w:rPr>
              <w:t>Project name</w:t>
            </w:r>
          </w:p>
        </w:tc>
        <w:tc>
          <w:tcPr>
            <w:tcW w:type="dxa" w:w="5046"/>
            <w:vAlign w:val="center"/>
            <w:tcMar>
              <w:top w:w="60" w:type="dxa"/>
              <w:bottom w:w="60" w:type="dxa"/>
              <w:left w:w="110" w:type="dxa"/>
              <w:right w:w="110" w:type="dxa"/>
            </w:tcMar>
          </w:tcPr>
          <w:p>
            <w:pPr>
              <w:spacing w:after="40" w:before="40"/>
            </w:pPr>
            <w:r>
              <w:rPr>
                <w:sz w:val="22"/>
                <w:szCs w:val="22"/>
              </w:rPr>
              <w:t>Duplicate Ticket Prevention</w:t>
            </w:r>
          </w:p>
        </w:tc>
      </w:tr>
      <w:tr>
        <w:tc>
          <w:tcPr>
            <w:tcW w:type="dxa" w:w="5046"/>
            <w:vAlign w:val="center"/>
            <w:tcMar>
              <w:top w:w="60" w:type="dxa"/>
              <w:bottom w:w="60" w:type="dxa"/>
              <w:left w:w="110" w:type="dxa"/>
              <w:right w:w="110" w:type="dxa"/>
            </w:tcMar>
          </w:tcPr>
          <w:p>
            <w:pPr>
              <w:spacing w:after="40" w:before="40"/>
            </w:pPr>
            <w:r>
              <w:rPr>
                <w:sz w:val="22"/>
                <w:szCs w:val="22"/>
              </w:rPr>
              <w:t>Issue</w:t>
            </w:r>
          </w:p>
        </w:tc>
        <w:tc>
          <w:tcPr>
            <w:tcW w:type="dxa" w:w="5046"/>
            <w:vAlign w:val="center"/>
            <w:tcMar>
              <w:top w:w="60" w:type="dxa"/>
              <w:bottom w:w="60" w:type="dxa"/>
              <w:left w:w="110" w:type="dxa"/>
              <w:right w:w="110" w:type="dxa"/>
            </w:tcMar>
          </w:tcPr>
          <w:p>
            <w:pPr>
              <w:spacing w:after="40" w:before="40"/>
            </w:pPr>
            <w:r>
              <w:rPr>
                <w:sz w:val="22"/>
                <w:szCs w:val="22"/>
              </w:rPr>
              <w:t>Customer replies create duplicate Zendesk tickets</w:t>
            </w:r>
          </w:p>
        </w:tc>
      </w:tr>
      <w:tr>
        <w:tc>
          <w:tcPr>
            <w:tcW w:type="dxa" w:w="5046"/>
            <w:vAlign w:val="center"/>
            <w:tcMar>
              <w:top w:w="60" w:type="dxa"/>
              <w:bottom w:w="60" w:type="dxa"/>
              <w:left w:w="110" w:type="dxa"/>
              <w:right w:w="110" w:type="dxa"/>
            </w:tcMar>
          </w:tcPr>
          <w:p>
            <w:pPr>
              <w:spacing w:after="40" w:before="40"/>
            </w:pPr>
            <w:r>
              <w:rPr>
                <w:sz w:val="22"/>
                <w:szCs w:val="22"/>
              </w:rPr>
              <w:t>Priority</w:t>
            </w:r>
          </w:p>
        </w:tc>
        <w:tc>
          <w:tcPr>
            <w:tcW w:type="dxa" w:w="5046"/>
            <w:vAlign w:val="center"/>
            <w:tcMar>
              <w:top w:w="60" w:type="dxa"/>
              <w:bottom w:w="60" w:type="dxa"/>
              <w:left w:w="110" w:type="dxa"/>
              <w:right w:w="110" w:type="dxa"/>
            </w:tcMar>
          </w:tcPr>
          <w:p>
            <w:pPr>
              <w:spacing w:after="40" w:before="40"/>
            </w:pPr>
            <w:r>
              <w:rPr>
                <w:sz w:val="22"/>
                <w:szCs w:val="22"/>
              </w:rPr>
              <w:t>P1, Critical</w:t>
            </w:r>
          </w:p>
        </w:tc>
      </w:tr>
      <w:tr>
        <w:tc>
          <w:tcPr>
            <w:tcW w:type="dxa" w:w="5046"/>
            <w:vAlign w:val="center"/>
            <w:tcMar>
              <w:top w:w="60" w:type="dxa"/>
              <w:bottom w:w="60" w:type="dxa"/>
              <w:left w:w="110" w:type="dxa"/>
              <w:right w:w="110" w:type="dxa"/>
            </w:tcMar>
          </w:tcPr>
          <w:p>
            <w:pPr>
              <w:spacing w:after="40" w:before="40"/>
            </w:pPr>
            <w:r>
              <w:rPr>
                <w:sz w:val="22"/>
                <w:szCs w:val="22"/>
              </w:rPr>
              <w:t>Project owner</w:t>
            </w:r>
          </w:p>
        </w:tc>
        <w:tc>
          <w:tcPr>
            <w:tcW w:type="dxa" w:w="5046"/>
            <w:vAlign w:val="center"/>
            <w:tcMar>
              <w:top w:w="60" w:type="dxa"/>
              <w:bottom w:w="60" w:type="dxa"/>
              <w:left w:w="110" w:type="dxa"/>
              <w:right w:w="110" w:type="dxa"/>
            </w:tcMar>
          </w:tcPr>
          <w:p>
            <w:pPr>
              <w:spacing w:after="40" w:before="40"/>
            </w:pPr>
            <w:r>
              <w:rPr>
                <w:sz w:val="22"/>
                <w:szCs w:val="22"/>
              </w:rPr>
              <w:t>EMEA Team Lead + Zendesk Admin</w:t>
            </w:r>
          </w:p>
        </w:tc>
      </w:tr>
      <w:tr>
        <w:tc>
          <w:tcPr>
            <w:tcW w:type="dxa" w:w="5046"/>
            <w:vAlign w:val="center"/>
            <w:tcMar>
              <w:top w:w="60" w:type="dxa"/>
              <w:bottom w:w="60" w:type="dxa"/>
              <w:left w:w="110" w:type="dxa"/>
              <w:right w:w="110" w:type="dxa"/>
            </w:tcMar>
          </w:tcPr>
          <w:p>
            <w:pPr>
              <w:spacing w:after="40" w:before="40"/>
            </w:pPr>
            <w:r>
              <w:rPr>
                <w:sz w:val="22"/>
                <w:szCs w:val="22"/>
              </w:rPr>
              <w:t>Duration</w:t>
            </w:r>
          </w:p>
        </w:tc>
        <w:tc>
          <w:tcPr>
            <w:tcW w:type="dxa" w:w="5046"/>
            <w:vAlign w:val="center"/>
            <w:tcMar>
              <w:top w:w="60" w:type="dxa"/>
              <w:bottom w:w="60" w:type="dxa"/>
              <w:left w:w="110" w:type="dxa"/>
              <w:right w:w="110" w:type="dxa"/>
            </w:tcMar>
          </w:tcPr>
          <w:p>
            <w:pPr>
              <w:spacing w:after="40" w:before="40"/>
            </w:pPr>
            <w:r>
              <w:rPr>
                <w:sz w:val="22"/>
                <w:szCs w:val="22"/>
              </w:rPr>
              <w:t>10 weeks</w:t>
            </w:r>
          </w:p>
        </w:tc>
      </w:tr>
      <w:tr>
        <w:tc>
          <w:tcPr>
            <w:tcW w:type="dxa" w:w="5046"/>
            <w:vAlign w:val="center"/>
            <w:tcMar>
              <w:top w:w="60" w:type="dxa"/>
              <w:bottom w:w="60" w:type="dxa"/>
              <w:left w:w="110" w:type="dxa"/>
              <w:right w:w="110" w:type="dxa"/>
            </w:tcMar>
          </w:tcPr>
          <w:p>
            <w:pPr>
              <w:spacing w:after="40" w:before="40"/>
            </w:pPr>
            <w:r>
              <w:rPr>
                <w:sz w:val="22"/>
                <w:szCs w:val="22"/>
              </w:rPr>
              <w:t>Dependencies</w:t>
            </w:r>
          </w:p>
        </w:tc>
        <w:tc>
          <w:tcPr>
            <w:tcW w:type="dxa" w:w="5046"/>
            <w:vAlign w:val="center"/>
            <w:tcMar>
              <w:top w:w="60" w:type="dxa"/>
              <w:bottom w:w="60" w:type="dxa"/>
              <w:left w:w="110" w:type="dxa"/>
              <w:right w:w="110" w:type="dxa"/>
            </w:tcMar>
          </w:tcPr>
          <w:p>
            <w:pPr>
              <w:spacing w:after="40" w:before="40"/>
            </w:pPr>
            <w:r>
              <w:rPr>
                <w:sz w:val="22"/>
                <w:szCs w:val="22"/>
              </w:rPr>
              <w:t>Can run parallel with Project 1</w:t>
            </w:r>
          </w:p>
        </w:tc>
      </w:tr>
      <w:tr>
        <w:tc>
          <w:tcPr>
            <w:tcW w:type="dxa" w:w="5046"/>
            <w:vAlign w:val="center"/>
            <w:tcMar>
              <w:top w:w="60" w:type="dxa"/>
              <w:bottom w:w="60" w:type="dxa"/>
              <w:left w:w="110" w:type="dxa"/>
              <w:right w:w="110" w:type="dxa"/>
            </w:tcMar>
          </w:tcPr>
          <w:p>
            <w:pPr>
              <w:spacing w:after="40" w:before="40"/>
            </w:pPr>
            <w:r>
              <w:rPr>
                <w:sz w:val="22"/>
                <w:szCs w:val="22"/>
              </w:rPr>
              <w:t>Customer impact</w:t>
            </w:r>
          </w:p>
        </w:tc>
        <w:tc>
          <w:tcPr>
            <w:tcW w:type="dxa" w:w="5046"/>
            <w:vAlign w:val="center"/>
            <w:tcMar>
              <w:top w:w="60" w:type="dxa"/>
              <w:bottom w:w="60" w:type="dxa"/>
              <w:left w:w="110" w:type="dxa"/>
              <w:right w:w="110" w:type="dxa"/>
            </w:tcMar>
          </w:tcPr>
          <w:p>
            <w:pPr>
              <w:spacing w:after="40" w:before="40"/>
            </w:pPr>
            <w:r>
              <w:rPr>
                <w:sz w:val="22"/>
                <w:szCs w:val="22"/>
              </w:rPr>
              <w:t>Minor, clearer ticket IDs in email subjects after Week 6</w:t>
            </w:r>
          </w:p>
        </w:tc>
      </w:tr>
    </w:tbl>
    <w:p>
      <w:pPr>
        <w:jc w:val="both"/>
      </w:pPr>
    </w:p>
    <w:p>
      <w:pPr>
        <w:pStyle w:val="Heading2"/>
      </w:pPr>
      <w:r>
        <w:rPr/>
        <w:t>Step-by-step implementation plan</w:t>
      </w:r>
    </w:p>
    <w:p>
      <w:pPr>
        <w:pStyle w:val="Heading3"/>
      </w:pPr>
      <w:r>
        <w:rPr/>
        <w:t>Phase 1, Discover and baseline (Week 1-2)</w:t>
      </w:r>
    </w:p>
    <w:p>
      <w:pPr>
        <w:jc w:val="both"/>
      </w:pPr>
      <w:r>
        <w:rPr>
          <w:i/>
        </w:rPr>
        <w:t>Goal: Quantify duplicate volume and identify root causes in EMEA.</w:t>
      </w:r>
    </w:p>
    <w:p>
      <w:pPr>
        <w:jc w:val="both"/>
      </w:pPr>
      <w:r>
        <w:rPr>
          <w:b/>
        </w:rPr>
        <w:t>Step 1:</w:t>
      </w:r>
      <w:r>
        <w:rPr/>
        <w:t>Export all EMEA tickets from last 90 days.</w:t>
      </w:r>
    </w:p>
    <w:p>
      <w:pPr>
        <w:jc w:val="both"/>
      </w:pPr>
      <w:r>
        <w:rPr>
          <w:b/>
        </w:rPr>
        <w:t>Step 2:</w:t>
      </w:r>
      <w:r>
        <w:rPr/>
        <w:t>Run duplicate analysis: same organization + same requester + created within 7 days + similar subject (script or Excel). Record count and % of total volume.</w:t>
      </w:r>
    </w:p>
    <w:p>
      <w:pPr>
        <w:jc w:val="both"/>
      </w:pPr>
      <w:r>
        <w:rPr>
          <w:b/>
        </w:rPr>
        <w:t>Step 3:</w:t>
      </w:r>
      <w:r>
        <w:rPr/>
        <w:t>Sample 30 duplicate clusters manually. Classify root cause: closed-ticket reply, email threading break, different channel, different email address, CC duplicate, other.</w:t>
      </w:r>
    </w:p>
    <w:p>
      <w:pPr>
        <w:jc w:val="both"/>
      </w:pPr>
      <w:r>
        <w:rPr>
          <w:b/>
        </w:rPr>
        <w:t>Step 4:</w:t>
      </w:r>
      <w:r>
        <w:rPr/>
        <w:t>Audit Zendesk setting: Admin to Tickets to "Allow follow-ups on closed tickets", record current value.</w:t>
      </w:r>
    </w:p>
    <w:p>
      <w:pPr>
        <w:jc w:val="both"/>
      </w:pPr>
      <w:r>
        <w:rPr>
          <w:b/>
        </w:rPr>
        <w:t>Step 5:</w:t>
      </w:r>
      <w:r>
        <w:rPr/>
        <w:t>Audit all inbound support email addresses and forwarding rules for EMEA brands.</w:t>
      </w:r>
    </w:p>
    <w:p>
      <w:pPr>
        <w:jc w:val="both"/>
      </w:pPr>
      <w:r>
        <w:rPr>
          <w:b/>
        </w:rPr>
        <w:t>Step 6:</w:t>
      </w:r>
      <w:r>
        <w:rPr/>
        <w:t>Review outbound email templates, check if ticket ID is preserved in subject line.</w:t>
      </w:r>
    </w:p>
    <w:p>
      <w:pPr>
        <w:jc w:val="both"/>
      </w:pPr>
      <w:r>
        <w:rPr>
          <w:b/>
        </w:rPr>
        <w:t>Step 7:</w:t>
      </w:r>
      <w:r>
        <w:rPr/>
        <w:t>Interview 5 agents: "When do duplicates happen most?" Document examples.</w:t>
      </w:r>
    </w:p>
    <w:p>
      <w:pPr>
        <w:jc w:val="both"/>
      </w:pPr>
      <w:r>
        <w:rPr>
          <w:b/>
        </w:rPr>
        <w:t>Step 8:</w:t>
      </w:r>
      <w:r>
        <w:rPr/>
        <w:t>Present root cause breakdown to Zendesk Admin. Prioritise fixes by frequency.</w:t>
      </w:r>
    </w:p>
    <w:p>
      <w:pPr>
        <w:jc w:val="both"/>
      </w:pPr>
      <w:r>
        <w:rPr>
          <w:b/>
        </w:rPr>
        <w:t>Deliverables:</w:t>
      </w:r>
    </w:p>
    <w:p>
      <w:pPr>
        <w:pStyle w:val="ListBullet"/>
      </w:pPr>
      <w:r>
        <w:rPr/>
        <w:t>Duplicate rate baseline (% merged within 48h, new tickets)</w:t>
      </w:r>
    </w:p>
    <w:p>
      <w:pPr>
        <w:pStyle w:val="ListBullet"/>
      </w:pPr>
      <w:r>
        <w:rPr/>
        <w:t>Root cause breakdown chart</w:t>
      </w:r>
    </w:p>
    <w:p>
      <w:pPr>
        <w:pStyle w:val="ListBullet"/>
      </w:pPr>
      <w:r>
        <w:rPr/>
        <w:t>Email channel audit document</w:t>
      </w:r>
    </w:p>
    <w:p>
      <w:pPr>
        <w:pStyle w:val="ListBullet"/>
      </w:pPr>
      <w:r>
        <w:rPr/>
        <w:t>Current closed-ticket policy record</w:t>
      </w:r>
    </w:p>
    <w:p>
      <w:pPr>
        <w:pStyle w:val="ListBullet"/>
      </w:pPr>
      <w:r>
        <w:rPr/>
        <w:t>Prioritised fix list</w:t>
      </w:r>
    </w:p>
    <w:p>
      <w:pPr>
        <w:jc w:val="both"/>
      </w:pPr>
    </w:p>
    <w:p>
      <w:pPr>
        <w:pStyle w:val="Heading3"/>
      </w:pPr>
      <w:r>
        <w:rPr/>
        <w:t>Phase 2, Design (Week 3)</w:t>
      </w:r>
    </w:p>
    <w:p>
      <w:pPr>
        <w:jc w:val="both"/>
      </w:pPr>
      <w:r>
        <w:rPr>
          <w:i/>
        </w:rPr>
        <w:t>Goal: Define follow-up policy, duplicate triggers, and email template changes.</w:t>
      </w:r>
    </w:p>
    <w:p>
      <w:pPr>
        <w:jc w:val="both"/>
      </w:pPr>
      <w:r>
        <w:rPr>
          <w:b/>
        </w:rPr>
        <w:t>Step 1:</w:t>
      </w:r>
      <w:r>
        <w:rPr/>
        <w:t>Agree closed-ticket follow-up policy: ≤7 days + same org + same requester to reopen, &gt;7 days to linked follow-up ticket.</w:t>
      </w:r>
    </w:p>
    <w:p>
      <w:pPr>
        <w:jc w:val="both"/>
      </w:pPr>
      <w:r>
        <w:rPr>
          <w:b/>
        </w:rPr>
        <w:t>Step 2:</w:t>
      </w:r>
      <w:r>
        <w:rPr/>
        <w:t>Write trigger spec: on new ticket created to check open/pending/on-hold tickets same org+requester in 14 days to add internal note + tag possible_duplicate + notify existing assignee.</w:t>
      </w:r>
    </w:p>
    <w:p>
      <w:pPr>
        <w:jc w:val="both"/>
      </w:pPr>
      <w:r>
        <w:rPr>
          <w:b/>
        </w:rPr>
        <w:t>Step 3:</w:t>
      </w:r>
      <w:r>
        <w:rPr/>
        <w:t>Define custom field issue_reference (text) for enterprise accounts.</w:t>
      </w:r>
    </w:p>
    <w:p>
      <w:pPr>
        <w:jc w:val="both"/>
      </w:pPr>
      <w:r>
        <w:rPr>
          <w:b/>
        </w:rPr>
        <w:t>Step 4:</w:t>
      </w:r>
      <w:r>
        <w:rPr/>
        <w:t>Draft updated email templates: subject format [Ticket #{{ticket.id}}] {{ticket.title}} for all outbound notifications.</w:t>
      </w:r>
    </w:p>
    <w:p>
      <w:pPr>
        <w:jc w:val="both"/>
      </w:pPr>
      <w:r>
        <w:rPr>
          <w:b/>
        </w:rPr>
        <w:t>Step 5:</w:t>
      </w:r>
      <w:r>
        <w:rPr/>
        <w:t>Draft customer-facing line for solved email: "Reply to this email to continue case #{{ticket.id}}."</w:t>
      </w:r>
    </w:p>
    <w:p>
      <w:pPr>
        <w:jc w:val="both"/>
      </w:pPr>
      <w:r>
        <w:rPr>
          <w:b/>
        </w:rPr>
        <w:t>Step 6:</w:t>
      </w:r>
      <w:r>
        <w:rPr/>
        <w:t>Define merge policy: phase 1 suggest-only, phase 2 auto-merge when Message-ID headers match.</w:t>
      </w:r>
    </w:p>
    <w:p>
      <w:pPr>
        <w:jc w:val="both"/>
      </w:pPr>
      <w:r>
        <w:rPr>
          <w:b/>
        </w:rPr>
        <w:t>Step 7:</w:t>
      </w:r>
      <w:r>
        <w:rPr/>
        <w:t>Identify enterprise accounts requiring manual merge review (TAM-managed list).</w:t>
      </w:r>
    </w:p>
    <w:p>
      <w:pPr>
        <w:jc w:val="both"/>
      </w:pPr>
      <w:r>
        <w:rPr>
          <w:b/>
        </w:rPr>
        <w:t>Step 8:</w:t>
      </w:r>
      <w:r>
        <w:rPr/>
        <w:t>Zendesk Admin signs off design. Schedule sandbox build.</w:t>
      </w:r>
    </w:p>
    <w:p>
      <w:pPr>
        <w:jc w:val="both"/>
      </w:pPr>
      <w:r>
        <w:rPr>
          <w:b/>
        </w:rPr>
        <w:t>Deliverables:</w:t>
      </w:r>
    </w:p>
    <w:p>
      <w:pPr>
        <w:pStyle w:val="ListBullet"/>
      </w:pPr>
      <w:r>
        <w:rPr/>
        <w:t>Follow-up policy document</w:t>
      </w:r>
    </w:p>
    <w:p>
      <w:pPr>
        <w:pStyle w:val="ListBullet"/>
      </w:pPr>
      <w:r>
        <w:rPr/>
        <w:t>Duplicate detection trigger spec</w:t>
      </w:r>
    </w:p>
    <w:p>
      <w:pPr>
        <w:pStyle w:val="ListBullet"/>
      </w:pPr>
      <w:r>
        <w:rPr/>
        <w:t>issue_reference field definition</w:t>
      </w:r>
    </w:p>
    <w:p>
      <w:pPr>
        <w:pStyle w:val="ListBullet"/>
      </w:pPr>
      <w:r>
        <w:rPr/>
        <w:t>Updated email template drafts</w:t>
      </w:r>
    </w:p>
    <w:p>
      <w:pPr>
        <w:pStyle w:val="ListBullet"/>
      </w:pPr>
      <w:r>
        <w:rPr/>
        <w:t>Merge policy (phased)</w:t>
      </w:r>
    </w:p>
    <w:p>
      <w:pPr>
        <w:pStyle w:val="ListBullet"/>
      </w:pPr>
      <w:r>
        <w:rPr/>
        <w:t>TAM-managed account exclusion list</w:t>
      </w:r>
    </w:p>
    <w:p>
      <w:pPr>
        <w:jc w:val="both"/>
      </w:pPr>
    </w:p>
    <w:p>
      <w:pPr>
        <w:pStyle w:val="Heading3"/>
      </w:pPr>
      <w:r>
        <w:rPr/>
        <w:t>Phase 3, Sandbox pilot (Week 4)</w:t>
      </w:r>
    </w:p>
    <w:p>
      <w:pPr>
        <w:jc w:val="both"/>
      </w:pPr>
      <w:r>
        <w:rPr>
          <w:i/>
        </w:rPr>
        <w:t>Goal: Test all changes in sandbox with real email scenarios.</w:t>
      </w:r>
    </w:p>
    <w:p>
      <w:pPr>
        <w:jc w:val="both"/>
      </w:pPr>
      <w:r>
        <w:rPr>
          <w:b/>
        </w:rPr>
        <w:t>Step 1:</w:t>
      </w:r>
      <w:r>
        <w:rPr/>
        <w:t>Enable follow-up-on-closed in sandbox with agreed policy.</w:t>
      </w:r>
    </w:p>
    <w:p>
      <w:pPr>
        <w:jc w:val="both"/>
      </w:pPr>
      <w:r>
        <w:rPr>
          <w:b/>
        </w:rPr>
        <w:t>Step 2:</w:t>
      </w:r>
      <w:r>
        <w:rPr/>
        <w:t>Create issue_reference field on enterprise form in sandbox.</w:t>
      </w:r>
    </w:p>
    <w:p>
      <w:pPr>
        <w:jc w:val="both"/>
      </w:pPr>
      <w:r>
        <w:rPr>
          <w:b/>
        </w:rPr>
        <w:t>Step 3:</w:t>
      </w:r>
      <w:r>
        <w:rPr/>
        <w:t>Build duplicate detection trigger in sandbox (suggest-only mode).</w:t>
      </w:r>
    </w:p>
    <w:p>
      <w:pPr>
        <w:jc w:val="both"/>
      </w:pPr>
      <w:r>
        <w:rPr>
          <w:b/>
        </w:rPr>
        <w:t>Step 4:</w:t>
      </w:r>
      <w:r>
        <w:rPr/>
        <w:t>Update email templates in sandbox.</w:t>
      </w:r>
    </w:p>
    <w:p>
      <w:pPr>
        <w:jc w:val="both"/>
      </w:pPr>
      <w:r>
        <w:rPr>
          <w:b/>
        </w:rPr>
        <w:t>Step 5:</w:t>
      </w:r>
      <w:r>
        <w:rPr/>
        <w:t>Test scenario 1: reply to solved ticket within 7 days to must reopen original.</w:t>
      </w:r>
    </w:p>
    <w:p>
      <w:pPr>
        <w:jc w:val="both"/>
      </w:pPr>
      <w:r>
        <w:rPr>
          <w:b/>
        </w:rPr>
        <w:t>Step 6:</w:t>
      </w:r>
      <w:r>
        <w:rPr/>
        <w:t>Test scenario 2: reply to solved ticket after 14 days to must create linked follow-up.</w:t>
      </w:r>
    </w:p>
    <w:p>
      <w:pPr>
        <w:jc w:val="both"/>
      </w:pPr>
      <w:r>
        <w:rPr>
          <w:b/>
        </w:rPr>
        <w:t>Step 7:</w:t>
      </w:r>
      <w:r>
        <w:rPr/>
        <w:t>Test scenario 3: new ticket same subject same org to must add possible_duplicate note.</w:t>
      </w:r>
    </w:p>
    <w:p>
      <w:pPr>
        <w:jc w:val="both"/>
      </w:pPr>
      <w:r>
        <w:rPr>
          <w:b/>
        </w:rPr>
        <w:t>Step 8:</w:t>
      </w:r>
      <w:r>
        <w:rPr/>
        <w:t>Test scenario 4: reply with ticket ID in subject to must thread correctly.</w:t>
      </w:r>
    </w:p>
    <w:p>
      <w:pPr>
        <w:jc w:val="both"/>
      </w:pPr>
      <w:r>
        <w:rPr>
          <w:b/>
        </w:rPr>
        <w:t>Step 9:</w:t>
      </w:r>
      <w:r>
        <w:rPr/>
        <w:t>Test scenario 5: reply from different email same org to document behaviour, tune if needed.</w:t>
      </w:r>
    </w:p>
    <w:p>
      <w:pPr>
        <w:jc w:val="both"/>
      </w:pPr>
      <w:r>
        <w:rPr>
          <w:b/>
        </w:rPr>
        <w:t>Step 10:</w:t>
      </w:r>
      <w:r>
        <w:rPr/>
        <w:t>Fix any failures. Document test results. Go/no-go for production pilot.</w:t>
      </w:r>
    </w:p>
    <w:p>
      <w:pPr>
        <w:jc w:val="both"/>
      </w:pPr>
      <w:r>
        <w:rPr>
          <w:b/>
        </w:rPr>
        <w:t>Deliverables:</w:t>
      </w:r>
    </w:p>
    <w:p>
      <w:pPr>
        <w:pStyle w:val="ListBullet"/>
      </w:pPr>
      <w:r>
        <w:rPr/>
        <w:t>Sandbox test script (5 scenarios)</w:t>
      </w:r>
    </w:p>
    <w:p>
      <w:pPr>
        <w:pStyle w:val="ListBullet"/>
      </w:pPr>
      <w:r>
        <w:rPr/>
        <w:t>Test results log (pass/fail)</w:t>
      </w:r>
    </w:p>
    <w:p>
      <w:pPr>
        <w:pStyle w:val="ListBullet"/>
      </w:pPr>
      <w:r>
        <w:rPr/>
        <w:t>Configuration export from sandbox</w:t>
      </w:r>
    </w:p>
    <w:p>
      <w:pPr>
        <w:pStyle w:val="ListBullet"/>
      </w:pPr>
      <w:r>
        <w:rPr/>
        <w:t>Go/no-go record</w:t>
      </w:r>
    </w:p>
    <w:p>
      <w:pPr>
        <w:jc w:val="both"/>
      </w:pPr>
    </w:p>
    <w:p>
      <w:pPr>
        <w:pStyle w:val="Heading3"/>
      </w:pPr>
      <w:r>
        <w:rPr/>
        <w:t>Phase 4, Production pilot (Week 5-6)</w:t>
      </w:r>
    </w:p>
    <w:p>
      <w:pPr>
        <w:jc w:val="both"/>
      </w:pPr>
      <w:r>
        <w:rPr>
          <w:i/>
        </w:rPr>
        <w:t>Goal: Roll out to one EMEA pod with suggest-only duplicate detection.</w:t>
      </w:r>
    </w:p>
    <w:p>
      <w:pPr>
        <w:jc w:val="both"/>
      </w:pPr>
      <w:r>
        <w:rPr>
          <w:b/>
        </w:rPr>
        <w:t>Step 1:</w:t>
      </w:r>
      <w:r>
        <w:rPr/>
        <w:t>Enable follow-up-on-closed policy in production.</w:t>
      </w:r>
    </w:p>
    <w:p>
      <w:pPr>
        <w:jc w:val="both"/>
      </w:pPr>
      <w:r>
        <w:rPr>
          <w:b/>
        </w:rPr>
        <w:t>Step 2:</w:t>
      </w:r>
      <w:r>
        <w:rPr/>
        <w:t>Deploy issue_reference field on enterprise ticket forms.</w:t>
      </w:r>
    </w:p>
    <w:p>
      <w:pPr>
        <w:jc w:val="both"/>
      </w:pPr>
      <w:r>
        <w:rPr>
          <w:b/>
        </w:rPr>
        <w:t>Step 3:</w:t>
      </w:r>
      <w:r>
        <w:rPr/>
        <w:t>Enable duplicate detection trigger (suggest-only, NO auto-merge).</w:t>
      </w:r>
    </w:p>
    <w:p>
      <w:pPr>
        <w:jc w:val="both"/>
      </w:pPr>
      <w:r>
        <w:rPr>
          <w:b/>
        </w:rPr>
        <w:t>Step 4:</w:t>
      </w:r>
      <w:r>
        <w:rPr/>
        <w:t>Update production email templates (coordinate with comms if customer-facing).</w:t>
      </w:r>
    </w:p>
    <w:p>
      <w:pPr>
        <w:jc w:val="both"/>
      </w:pPr>
      <w:r>
        <w:rPr>
          <w:b/>
        </w:rPr>
        <w:t>Step 5:</w:t>
      </w:r>
      <w:r>
        <w:rPr/>
        <w:t>Brief pilot pod (one team, ~5 agents) in 15-minute huddle. Distribute quick-reference card.</w:t>
      </w:r>
    </w:p>
    <w:p>
      <w:pPr>
        <w:jc w:val="both"/>
      </w:pPr>
      <w:r>
        <w:rPr>
          <w:b/>
        </w:rPr>
        <w:t>Step 6:</w:t>
      </w:r>
      <w:r>
        <w:rPr/>
        <w:t>Pilot pod runs for 2 weeks. Team Lead reviews every possible_duplicate tag daily.</w:t>
      </w:r>
    </w:p>
    <w:p>
      <w:pPr>
        <w:jc w:val="both"/>
      </w:pPr>
      <w:r>
        <w:rPr>
          <w:b/>
        </w:rPr>
        <w:t>Step 7:</w:t>
      </w:r>
      <w:r>
        <w:rPr/>
        <w:t>Track: how many suggestions were correct? How many merges performed? Any missed duplicates?</w:t>
      </w:r>
    </w:p>
    <w:p>
      <w:pPr>
        <w:jc w:val="both"/>
      </w:pPr>
      <w:r>
        <w:rPr>
          <w:b/>
        </w:rPr>
        <w:t>Step 8:</w:t>
      </w:r>
      <w:r>
        <w:rPr/>
        <w:t>Collect agent feedback. Tune subject matching threshold if too many false positives.</w:t>
      </w:r>
    </w:p>
    <w:p>
      <w:pPr>
        <w:jc w:val="both"/>
      </w:pPr>
      <w:r>
        <w:rPr>
          <w:b/>
        </w:rPr>
        <w:t>Step 9:</w:t>
      </w:r>
      <w:r>
        <w:rPr/>
        <w:t>Expand to full EMEA at end of Week 6 if pilot successful.</w:t>
      </w:r>
    </w:p>
    <w:p>
      <w:pPr>
        <w:jc w:val="both"/>
      </w:pPr>
      <w:r>
        <w:rPr>
          <w:b/>
        </w:rPr>
        <w:t>Deliverables:</w:t>
      </w:r>
    </w:p>
    <w:p>
      <w:pPr>
        <w:pStyle w:val="ListBullet"/>
      </w:pPr>
      <w:r>
        <w:rPr/>
        <w:t>Production config live (pilot pod)</w:t>
      </w:r>
    </w:p>
    <w:p>
      <w:pPr>
        <w:pStyle w:val="ListBullet"/>
      </w:pPr>
      <w:r>
        <w:rPr/>
        <w:t>Email templates updated</w:t>
      </w:r>
    </w:p>
    <w:p>
      <w:pPr>
        <w:pStyle w:val="ListBullet"/>
      </w:pPr>
      <w:r>
        <w:rPr/>
        <w:t>Agent quick-reference card</w:t>
      </w:r>
    </w:p>
    <w:p>
      <w:pPr>
        <w:pStyle w:val="ListBullet"/>
      </w:pPr>
      <w:r>
        <w:rPr/>
        <w:t>2-week pilot review report</w:t>
      </w:r>
    </w:p>
    <w:p>
      <w:pPr>
        <w:pStyle w:val="ListBullet"/>
      </w:pPr>
      <w:r>
        <w:rPr/>
        <w:t>Full EMEA expansion approval</w:t>
      </w:r>
    </w:p>
    <w:p>
      <w:pPr>
        <w:jc w:val="both"/>
      </w:pPr>
    </w:p>
    <w:p>
      <w:pPr>
        <w:pStyle w:val="Heading3"/>
      </w:pPr>
      <w:r>
        <w:rPr/>
        <w:t>Phase 5, Optimise (Week 7-10)</w:t>
      </w:r>
    </w:p>
    <w:p>
      <w:pPr>
        <w:jc w:val="both"/>
      </w:pPr>
      <w:r>
        <w:rPr>
          <w:i/>
        </w:rPr>
        <w:t>Goal: Enable high-confidence auto-merge and measure 90-day targets.</w:t>
      </w:r>
    </w:p>
    <w:p>
      <w:pPr>
        <w:jc w:val="both"/>
      </w:pPr>
      <w:r>
        <w:rPr>
          <w:b/>
        </w:rPr>
        <w:t>Step 1:</w:t>
      </w:r>
      <w:r>
        <w:rPr/>
        <w:t>Analyse pilot data: identify cases where Message-ID, In-Reply-To headers are reliable.</w:t>
      </w:r>
    </w:p>
    <w:p>
      <w:pPr>
        <w:jc w:val="both"/>
      </w:pPr>
      <w:r>
        <w:rPr>
          <w:b/>
        </w:rPr>
        <w:t>Step 2:</w:t>
      </w:r>
      <w:r>
        <w:rPr/>
        <w:t>Build auto-merge trigger for high-confidence cases only (header match + same org + same requester).</w:t>
      </w:r>
    </w:p>
    <w:p>
      <w:pPr>
        <w:jc w:val="both"/>
      </w:pPr>
      <w:r>
        <w:rPr>
          <w:b/>
        </w:rPr>
        <w:t>Step 3:</w:t>
      </w:r>
      <w:r>
        <w:rPr/>
        <w:t>Exclude TAM-managed accounts from auto-merge, suggest only.</w:t>
      </w:r>
    </w:p>
    <w:p>
      <w:pPr>
        <w:jc w:val="both"/>
      </w:pPr>
      <w:r>
        <w:rPr>
          <w:b/>
        </w:rPr>
        <w:t>Step 4:</w:t>
      </w:r>
      <w:r>
        <w:rPr/>
        <w:t>Enable auto-merge in production. Monitor first 72 hours intensively.</w:t>
      </w:r>
    </w:p>
    <w:p>
      <w:pPr>
        <w:jc w:val="both"/>
      </w:pPr>
      <w:r>
        <w:rPr>
          <w:b/>
        </w:rPr>
        <w:t>Step 5:</w:t>
      </w:r>
      <w:r>
        <w:rPr/>
        <w:t>Add weekly duplicate review to EMEA huddle (5 min) for first month.</w:t>
      </w:r>
    </w:p>
    <w:p>
      <w:pPr>
        <w:jc w:val="both"/>
      </w:pPr>
      <w:r>
        <w:rPr>
          <w:b/>
        </w:rPr>
        <w:t>Step 6:</w:t>
      </w:r>
      <w:r>
        <w:rPr/>
        <w:t>Ops Analytics runs 90-day duplicate rate report vs baseline.</w:t>
      </w:r>
    </w:p>
    <w:p>
      <w:pPr>
        <w:jc w:val="both"/>
      </w:pPr>
      <w:r>
        <w:rPr>
          <w:b/>
        </w:rPr>
        <w:t>Step 7:</w:t>
      </w:r>
      <w:r>
        <w:rPr/>
        <w:t>Document final configuration in ops wiki.</w:t>
      </w:r>
    </w:p>
    <w:p>
      <w:pPr>
        <w:jc w:val="both"/>
      </w:pPr>
      <w:r>
        <w:rPr>
          <w:b/>
        </w:rPr>
        <w:t>Step 8:</w:t>
      </w:r>
      <w:r>
        <w:rPr/>
        <w:t>Close project with retrospective and handover to BAU support ops.</w:t>
      </w:r>
    </w:p>
    <w:p>
      <w:pPr>
        <w:jc w:val="both"/>
      </w:pPr>
      <w:r>
        <w:rPr>
          <w:b/>
        </w:rPr>
        <w:t>Deliverables:</w:t>
      </w:r>
    </w:p>
    <w:p>
      <w:pPr>
        <w:pStyle w:val="ListBullet"/>
      </w:pPr>
      <w:r>
        <w:rPr/>
        <w:t>Auto-merge trigger (high-confidence only)</w:t>
      </w:r>
    </w:p>
    <w:p>
      <w:pPr>
        <w:pStyle w:val="ListBullet"/>
      </w:pPr>
      <w:r>
        <w:rPr/>
        <w:t>90-day metrics report vs baseline</w:t>
      </w:r>
    </w:p>
    <w:p>
      <w:pPr>
        <w:pStyle w:val="ListBullet"/>
      </w:pPr>
      <w:r>
        <w:rPr/>
        <w:t>Ops wiki documentation</w:t>
      </w:r>
    </w:p>
    <w:p>
      <w:pPr>
        <w:pStyle w:val="ListBullet"/>
      </w:pPr>
      <w:r>
        <w:rPr/>
        <w:t>Project closure report</w:t>
      </w:r>
    </w:p>
    <w:p>
      <w:pPr>
        <w:jc w:val="both"/>
      </w:pPr>
    </w:p>
    <w:p>
      <w:pPr>
        <w:pStyle w:val="Heading2"/>
      </w:pPr>
      <w:r>
        <w:rPr/>
        <w:t>Success criteria (exit gates)</w:t>
      </w:r>
    </w:p>
    <w:p>
      <w:pPr>
        <w:pStyle w:val="ListBullet"/>
      </w:pPr>
      <w:r>
        <w:rPr/>
        <w:t>Duplicate ticket rate reduced by 40% vs 90-day baseline</w:t>
      </w:r>
    </w:p>
    <w:p>
      <w:pPr>
        <w:pStyle w:val="ListBullet"/>
      </w:pPr>
      <w:r>
        <w:rPr/>
        <w:t>Customer complaints about "new ticket number for same issue" near zero</w:t>
      </w:r>
    </w:p>
    <w:p>
      <w:pPr>
        <w:pStyle w:val="ListBullet"/>
      </w:pPr>
      <w:r>
        <w:rPr/>
        <w:t>Repeat handle time on duplicate clusters reduced by 25%</w:t>
      </w:r>
    </w:p>
    <w:p>
      <w:pPr>
        <w:pStyle w:val="ListBullet"/>
      </w:pPr>
      <w:r>
        <w:rPr/>
        <w:t>Auto-merge false-positive rate below 5%</w:t>
      </w:r>
    </w:p>
    <w:p>
      <w:pPr>
        <w:pStyle w:val="ListBullet"/>
      </w:pPr>
      <w:r>
        <w:rPr/>
        <w:t>Agent pulse survey shows improved duplicate frustration score</w:t>
      </w:r>
    </w:p>
    <w:p>
      <w:pPr>
        <w:pStyle w:val="Heading2"/>
      </w:pPr>
      <w:r>
        <w:rPr/>
        <w:t>Rollback plan</w:t>
      </w:r>
    </w:p>
    <w:p>
      <w:pPr>
        <w:pStyle w:val="ListBullet"/>
      </w:pPr>
      <w:r>
        <w:rPr/>
        <w:t>Disable duplicate detection trigger, immediate, no data loss</w:t>
      </w:r>
    </w:p>
    <w:p>
      <w:pPr>
        <w:pStyle w:val="ListBullet"/>
      </w:pPr>
      <w:r>
        <w:rPr/>
        <w:t>Revert follow-up policy to previous setting in Admin</w:t>
      </w:r>
    </w:p>
    <w:p>
      <w:pPr>
        <w:pStyle w:val="ListBullet"/>
      </w:pPr>
      <w:r>
        <w:rPr/>
        <w:t>Revert email templates to prior versions (keep archived copies)</w:t>
      </w:r>
    </w:p>
    <w:p>
      <w:pPr>
        <w:pStyle w:val="ListBullet"/>
      </w:pPr>
      <w:r>
        <w:rPr/>
        <w:t>Auto-merge disable does not affect already-merged tickets</w:t>
      </w:r>
    </w:p>
    <w:p>
      <w:pPr>
        <w:jc w:val="both"/>
      </w:pPr>
    </w:p>
    <w:p>
      <w:pPr>
        <w:jc w:val="both"/>
      </w:pPr>
      <w:r>
        <w:rPr/>
      </w:r>
    </w:p>
    <w:p>
      <w:pPr>
        <w:pStyle w:val="Heading1"/>
      </w:pPr>
      <w:r>
        <w:rPr/>
        <w:t>Project 3: Stale and On-Hold Ticket Nudges</w:t>
      </w:r>
    </w:p>
    <w:p>
      <w:pPr>
        <w:pStyle w:val="Heading2"/>
      </w:pPr>
      <w:r>
        <w:rPr/>
        <w:t>Problem statement</w:t>
      </w:r>
    </w:p>
    <w:p>
      <w:pPr>
        <w:jc w:val="both"/>
      </w:pPr>
      <w:r>
        <w:rPr/>
        <w:t>Tickets in Pending or On-hold sit without activity for days. No systematic reminder reaches the assignee, team lead, or TAM until the customer chases or SLA breaches. Especially problematic for supplier-dependent and internal-engineering waits.</w:t>
      </w:r>
    </w:p>
    <w:p>
      <w:pPr>
        <w:pStyle w:val="Heading2"/>
      </w:pPr>
      <w:r>
        <w:rPr/>
        <w:t>Project overview</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5046"/>
        <w:gridCol w:w="5046"/>
      </w:tblGrid>
      <w:tr>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Field</w:t>
            </w:r>
          </w:p>
        </w:tc>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Detail</w:t>
            </w:r>
          </w:p>
        </w:tc>
      </w:tr>
      <w:tr>
        <w:tc>
          <w:tcPr>
            <w:tcW w:type="dxa" w:w="5046"/>
            <w:vAlign w:val="center"/>
            <w:tcMar>
              <w:top w:w="60" w:type="dxa"/>
              <w:bottom w:w="60" w:type="dxa"/>
              <w:left w:w="110" w:type="dxa"/>
              <w:right w:w="110" w:type="dxa"/>
            </w:tcMar>
          </w:tcPr>
          <w:p>
            <w:pPr>
              <w:spacing w:after="40" w:before="40"/>
            </w:pPr>
            <w:r>
              <w:rPr>
                <w:sz w:val="22"/>
                <w:szCs w:val="22"/>
              </w:rPr>
              <w:t>Project name</w:t>
            </w:r>
          </w:p>
        </w:tc>
        <w:tc>
          <w:tcPr>
            <w:tcW w:type="dxa" w:w="5046"/>
            <w:vAlign w:val="center"/>
            <w:tcMar>
              <w:top w:w="60" w:type="dxa"/>
              <w:bottom w:w="60" w:type="dxa"/>
              <w:left w:w="110" w:type="dxa"/>
              <w:right w:w="110" w:type="dxa"/>
            </w:tcMar>
          </w:tcPr>
          <w:p>
            <w:pPr>
              <w:spacing w:after="40" w:before="40"/>
            </w:pPr>
            <w:r>
              <w:rPr>
                <w:sz w:val="22"/>
                <w:szCs w:val="22"/>
              </w:rPr>
              <w:t>Stale and On-Hold Ticket Nudges</w:t>
            </w:r>
          </w:p>
        </w:tc>
      </w:tr>
      <w:tr>
        <w:tc>
          <w:tcPr>
            <w:tcW w:type="dxa" w:w="5046"/>
            <w:vAlign w:val="center"/>
            <w:tcMar>
              <w:top w:w="60" w:type="dxa"/>
              <w:bottom w:w="60" w:type="dxa"/>
              <w:left w:w="110" w:type="dxa"/>
              <w:right w:w="110" w:type="dxa"/>
            </w:tcMar>
          </w:tcPr>
          <w:p>
            <w:pPr>
              <w:spacing w:after="40" w:before="40"/>
            </w:pPr>
            <w:r>
              <w:rPr>
                <w:sz w:val="22"/>
                <w:szCs w:val="22"/>
              </w:rPr>
              <w:t>Issue</w:t>
            </w:r>
          </w:p>
        </w:tc>
        <w:tc>
          <w:tcPr>
            <w:tcW w:type="dxa" w:w="5046"/>
            <w:vAlign w:val="center"/>
            <w:tcMar>
              <w:top w:w="60" w:type="dxa"/>
              <w:bottom w:w="60" w:type="dxa"/>
              <w:left w:w="110" w:type="dxa"/>
              <w:right w:w="110" w:type="dxa"/>
            </w:tcMar>
          </w:tcPr>
          <w:p>
            <w:pPr>
              <w:spacing w:after="40" w:before="40"/>
            </w:pPr>
            <w:r>
              <w:rPr>
                <w:sz w:val="22"/>
                <w:szCs w:val="22"/>
              </w:rPr>
              <w:t>Silent tickets with no automated internal reminders</w:t>
            </w:r>
          </w:p>
        </w:tc>
      </w:tr>
      <w:tr>
        <w:tc>
          <w:tcPr>
            <w:tcW w:type="dxa" w:w="5046"/>
            <w:vAlign w:val="center"/>
            <w:tcMar>
              <w:top w:w="60" w:type="dxa"/>
              <w:bottom w:w="60" w:type="dxa"/>
              <w:left w:w="110" w:type="dxa"/>
              <w:right w:w="110" w:type="dxa"/>
            </w:tcMar>
          </w:tcPr>
          <w:p>
            <w:pPr>
              <w:spacing w:after="40" w:before="40"/>
            </w:pPr>
            <w:r>
              <w:rPr>
                <w:sz w:val="22"/>
                <w:szCs w:val="22"/>
              </w:rPr>
              <w:t>Priority</w:t>
            </w:r>
          </w:p>
        </w:tc>
        <w:tc>
          <w:tcPr>
            <w:tcW w:type="dxa" w:w="5046"/>
            <w:vAlign w:val="center"/>
            <w:tcMar>
              <w:top w:w="60" w:type="dxa"/>
              <w:bottom w:w="60" w:type="dxa"/>
              <w:left w:w="110" w:type="dxa"/>
              <w:right w:w="110" w:type="dxa"/>
            </w:tcMar>
          </w:tcPr>
          <w:p>
            <w:pPr>
              <w:spacing w:after="40" w:before="40"/>
            </w:pPr>
            <w:r>
              <w:rPr>
                <w:sz w:val="22"/>
                <w:szCs w:val="22"/>
              </w:rPr>
              <w:t>P2, High</w:t>
            </w:r>
          </w:p>
        </w:tc>
      </w:tr>
      <w:tr>
        <w:tc>
          <w:tcPr>
            <w:tcW w:type="dxa" w:w="5046"/>
            <w:vAlign w:val="center"/>
            <w:tcMar>
              <w:top w:w="60" w:type="dxa"/>
              <w:bottom w:w="60" w:type="dxa"/>
              <w:left w:w="110" w:type="dxa"/>
              <w:right w:w="110" w:type="dxa"/>
            </w:tcMar>
          </w:tcPr>
          <w:p>
            <w:pPr>
              <w:spacing w:after="40" w:before="40"/>
            </w:pPr>
            <w:r>
              <w:rPr>
                <w:sz w:val="22"/>
                <w:szCs w:val="22"/>
              </w:rPr>
              <w:t>Project owner</w:t>
            </w:r>
          </w:p>
        </w:tc>
        <w:tc>
          <w:tcPr>
            <w:tcW w:type="dxa" w:w="5046"/>
            <w:vAlign w:val="center"/>
            <w:tcMar>
              <w:top w:w="60" w:type="dxa"/>
              <w:bottom w:w="60" w:type="dxa"/>
              <w:left w:w="110" w:type="dxa"/>
              <w:right w:w="110" w:type="dxa"/>
            </w:tcMar>
          </w:tcPr>
          <w:p>
            <w:pPr>
              <w:spacing w:after="40" w:before="40"/>
            </w:pPr>
            <w:r>
              <w:rPr>
                <w:sz w:val="22"/>
                <w:szCs w:val="22"/>
              </w:rPr>
              <w:t>EMEA Team Lead + Zendesk Admin</w:t>
            </w:r>
          </w:p>
        </w:tc>
      </w:tr>
      <w:tr>
        <w:tc>
          <w:tcPr>
            <w:tcW w:type="dxa" w:w="5046"/>
            <w:vAlign w:val="center"/>
            <w:tcMar>
              <w:top w:w="60" w:type="dxa"/>
              <w:bottom w:w="60" w:type="dxa"/>
              <w:left w:w="110" w:type="dxa"/>
              <w:right w:w="110" w:type="dxa"/>
            </w:tcMar>
          </w:tcPr>
          <w:p>
            <w:pPr>
              <w:spacing w:after="40" w:before="40"/>
            </w:pPr>
            <w:r>
              <w:rPr>
                <w:sz w:val="22"/>
                <w:szCs w:val="22"/>
              </w:rPr>
              <w:t>Duration</w:t>
            </w:r>
          </w:p>
        </w:tc>
        <w:tc>
          <w:tcPr>
            <w:tcW w:type="dxa" w:w="5046"/>
            <w:vAlign w:val="center"/>
            <w:tcMar>
              <w:top w:w="60" w:type="dxa"/>
              <w:bottom w:w="60" w:type="dxa"/>
              <w:left w:w="110" w:type="dxa"/>
              <w:right w:w="110" w:type="dxa"/>
            </w:tcMar>
          </w:tcPr>
          <w:p>
            <w:pPr>
              <w:spacing w:after="40" w:before="40"/>
            </w:pPr>
            <w:r>
              <w:rPr>
                <w:sz w:val="22"/>
                <w:szCs w:val="22"/>
              </w:rPr>
              <w:t>6 weeks</w:t>
            </w:r>
          </w:p>
        </w:tc>
      </w:tr>
      <w:tr>
        <w:tc>
          <w:tcPr>
            <w:tcW w:type="dxa" w:w="5046"/>
            <w:vAlign w:val="center"/>
            <w:tcMar>
              <w:top w:w="60" w:type="dxa"/>
              <w:bottom w:w="60" w:type="dxa"/>
              <w:left w:w="110" w:type="dxa"/>
              <w:right w:w="110" w:type="dxa"/>
            </w:tcMar>
          </w:tcPr>
          <w:p>
            <w:pPr>
              <w:spacing w:after="40" w:before="40"/>
            </w:pPr>
            <w:r>
              <w:rPr>
                <w:sz w:val="22"/>
                <w:szCs w:val="22"/>
              </w:rPr>
              <w:t>Dependencies</w:t>
            </w:r>
          </w:p>
        </w:tc>
        <w:tc>
          <w:tcPr>
            <w:tcW w:type="dxa" w:w="5046"/>
            <w:vAlign w:val="center"/>
            <w:tcMar>
              <w:top w:w="60" w:type="dxa"/>
              <w:bottom w:w="60" w:type="dxa"/>
              <w:left w:w="110" w:type="dxa"/>
              <w:right w:w="110" w:type="dxa"/>
            </w:tcMar>
          </w:tcPr>
          <w:p>
            <w:pPr>
              <w:spacing w:after="40" w:before="40"/>
            </w:pPr>
            <w:r>
              <w:rPr>
                <w:sz w:val="22"/>
                <w:szCs w:val="22"/>
              </w:rPr>
              <w:t>Benefits from Project 1 (supplier reopen), can start Week 1 in parallel</w:t>
            </w:r>
          </w:p>
        </w:tc>
      </w:tr>
      <w:tr>
        <w:tc>
          <w:tcPr>
            <w:tcW w:type="dxa" w:w="5046"/>
            <w:vAlign w:val="center"/>
            <w:tcMar>
              <w:top w:w="60" w:type="dxa"/>
              <w:bottom w:w="60" w:type="dxa"/>
              <w:left w:w="110" w:type="dxa"/>
              <w:right w:w="110" w:type="dxa"/>
            </w:tcMar>
          </w:tcPr>
          <w:p>
            <w:pPr>
              <w:spacing w:after="40" w:before="40"/>
            </w:pPr>
            <w:r>
              <w:rPr>
                <w:sz w:val="22"/>
                <w:szCs w:val="22"/>
              </w:rPr>
              <w:t>Customer impact</w:t>
            </w:r>
          </w:p>
        </w:tc>
        <w:tc>
          <w:tcPr>
            <w:tcW w:type="dxa" w:w="5046"/>
            <w:vAlign w:val="center"/>
            <w:tcMar>
              <w:top w:w="60" w:type="dxa"/>
              <w:bottom w:w="60" w:type="dxa"/>
              <w:left w:w="110" w:type="dxa"/>
              <w:right w:w="110" w:type="dxa"/>
            </w:tcMar>
          </w:tcPr>
          <w:p>
            <w:pPr>
              <w:spacing w:after="40" w:before="40"/>
            </w:pPr>
            <w:r>
              <w:rPr>
                <w:sz w:val="22"/>
                <w:szCs w:val="22"/>
              </w:rPr>
              <w:t>None, internal notifications only</w:t>
            </w:r>
          </w:p>
        </w:tc>
      </w:tr>
    </w:tbl>
    <w:p>
      <w:pPr>
        <w:jc w:val="both"/>
      </w:pPr>
    </w:p>
    <w:p>
      <w:pPr>
        <w:pStyle w:val="Heading2"/>
      </w:pPr>
      <w:r>
        <w:rPr/>
        <w:t>Step-by-step implementation plan</w:t>
      </w:r>
    </w:p>
    <w:p>
      <w:pPr>
        <w:pStyle w:val="Heading3"/>
      </w:pPr>
      <w:r>
        <w:rPr/>
        <w:t>Phase 1, Define thresholds (Week 1)</w:t>
      </w:r>
    </w:p>
    <w:p>
      <w:pPr>
        <w:jc w:val="both"/>
      </w:pPr>
      <w:r>
        <w:rPr>
          <w:i/>
        </w:rPr>
        <w:t>Goal: Agree time thresholds and on-hold reason taxonomy.</w:t>
      </w:r>
    </w:p>
    <w:p>
      <w:pPr>
        <w:jc w:val="both"/>
      </w:pPr>
      <w:r>
        <w:rPr>
          <w:b/>
        </w:rPr>
        <w:t>Step 1:</w:t>
      </w:r>
      <w:r>
        <w:rPr/>
        <w:t>Review current EMEA queue data: average time in Pending and On-hold by priority (P1/P2 vs P3/P4).</w:t>
      </w:r>
    </w:p>
    <w:p>
      <w:pPr>
        <w:jc w:val="both"/>
      </w:pPr>
      <w:r>
        <w:rPr>
          <w:b/>
        </w:rPr>
        <w:t>Step 2:</w:t>
      </w:r>
      <w:r>
        <w:rPr/>
        <w:t>Propose nudge thresholds: P1/P2 at 24h/48h/72h, P3/P4 at 48h/72h/5 days.</w:t>
      </w:r>
    </w:p>
    <w:p>
      <w:pPr>
        <w:jc w:val="both"/>
      </w:pPr>
      <w:r>
        <w:rPr>
          <w:b/>
        </w:rPr>
        <w:t>Step 3:</w:t>
      </w:r>
      <w:r>
        <w:rPr/>
        <w:t>Workshop with 4 agents and 2 team leads: validate thresholds are achievable, not noisy.</w:t>
      </w:r>
    </w:p>
    <w:p>
      <w:pPr>
        <w:jc w:val="both"/>
      </w:pPr>
      <w:r>
        <w:rPr>
          <w:b/>
        </w:rPr>
        <w:t>Step 4:</w:t>
      </w:r>
      <w:r>
        <w:rPr/>
        <w:t>Define on_hold_reason dropdown: Customer, Supplier, Internal engineering, Billing, Other.</w:t>
      </w:r>
    </w:p>
    <w:p>
      <w:pPr>
        <w:jc w:val="both"/>
      </w:pPr>
      <w:r>
        <w:rPr>
          <w:b/>
        </w:rPr>
        <w:t>Step 5:</w:t>
      </w:r>
      <w:r>
        <w:rPr/>
        <w:t>Define stale_ticket tag application rule: applied at final threshold if no activity.</w:t>
      </w:r>
    </w:p>
    <w:p>
      <w:pPr>
        <w:jc w:val="both"/>
      </w:pPr>
      <w:r>
        <w:rPr>
          <w:b/>
        </w:rPr>
        <w:t>Step 6:</w:t>
      </w:r>
      <w:r>
        <w:rPr/>
        <w:t>Agree snooze policy: agent can snooze nudges with macro + mandatory reason field.</w:t>
      </w:r>
    </w:p>
    <w:p>
      <w:pPr>
        <w:jc w:val="both"/>
      </w:pPr>
      <w:r>
        <w:rPr>
          <w:b/>
        </w:rPr>
        <w:t>Step 7:</w:t>
      </w:r>
      <w:r>
        <w:rPr/>
        <w:t>Document spec. Zendesk Admin sign-off.</w:t>
      </w:r>
    </w:p>
    <w:p>
      <w:pPr>
        <w:jc w:val="both"/>
      </w:pPr>
      <w:r>
        <w:rPr>
          <w:b/>
        </w:rPr>
        <w:t>Deliverables:</w:t>
      </w:r>
    </w:p>
    <w:p>
      <w:pPr>
        <w:pStyle w:val="ListBullet"/>
      </w:pPr>
      <w:r>
        <w:rPr/>
        <w:t>Nudge threshold table by priority</w:t>
      </w:r>
    </w:p>
    <w:p>
      <w:pPr>
        <w:pStyle w:val="ListBullet"/>
      </w:pPr>
      <w:r>
        <w:rPr/>
        <w:t>on_hold_reason field spec</w:t>
      </w:r>
    </w:p>
    <w:p>
      <w:pPr>
        <w:pStyle w:val="ListBullet"/>
      </w:pPr>
      <w:r>
        <w:rPr/>
        <w:t>Snooze macro spec</w:t>
      </w:r>
    </w:p>
    <w:p>
      <w:pPr>
        <w:pStyle w:val="ListBullet"/>
      </w:pPr>
      <w:r>
        <w:rPr/>
        <w:t>Signed automation design</w:t>
      </w:r>
    </w:p>
    <w:p>
      <w:pPr>
        <w:jc w:val="both"/>
      </w:pPr>
    </w:p>
    <w:p>
      <w:pPr>
        <w:pStyle w:val="Heading3"/>
      </w:pPr>
      <w:r>
        <w:rPr/>
        <w:t>Phase 2, Build automations (Week 2)</w:t>
      </w:r>
    </w:p>
    <w:p>
      <w:pPr>
        <w:jc w:val="both"/>
      </w:pPr>
      <w:r>
        <w:rPr>
          <w:i/>
        </w:rPr>
        <w:t>Goal: Create all automations in sandbox and test.</w:t>
      </w:r>
    </w:p>
    <w:p>
      <w:pPr>
        <w:jc w:val="both"/>
      </w:pPr>
      <w:r>
        <w:rPr>
          <w:b/>
        </w:rPr>
        <w:t>Step 1:</w:t>
      </w:r>
      <w:r>
        <w:rPr/>
        <w:t>Create on_hold_reason custom field in sandbox.</w:t>
      </w:r>
    </w:p>
    <w:p>
      <w:pPr>
        <w:jc w:val="both"/>
      </w:pPr>
      <w:r>
        <w:rPr>
          <w:b/>
        </w:rPr>
        <w:t>Step 2:</w:t>
      </w:r>
      <w:r>
        <w:rPr/>
        <w:t>Build Automation 1: P1/P2 on-hold/pending, no comment 24h to email assignee.</w:t>
      </w:r>
    </w:p>
    <w:p>
      <w:pPr>
        <w:jc w:val="both"/>
      </w:pPr>
      <w:r>
        <w:rPr>
          <w:b/>
        </w:rPr>
        <w:t>Step 3:</w:t>
      </w:r>
      <w:r>
        <w:rPr/>
        <w:t>Build Automation 2: P1/P2, no comment 48h to internal note + email assignee + CC team lead.</w:t>
      </w:r>
    </w:p>
    <w:p>
      <w:pPr>
        <w:jc w:val="both"/>
      </w:pPr>
      <w:r>
        <w:rPr>
          <w:b/>
        </w:rPr>
        <w:t>Step 4:</w:t>
      </w:r>
      <w:r>
        <w:rPr/>
        <w:t>Build Automation 3: P1/P2, no comment 72h to apply stale_ticket tag + notify TAM (enterprise orgs only).</w:t>
      </w:r>
    </w:p>
    <w:p>
      <w:pPr>
        <w:jc w:val="both"/>
      </w:pPr>
      <w:r>
        <w:rPr>
          <w:b/>
        </w:rPr>
        <w:t>Step 5:</w:t>
      </w:r>
      <w:r>
        <w:rPr/>
        <w:t>Build equivalent automations for P3/P4 with longer thresholds.</w:t>
      </w:r>
    </w:p>
    <w:p>
      <w:pPr>
        <w:jc w:val="both"/>
      </w:pPr>
      <w:r>
        <w:rPr>
          <w:b/>
        </w:rPr>
        <w:t>Step 6:</w:t>
      </w:r>
      <w:r>
        <w:rPr/>
        <w:t>Build snooze macro: sets snooze_until date field, suppresses nudges until date.</w:t>
      </w:r>
    </w:p>
    <w:p>
      <w:pPr>
        <w:jc w:val="both"/>
      </w:pPr>
      <w:r>
        <w:rPr>
          <w:b/>
        </w:rPr>
        <w:t>Step 7:</w:t>
      </w:r>
      <w:r>
        <w:rPr/>
        <w:t>Test: create test tickets, advance clocks or use manual date edits, verify each automation fires once only.</w:t>
      </w:r>
    </w:p>
    <w:p>
      <w:pPr>
        <w:jc w:val="both"/>
      </w:pPr>
      <w:r>
        <w:rPr>
          <w:b/>
        </w:rPr>
        <w:t>Step 8:</w:t>
      </w:r>
      <w:r>
        <w:rPr/>
        <w:t>Verify: customer receives NO public comments from any automation.</w:t>
      </w:r>
    </w:p>
    <w:p>
      <w:pPr>
        <w:jc w:val="both"/>
      </w:pPr>
      <w:r>
        <w:rPr>
          <w:b/>
        </w:rPr>
        <w:t>Step 9:</w:t>
      </w:r>
      <w:r>
        <w:rPr/>
        <w:t>Promote to production config (disabled state).</w:t>
      </w:r>
    </w:p>
    <w:p>
      <w:pPr>
        <w:jc w:val="both"/>
      </w:pPr>
      <w:r>
        <w:rPr>
          <w:b/>
        </w:rPr>
        <w:t>Deliverables:</w:t>
      </w:r>
    </w:p>
    <w:p>
      <w:pPr>
        <w:pStyle w:val="ListBullet"/>
      </w:pPr>
      <w:r>
        <w:rPr/>
        <w:t>6+ automations built and tested in sandbox</w:t>
      </w:r>
    </w:p>
    <w:p>
      <w:pPr>
        <w:pStyle w:val="ListBullet"/>
      </w:pPr>
      <w:r>
        <w:rPr/>
        <w:t>Snooze macro in sandbox</w:t>
      </w:r>
    </w:p>
    <w:p>
      <w:pPr>
        <w:pStyle w:val="ListBullet"/>
      </w:pPr>
      <w:r>
        <w:rPr/>
        <w:t>Test log confirming internal-only notifications</w:t>
      </w:r>
    </w:p>
    <w:p>
      <w:pPr>
        <w:pStyle w:val="ListBullet"/>
      </w:pPr>
      <w:r>
        <w:rPr/>
        <w:t>Production config ready (disabled)</w:t>
      </w:r>
    </w:p>
    <w:p>
      <w:pPr>
        <w:jc w:val="both"/>
      </w:pPr>
    </w:p>
    <w:p>
      <w:pPr>
        <w:pStyle w:val="Heading3"/>
      </w:pPr>
      <w:r>
        <w:rPr/>
        <w:t>Phase 3, Pilot (Week 3-4)</w:t>
      </w:r>
    </w:p>
    <w:p>
      <w:pPr>
        <w:jc w:val="both"/>
      </w:pPr>
      <w:r>
        <w:rPr>
          <w:i/>
        </w:rPr>
        <w:t>Goal: Enable on EMEA enterprise queue only.</w:t>
      </w:r>
    </w:p>
    <w:p>
      <w:pPr>
        <w:jc w:val="both"/>
      </w:pPr>
      <w:r>
        <w:rPr>
          <w:b/>
        </w:rPr>
        <w:t>Step 1:</w:t>
      </w:r>
      <w:r>
        <w:rPr/>
        <w:t>Enable automations for enterprise queue/group only.</w:t>
      </w:r>
    </w:p>
    <w:p>
      <w:pPr>
        <w:jc w:val="both"/>
      </w:pPr>
      <w:r>
        <w:rPr>
          <w:b/>
        </w:rPr>
        <w:t>Step 2:</w:t>
      </w:r>
      <w:r>
        <w:rPr/>
        <w:t>Add on_hold_reason to On-hold macro, agent must select reason when setting On-hold.</w:t>
      </w:r>
    </w:p>
    <w:p>
      <w:pPr>
        <w:jc w:val="both"/>
      </w:pPr>
      <w:r>
        <w:rPr>
          <w:b/>
        </w:rPr>
        <w:t>Step 3:</w:t>
      </w:r>
      <w:r>
        <w:rPr/>
        <w:t>Announce to EMEA team: "Internal nudges starting, you may receive reminders on quiet tickets."</w:t>
      </w:r>
    </w:p>
    <w:p>
      <w:pPr>
        <w:jc w:val="both"/>
      </w:pPr>
      <w:r>
        <w:rPr>
          <w:b/>
        </w:rPr>
        <w:t>Step 4:</w:t>
      </w:r>
      <w:r>
        <w:rPr/>
        <w:t>Monitor daily for 10 business days: nudge volume, agent complaints, false positives.</w:t>
      </w:r>
    </w:p>
    <w:p>
      <w:pPr>
        <w:jc w:val="both"/>
      </w:pPr>
      <w:r>
        <w:rPr>
          <w:b/>
        </w:rPr>
        <w:t>Step 5:</w:t>
      </w:r>
      <w:r>
        <w:rPr/>
        <w:t>Track: tickets tagged stale_ticket, are they genuinely neglected or valid long waits?</w:t>
      </w:r>
    </w:p>
    <w:p>
      <w:pPr>
        <w:jc w:val="both"/>
      </w:pPr>
      <w:r>
        <w:rPr>
          <w:b/>
        </w:rPr>
        <w:t>Step 6:</w:t>
      </w:r>
      <w:r>
        <w:rPr/>
        <w:t>Introduce weekly 15-min stale queue review in team huddle using Explore report.</w:t>
      </w:r>
    </w:p>
    <w:p>
      <w:pPr>
        <w:jc w:val="both"/>
      </w:pPr>
      <w:r>
        <w:rPr>
          <w:b/>
        </w:rPr>
        <w:t>Step 7:</w:t>
      </w:r>
      <w:r>
        <w:rPr/>
        <w:t>Tune thresholds if nudge volume exceeds 15% of on-hold queue per day.</w:t>
      </w:r>
    </w:p>
    <w:p>
      <w:pPr>
        <w:jc w:val="both"/>
      </w:pPr>
      <w:r>
        <w:rPr>
          <w:b/>
        </w:rPr>
        <w:t>Step 8:</w:t>
      </w:r>
      <w:r>
        <w:rPr/>
        <w:t>Pilot sign-off at end of Week 4.</w:t>
      </w:r>
    </w:p>
    <w:p>
      <w:pPr>
        <w:jc w:val="both"/>
      </w:pPr>
      <w:r>
        <w:rPr>
          <w:b/>
        </w:rPr>
        <w:t>Deliverables:</w:t>
      </w:r>
    </w:p>
    <w:p>
      <w:pPr>
        <w:pStyle w:val="ListBullet"/>
      </w:pPr>
      <w:r>
        <w:rPr/>
        <w:t>Automations live (enterprise queue)</w:t>
      </w:r>
    </w:p>
    <w:p>
      <w:pPr>
        <w:pStyle w:val="ListBullet"/>
      </w:pPr>
      <w:r>
        <w:rPr/>
        <w:t>On-hold macro updated</w:t>
      </w:r>
    </w:p>
    <w:p>
      <w:pPr>
        <w:pStyle w:val="ListBullet"/>
      </w:pPr>
      <w:r>
        <w:rPr/>
        <w:t>10-day pilot metrics</w:t>
      </w:r>
    </w:p>
    <w:p>
      <w:pPr>
        <w:pStyle w:val="ListBullet"/>
      </w:pPr>
      <w:r>
        <w:rPr/>
        <w:t>Weekly stale queue review in huddle calendar</w:t>
      </w:r>
    </w:p>
    <w:p>
      <w:pPr>
        <w:pStyle w:val="ListBullet"/>
      </w:pPr>
      <w:r>
        <w:rPr/>
        <w:t>Pilot sign-off</w:t>
      </w:r>
    </w:p>
    <w:p>
      <w:pPr>
        <w:jc w:val="both"/>
      </w:pPr>
    </w:p>
    <w:p>
      <w:pPr>
        <w:pStyle w:val="Heading3"/>
      </w:pPr>
      <w:r>
        <w:rPr/>
        <w:t>Phase 4, Roll out and measure (Week 5-6)</w:t>
      </w:r>
    </w:p>
    <w:p>
      <w:pPr>
        <w:jc w:val="both"/>
      </w:pPr>
      <w:r>
        <w:rPr>
          <w:i/>
        </w:rPr>
        <w:t>Goal: Extend to all EMEA queues and measure impact.</w:t>
      </w:r>
    </w:p>
    <w:p>
      <w:pPr>
        <w:jc w:val="both"/>
      </w:pPr>
      <w:r>
        <w:rPr>
          <w:b/>
        </w:rPr>
        <w:t>Step 1:</w:t>
      </w:r>
      <w:r>
        <w:rPr/>
        <w:t>Enable automations for all EMEA support groups.</w:t>
      </w:r>
    </w:p>
    <w:p>
      <w:pPr>
        <w:jc w:val="both"/>
      </w:pPr>
      <w:r>
        <w:rPr>
          <w:b/>
        </w:rPr>
        <w:t>Step 2:</w:t>
      </w:r>
      <w:r>
        <w:rPr/>
        <w:t>Ops Analytics creates Explore report: stale_ticket count, mean on-hold age, customer chase messages.</w:t>
      </w:r>
    </w:p>
    <w:p>
      <w:pPr>
        <w:jc w:val="both"/>
      </w:pPr>
      <w:r>
        <w:rPr>
          <w:b/>
        </w:rPr>
        <w:t>Step 3:</w:t>
      </w:r>
      <w:r>
        <w:rPr/>
        <w:t>Capture 30-day baseline comparison.</w:t>
      </w:r>
    </w:p>
    <w:p>
      <w:pPr>
        <w:jc w:val="both"/>
      </w:pPr>
      <w:r>
        <w:rPr>
          <w:b/>
        </w:rPr>
        <w:t>Step 4:</w:t>
      </w:r>
      <w:r>
        <w:rPr/>
        <w:t>Add stale queue review to weekly huddle permanently (owner: rotating team lead).</w:t>
      </w:r>
    </w:p>
    <w:p>
      <w:pPr>
        <w:jc w:val="both"/>
      </w:pPr>
      <w:r>
        <w:rPr>
          <w:b/>
        </w:rPr>
        <w:t>Step 5:</w:t>
      </w:r>
      <w:r>
        <w:rPr/>
        <w:t>Document in ops wiki: thresholds, snooze policy, escalation path.</w:t>
      </w:r>
    </w:p>
    <w:p>
      <w:pPr>
        <w:jc w:val="both"/>
      </w:pPr>
      <w:r>
        <w:rPr>
          <w:b/>
        </w:rPr>
        <w:t>Step 6:</w:t>
      </w:r>
      <w:r>
        <w:rPr/>
        <w:t>Close project at Week 6 with metrics report.</w:t>
      </w:r>
    </w:p>
    <w:p>
      <w:pPr>
        <w:jc w:val="both"/>
      </w:pPr>
      <w:r>
        <w:rPr>
          <w:b/>
        </w:rPr>
        <w:t>Deliverables:</w:t>
      </w:r>
    </w:p>
    <w:p>
      <w:pPr>
        <w:pStyle w:val="ListBullet"/>
      </w:pPr>
      <w:r>
        <w:rPr/>
        <w:t>Full EMEA roll-out</w:t>
      </w:r>
    </w:p>
    <w:p>
      <w:pPr>
        <w:pStyle w:val="ListBullet"/>
      </w:pPr>
      <w:r>
        <w:rPr/>
        <w:t>Explore stale ticket dashboard</w:t>
      </w:r>
    </w:p>
    <w:p>
      <w:pPr>
        <w:pStyle w:val="ListBullet"/>
      </w:pPr>
      <w:r>
        <w:rPr/>
        <w:t>30-day impact report</w:t>
      </w:r>
    </w:p>
    <w:p>
      <w:pPr>
        <w:pStyle w:val="ListBullet"/>
      </w:pPr>
      <w:r>
        <w:rPr/>
        <w:t>Ops wiki page</w:t>
      </w:r>
    </w:p>
    <w:p>
      <w:pPr>
        <w:jc w:val="both"/>
      </w:pPr>
    </w:p>
    <w:p>
      <w:pPr>
        <w:pStyle w:val="Heading2"/>
      </w:pPr>
      <w:r>
        <w:rPr/>
        <w:t>Success criteria (exit gates)</w:t>
      </w:r>
    </w:p>
    <w:p>
      <w:pPr>
        <w:pStyle w:val="ListBullet"/>
      </w:pPr>
      <w:r>
        <w:rPr/>
        <w:t>Tickets open &gt;5 days without activity reduced by 30%</w:t>
      </w:r>
    </w:p>
    <w:p>
      <w:pPr>
        <w:pStyle w:val="ListBullet"/>
      </w:pPr>
      <w:r>
        <w:rPr/>
        <w:t>Mean on-hold age reduced by 20%</w:t>
      </w:r>
    </w:p>
    <w:p>
      <w:pPr>
        <w:pStyle w:val="ListBullet"/>
      </w:pPr>
      <w:r>
        <w:rPr/>
        <w:t>Customer "any update?" chase messages reduced by 25%</w:t>
      </w:r>
    </w:p>
    <w:p>
      <w:pPr>
        <w:pStyle w:val="ListBullet"/>
      </w:pPr>
      <w:r>
        <w:rPr/>
        <w:t>SLA breaches on tickets that were stale_ticket tagged in prior 48h reduced by 35%</w:t>
      </w:r>
    </w:p>
    <w:p>
      <w:pPr>
        <w:pStyle w:val="Heading2"/>
      </w:pPr>
      <w:r>
        <w:rPr/>
        <w:t>Rollback plan</w:t>
      </w:r>
    </w:p>
    <w:p>
      <w:pPr>
        <w:pStyle w:val="ListBullet"/>
      </w:pPr>
      <w:r>
        <w:rPr/>
        <w:t>Disable automations by priority tier independently</w:t>
      </w:r>
    </w:p>
    <w:p>
      <w:pPr>
        <w:pStyle w:val="ListBullet"/>
      </w:pPr>
      <w:r>
        <w:rPr/>
        <w:t>Remove stale_ticket tag from automations without deleting historical tags</w:t>
      </w:r>
    </w:p>
    <w:p>
      <w:pPr>
        <w:pStyle w:val="ListBullet"/>
      </w:pPr>
      <w:r>
        <w:rPr/>
        <w:t>Snooze macro remains available if automations disabled</w:t>
      </w:r>
    </w:p>
    <w:p>
      <w:pPr>
        <w:jc w:val="both"/>
      </w:pPr>
    </w:p>
    <w:p>
      <w:pPr>
        <w:jc w:val="both"/>
      </w:pPr>
      <w:r>
        <w:rPr/>
      </w:r>
    </w:p>
    <w:p>
      <w:pPr>
        <w:pStyle w:val="Heading1"/>
      </w:pPr>
      <w:r>
        <w:rPr/>
        <w:t>Program governance</w:t>
      </w:r>
    </w:p>
    <w:p>
      <w:pPr>
        <w:pStyle w:val="Heading2"/>
      </w:pPr>
      <w:r>
        <w:rPr/>
        <w:t>Weekly program standup (30 minutes)</w:t>
      </w:r>
    </w:p>
    <w:p>
      <w:pPr>
        <w:pStyle w:val="ListBullet"/>
      </w:pPr>
      <w:r>
        <w:rPr/>
        <w:t>Review each project RAG status (Red/Amber/Green)</w:t>
      </w:r>
    </w:p>
    <w:p>
      <w:pPr>
        <w:pStyle w:val="ListBullet"/>
      </w:pPr>
      <w:r>
        <w:rPr/>
        <w:t>Blockers escalated to Zendesk Admin or Support Ops</w:t>
      </w:r>
    </w:p>
    <w:p>
      <w:pPr>
        <w:pStyle w:val="ListBullet"/>
      </w:pPr>
      <w:r>
        <w:rPr/>
        <w:t>Change window: production Zendesk changes Tuesday and Thursday only</w:t>
      </w:r>
    </w:p>
    <w:p>
      <w:pPr>
        <w:pStyle w:val="ListBullet"/>
      </w:pPr>
      <w:r>
        <w:rPr/>
        <w:t>All production changes documented in change log</w:t>
      </w:r>
    </w:p>
    <w:p>
      <w:pPr>
        <w:jc w:val="both"/>
      </w:pPr>
    </w:p>
    <w:p>
      <w:pPr>
        <w:pStyle w:val="Heading2"/>
      </w:pPr>
      <w:r>
        <w:rPr/>
        <w:t>30, 60, 90-day program milestones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523"/>
        <w:gridCol w:w="2523"/>
        <w:gridCol w:w="2523"/>
        <w:gridCol w:w="2523"/>
      </w:tblGrid>
      <w:tr>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Milestone</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Day 30</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Day 60</w:t>
            </w:r>
          </w:p>
        </w:tc>
        <w:tc>
          <w:tcPr>
            <w:tcW w:type="dxa" w:w="2523"/>
            <w:vAlign w:val="center"/>
            <w:tcMar>
              <w:top w:w="60" w:type="dxa"/>
              <w:bottom w:w="60" w:type="dxa"/>
              <w:left w:w="110" w:type="dxa"/>
              <w:right w:w="110" w:type="dxa"/>
            </w:tcMar>
            <w:shd w:val="clear" w:color="auto" w:fill="1B3A5B"/>
          </w:tcPr>
          <w:p>
            <w:pPr>
              <w:spacing w:after="40" w:before="40"/>
            </w:pPr>
            <w:r>
              <w:rPr>
                <w:b w:val="true"/>
                <w:color w:val="FFFFFF"/>
                <w:sz w:val="24"/>
                <w:szCs w:val="24"/>
              </w:rPr>
              <w:t>Day 90</w:t>
            </w:r>
          </w:p>
        </w:tc>
      </w:tr>
      <w:tr>
        <w:tc>
          <w:tcPr>
            <w:tcW w:type="dxa" w:w="2523"/>
            <w:vAlign w:val="center"/>
            <w:tcMar>
              <w:top w:w="60" w:type="dxa"/>
              <w:bottom w:w="60" w:type="dxa"/>
              <w:left w:w="110" w:type="dxa"/>
              <w:right w:w="110" w:type="dxa"/>
            </w:tcMar>
          </w:tcPr>
          <w:p>
            <w:pPr>
              <w:spacing w:after="40" w:before="40"/>
            </w:pPr>
            <w:r>
              <w:rPr>
                <w:sz w:val="22"/>
                <w:szCs w:val="22"/>
              </w:rPr>
              <w:t>Project 1 Supplier reopen</w:t>
            </w:r>
          </w:p>
        </w:tc>
        <w:tc>
          <w:tcPr>
            <w:tcW w:type="dxa" w:w="2523"/>
            <w:vAlign w:val="center"/>
            <w:tcMar>
              <w:top w:w="60" w:type="dxa"/>
              <w:bottom w:w="60" w:type="dxa"/>
              <w:left w:w="110" w:type="dxa"/>
              <w:right w:w="110" w:type="dxa"/>
            </w:tcMar>
          </w:tcPr>
          <w:p>
            <w:pPr>
              <w:spacing w:after="40" w:before="40"/>
            </w:pPr>
            <w:r>
              <w:rPr>
                <w:sz w:val="22"/>
                <w:szCs w:val="22"/>
              </w:rPr>
              <w:t>Shadow mode complete</w:t>
            </w:r>
          </w:p>
        </w:tc>
        <w:tc>
          <w:tcPr>
            <w:tcW w:type="dxa" w:w="2523"/>
            <w:vAlign w:val="center"/>
            <w:tcMar>
              <w:top w:w="60" w:type="dxa"/>
              <w:bottom w:w="60" w:type="dxa"/>
              <w:left w:w="110" w:type="dxa"/>
              <w:right w:w="110" w:type="dxa"/>
            </w:tcMar>
          </w:tcPr>
          <w:p>
            <w:pPr>
              <w:spacing w:after="40" w:before="40"/>
            </w:pPr>
            <w:r>
              <w:rPr>
                <w:sz w:val="22"/>
                <w:szCs w:val="22"/>
              </w:rPr>
              <w:t>Live pilot complete</w:t>
            </w:r>
          </w:p>
        </w:tc>
        <w:tc>
          <w:tcPr>
            <w:tcW w:type="dxa" w:w="2523"/>
            <w:vAlign w:val="center"/>
            <w:tcMar>
              <w:top w:w="60" w:type="dxa"/>
              <w:bottom w:w="60" w:type="dxa"/>
              <w:left w:w="110" w:type="dxa"/>
              <w:right w:w="110" w:type="dxa"/>
            </w:tcMar>
          </w:tcPr>
          <w:p>
            <w:pPr>
              <w:spacing w:after="40" w:before="40"/>
            </w:pPr>
            <w:r>
              <w:rPr>
                <w:sz w:val="22"/>
                <w:szCs w:val="22"/>
              </w:rPr>
              <w:t>Full EMEA roll-out + metrics</w:t>
            </w:r>
          </w:p>
        </w:tc>
      </w:tr>
      <w:tr>
        <w:tc>
          <w:tcPr>
            <w:tcW w:type="dxa" w:w="2523"/>
            <w:vAlign w:val="center"/>
            <w:tcMar>
              <w:top w:w="60" w:type="dxa"/>
              <w:bottom w:w="60" w:type="dxa"/>
              <w:left w:w="110" w:type="dxa"/>
              <w:right w:w="110" w:type="dxa"/>
            </w:tcMar>
          </w:tcPr>
          <w:p>
            <w:pPr>
              <w:spacing w:after="40" w:before="40"/>
            </w:pPr>
            <w:r>
              <w:rPr>
                <w:sz w:val="22"/>
                <w:szCs w:val="22"/>
              </w:rPr>
              <w:t>Project 2 Duplicates</w:t>
            </w:r>
          </w:p>
        </w:tc>
        <w:tc>
          <w:tcPr>
            <w:tcW w:type="dxa" w:w="2523"/>
            <w:vAlign w:val="center"/>
            <w:tcMar>
              <w:top w:w="60" w:type="dxa"/>
              <w:bottom w:w="60" w:type="dxa"/>
              <w:left w:w="110" w:type="dxa"/>
              <w:right w:w="110" w:type="dxa"/>
            </w:tcMar>
          </w:tcPr>
          <w:p>
            <w:pPr>
              <w:spacing w:after="40" w:before="40"/>
            </w:pPr>
            <w:r>
              <w:rPr>
                <w:sz w:val="22"/>
                <w:szCs w:val="22"/>
              </w:rPr>
              <w:t>Sandbox pilot complete</w:t>
            </w:r>
          </w:p>
        </w:tc>
        <w:tc>
          <w:tcPr>
            <w:tcW w:type="dxa" w:w="2523"/>
            <w:vAlign w:val="center"/>
            <w:tcMar>
              <w:top w:w="60" w:type="dxa"/>
              <w:bottom w:w="60" w:type="dxa"/>
              <w:left w:w="110" w:type="dxa"/>
              <w:right w:w="110" w:type="dxa"/>
            </w:tcMar>
          </w:tcPr>
          <w:p>
            <w:pPr>
              <w:spacing w:after="40" w:before="40"/>
            </w:pPr>
            <w:r>
              <w:rPr>
                <w:sz w:val="22"/>
                <w:szCs w:val="22"/>
              </w:rPr>
              <w:t>Production pilot complete</w:t>
            </w:r>
          </w:p>
        </w:tc>
        <w:tc>
          <w:tcPr>
            <w:tcW w:type="dxa" w:w="2523"/>
            <w:vAlign w:val="center"/>
            <w:tcMar>
              <w:top w:w="60" w:type="dxa"/>
              <w:bottom w:w="60" w:type="dxa"/>
              <w:left w:w="110" w:type="dxa"/>
              <w:right w:w="110" w:type="dxa"/>
            </w:tcMar>
          </w:tcPr>
          <w:p>
            <w:pPr>
              <w:spacing w:after="40" w:before="40"/>
            </w:pPr>
            <w:r>
              <w:rPr>
                <w:sz w:val="22"/>
                <w:szCs w:val="22"/>
              </w:rPr>
              <w:t>Auto-merge + 90-day metrics</w:t>
            </w:r>
          </w:p>
        </w:tc>
      </w:tr>
      <w:tr>
        <w:tc>
          <w:tcPr>
            <w:tcW w:type="dxa" w:w="2523"/>
            <w:vAlign w:val="center"/>
            <w:tcMar>
              <w:top w:w="60" w:type="dxa"/>
              <w:bottom w:w="60" w:type="dxa"/>
              <w:left w:w="110" w:type="dxa"/>
              <w:right w:w="110" w:type="dxa"/>
            </w:tcMar>
          </w:tcPr>
          <w:p>
            <w:pPr>
              <w:spacing w:after="40" w:before="40"/>
            </w:pPr>
            <w:r>
              <w:rPr>
                <w:sz w:val="22"/>
                <w:szCs w:val="22"/>
              </w:rPr>
              <w:t>Project 3 Stale nudges</w:t>
            </w:r>
          </w:p>
        </w:tc>
        <w:tc>
          <w:tcPr>
            <w:tcW w:type="dxa" w:w="2523"/>
            <w:vAlign w:val="center"/>
            <w:tcMar>
              <w:top w:w="60" w:type="dxa"/>
              <w:bottom w:w="60" w:type="dxa"/>
              <w:left w:w="110" w:type="dxa"/>
              <w:right w:w="110" w:type="dxa"/>
            </w:tcMar>
          </w:tcPr>
          <w:p>
            <w:pPr>
              <w:spacing w:after="40" w:before="40"/>
            </w:pPr>
            <w:r>
              <w:rPr>
                <w:sz w:val="22"/>
                <w:szCs w:val="22"/>
              </w:rPr>
              <w:t>Pilot complete</w:t>
            </w:r>
          </w:p>
        </w:tc>
        <w:tc>
          <w:tcPr>
            <w:tcW w:type="dxa" w:w="2523"/>
            <w:vAlign w:val="center"/>
            <w:tcMar>
              <w:top w:w="60" w:type="dxa"/>
              <w:bottom w:w="60" w:type="dxa"/>
              <w:left w:w="110" w:type="dxa"/>
              <w:right w:w="110" w:type="dxa"/>
            </w:tcMar>
          </w:tcPr>
          <w:p>
            <w:pPr>
              <w:spacing w:after="40" w:before="40"/>
            </w:pPr>
            <w:r>
              <w:rPr>
                <w:sz w:val="22"/>
                <w:szCs w:val="22"/>
              </w:rPr>
              <w:t>Full roll-out</w:t>
            </w:r>
          </w:p>
        </w:tc>
        <w:tc>
          <w:tcPr>
            <w:tcW w:type="dxa" w:w="2523"/>
            <w:vAlign w:val="center"/>
            <w:tcMar>
              <w:top w:w="60" w:type="dxa"/>
              <w:bottom w:w="60" w:type="dxa"/>
              <w:left w:w="110" w:type="dxa"/>
              <w:right w:w="110" w:type="dxa"/>
            </w:tcMar>
          </w:tcPr>
          <w:p>
            <w:pPr>
              <w:spacing w:after="40" w:before="40"/>
            </w:pPr>
            <w:r>
              <w:rPr>
                <w:sz w:val="22"/>
                <w:szCs w:val="22"/>
              </w:rPr>
              <w:t>30-day impact report</w:t>
            </w:r>
          </w:p>
        </w:tc>
      </w:tr>
    </w:tbl>
    <w:p>
      <w:pPr>
        <w:jc w:val="both"/>
      </w:pPr>
    </w:p>
    <w:p>
      <w:pPr>
        <w:pStyle w:val="Heading1"/>
      </w:pPr>
      <w:r>
        <w:rPr/>
        <w:t>Conclusion</w:t>
      </w:r>
    </w:p>
    <w:p>
      <w:pPr>
        <w:jc w:val="both"/>
      </w:pPr>
      <w:r>
        <w:rPr/>
        <w:t>Each of the three projects above is designed as a standalone implementation with clear phases, step-by-step tasks, deliverables, success criteria, and rollback plans. Projects 1 and 2 address the issues directly observed in EMEA operations. Project 3 strengthens queue hygiene and proactive follow-up on stale tickets.</w:t>
      </w:r>
    </w:p>
    <w:p>
      <w:pPr>
        <w:jc w:val="both"/>
      </w:pPr>
      <w:r>
        <w:rPr/>
        <w:t>Following this plan, EMEA can deliver measurable improvement within 90 days without requiring customers to change how they contact support. The primary investment is Zendesk configuration, process documentation, and agent coaching, not new software procurement.</w:t>
      </w:r>
    </w:p>
    <w:sectPr w:rsidR="00686900" w:rsidRPr="0048725A" w:rsidSect="00EE4C53">
      <w:headerReference w:type="default" r:id="rId19"/>
      <w:footerReference w:type="default" r:id="rId20"/>
      <w:headerReference w:type="first" r:id="rId21"/>
      <w:pgSz w:w="11906" w:h="16838"/>
      <w:pgMar w:top="1293" w:right="907" w:bottom="907" w:left="907" w:header="283"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0469" w14:textId="77777777" w:rsidR="00E84D79" w:rsidRDefault="00E84D79" w:rsidP="00813C78">
      <w:pPr>
        <w:spacing w:after="0"/>
      </w:pPr>
      <w:r>
        <w:separator/>
      </w:r>
    </w:p>
  </w:endnote>
  <w:endnote w:type="continuationSeparator" w:id="0">
    <w:p w14:paraId="291B335E" w14:textId="77777777" w:rsidR="00E84D79" w:rsidRDefault="00E84D79" w:rsidP="00813C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ost Grotesk">
    <w:altName w:val="Calibri"/>
    <w:panose1 w:val="020B0504030402000203"/>
    <w:charset w:val="4D"/>
    <w:family w:val="swiss"/>
    <w:pitch w:val="variable"/>
    <w:sig w:usb0="A00000FF" w:usb1="4000206B" w:usb2="00000000" w:usb3="00000000" w:csb0="00000093" w:csb1="00000000"/>
  </w:font>
  <w:font w:name="Host Grotesk SemiBold">
    <w:altName w:val="Calibri"/>
    <w:panose1 w:val="020B0504030402000203"/>
    <w:charset w:val="4D"/>
    <w:family w:val="swiss"/>
    <w:pitch w:val="variable"/>
    <w:sig w:usb0="A00000FF" w:usb1="4000206B" w:usb2="00000000" w:usb3="00000000" w:csb0="00000093"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M Sans 14pt Medium">
    <w:altName w:val="Calibri"/>
    <w:charset w:val="4D"/>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2B43" w14:textId="77777777" w:rsidR="00813C78" w:rsidRPr="00CC6FC4" w:rsidRDefault="00890ED1" w:rsidP="00CC6FC4">
    <w:pPr>
      <w:pStyle w:val="Footer"/>
    </w:pPr>
    <w:r w:rsidRPr="00890ED1">
      <w:rPr>
        <w:color w:val="7F7F7F" w:themeColor="text1" w:themeTint="80"/>
      </w:rPr>
      <w:t>©2026 Sinch</w:t>
    </w:r>
    <w:r>
      <w:tab/>
    </w:r>
    <w:r w:rsidRPr="00CC6FC4">
      <w:fldChar w:fldCharType="begin"/>
    </w:r>
    <w:r w:rsidRPr="00CC6FC4">
      <w:instrText>PAGE   \* MERGEFORMAT</w:instrText>
    </w:r>
    <w:r w:rsidRPr="00CC6FC4">
      <w:fldChar w:fldCharType="separate"/>
    </w:r>
    <w:r>
      <w:t>1</w:t>
    </w:r>
    <w:r w:rsidRPr="00CC6FC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DF7A4" w14:textId="77777777" w:rsidR="00E84D79" w:rsidRDefault="00E84D79" w:rsidP="00813C78">
      <w:pPr>
        <w:spacing w:after="0"/>
      </w:pPr>
      <w:r>
        <w:separator/>
      </w:r>
    </w:p>
  </w:footnote>
  <w:footnote w:type="continuationSeparator" w:id="0">
    <w:p w14:paraId="5D13BBD2" w14:textId="77777777" w:rsidR="00E84D79" w:rsidRDefault="00E84D79" w:rsidP="00813C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4D00" w14:textId="77777777" w:rsidR="00813C78" w:rsidRPr="00C253E4" w:rsidRDefault="00CC6FC4" w:rsidP="00C253E4">
    <w:pPr>
      <w:pStyle w:val="Header"/>
    </w:pPr>
    <w:r>
      <w:rPr>
        <w:noProof/>
      </w:rPr>
      <w:drawing>
        <wp:inline distT="0" distB="0" distL="0" distR="0" wp14:anchorId="34CFECB5" wp14:editId="61DB8894">
          <wp:extent cx="737420" cy="154344"/>
          <wp:effectExtent l="0" t="0" r="5715" b="0"/>
          <wp:docPr id="2038863578" name="Graphic 203886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phic 7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37420" cy="15434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CAAF" w14:textId="77777777" w:rsidR="00EE4C53" w:rsidRDefault="00EE4C53">
    <w:pPr>
      <w:pStyle w:val="Header"/>
    </w:pPr>
    <w:r>
      <w:rPr>
        <w:noProof/>
      </w:rPr>
      <w:drawing>
        <wp:anchor distT="0" distB="0" distL="114300" distR="114300" simplePos="0" relativeHeight="251661312" behindDoc="0" locked="1" layoutInCell="1" allowOverlap="1" wp14:anchorId="18CF2CDD" wp14:editId="5870A618">
          <wp:simplePos x="0" y="0"/>
          <wp:positionH relativeFrom="page">
            <wp:posOffset>342265</wp:posOffset>
          </wp:positionH>
          <wp:positionV relativeFrom="page">
            <wp:posOffset>342265</wp:posOffset>
          </wp:positionV>
          <wp:extent cx="1594800" cy="334800"/>
          <wp:effectExtent l="0" t="0" r="5715" b="8255"/>
          <wp:wrapNone/>
          <wp:docPr id="815323481" name="Graphic 81532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phic 7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94800" cy="334800"/>
                  </a:xfrm>
                  <a:prstGeom prst="rect">
                    <a:avLst/>
                  </a:prstGeom>
                </pic:spPr>
              </pic:pic>
            </a:graphicData>
          </a:graphic>
          <wp14:sizeRelH relativeFrom="page">
            <wp14:pctWidth>0</wp14:pctWidth>
          </wp14:sizeRelH>
          <wp14:sizeRelV relativeFrom="page">
            <wp14:pctHeight>0</wp14:pctHeight>
          </wp14:sizeRelV>
        </wp:anchor>
      </w:drawing>
    </w:r>
    <w:r>
      <w:rPr>
        <w:rFonts w:ascii="DM Sans 14pt Medium" w:hAnsi="DM Sans 14pt Medium"/>
        <w:smallCaps/>
        <w:noProof/>
        <w:spacing w:val="10"/>
      </w:rPr>
      <mc:AlternateContent>
        <mc:Choice Requires="wps">
          <w:drawing>
            <wp:anchor distT="0" distB="0" distL="114300" distR="114300" simplePos="0" relativeHeight="251659264" behindDoc="1" locked="1" layoutInCell="1" allowOverlap="1" wp14:anchorId="04927C79" wp14:editId="55C84E6F">
              <wp:simplePos x="0" y="0"/>
              <wp:positionH relativeFrom="page">
                <wp:align>center</wp:align>
              </wp:positionH>
              <wp:positionV relativeFrom="page">
                <wp:align>center</wp:align>
              </wp:positionV>
              <wp:extent cx="7272000" cy="10404000"/>
              <wp:effectExtent l="0" t="0" r="5715" b="0"/>
              <wp:wrapNone/>
              <wp:docPr id="1986463636" name="Rounded Rectangle 4"/>
              <wp:cNvGraphicFramePr/>
              <a:graphic xmlns:a="http://schemas.openxmlformats.org/drawingml/2006/main">
                <a:graphicData uri="http://schemas.microsoft.com/office/word/2010/wordprocessingShape">
                  <wps:wsp>
                    <wps:cNvSpPr/>
                    <wps:spPr>
                      <a:xfrm>
                        <a:off x="0" y="0"/>
                        <a:ext cx="7272000" cy="10404000"/>
                      </a:xfrm>
                      <a:prstGeom prst="roundRect">
                        <a:avLst>
                          <a:gd name="adj" fmla="val 4901"/>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EEE65F" id="Rounded Rectangle 4" o:spid="_x0000_s1026" style="position:absolute;margin-left:0;margin-top:0;width:572.6pt;height:819.2pt;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arcsize="32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" fillcolor="#fff6b3 [3205]" stroked="f" strokeweight="1pt">
              <v:stroke joinstyle="miter"/>
              <w10:wrap anchorx="page" anchory="page"/>
              <w10:anchorlock/>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B2E4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2940A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5C60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229F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D1485D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94ACB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1AF7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AA0F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BCC4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9E97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412B46"/>
    <w:multiLevelType w:val="multilevel"/>
    <w:tmpl w:val="B8CAC588"/>
    <w:lvl w:ilvl="0">
      <w:start w:val="1"/>
      <w:numFmt w:val="decimal"/>
      <w:pStyle w:val="Noter"/>
      <w:suff w:val="space"/>
      <w:lvlText w:val="Not %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16B4260A"/>
    <w:multiLevelType w:val="multilevel"/>
    <w:tmpl w:val="85BE364E"/>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4A6A0756"/>
    <w:multiLevelType w:val="hybridMultilevel"/>
    <w:tmpl w:val="4B78BF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DCC16EE"/>
    <w:multiLevelType w:val="multilevel"/>
    <w:tmpl w:val="9DB227C6"/>
    <w:lvl w:ilvl="0">
      <w:start w:val="1"/>
      <w:numFmt w:val="decimal"/>
      <w:pStyle w:val="ListNumber"/>
      <w:lvlText w:val="%1."/>
      <w:lvlJc w:val="left"/>
      <w:pPr>
        <w:ind w:left="357" w:hanging="357"/>
      </w:pPr>
      <w:rPr>
        <w:rFonts w:hint="default"/>
      </w:rPr>
    </w:lvl>
    <w:lvl w:ilvl="1">
      <w:start w:val="1"/>
      <w:numFmt w:val="lowerLetter"/>
      <w:pStyle w:val="ListNumber2"/>
      <w:lvlText w:val="%2."/>
      <w:lvlJc w:val="left"/>
      <w:pPr>
        <w:ind w:left="714" w:hanging="357"/>
      </w:pPr>
      <w:rPr>
        <w:rFonts w:hint="default"/>
      </w:rPr>
    </w:lvl>
    <w:lvl w:ilvl="2">
      <w:start w:val="1"/>
      <w:numFmt w:val="lowerRoman"/>
      <w:pStyle w:val="ListNumber3"/>
      <w:lvlText w:val="%3."/>
      <w:lvlJc w:val="left"/>
      <w:pPr>
        <w:ind w:left="1071" w:hanging="357"/>
      </w:pPr>
      <w:rPr>
        <w:rFonts w:hint="default"/>
      </w:rPr>
    </w:lvl>
    <w:lvl w:ilvl="3">
      <w:start w:val="1"/>
      <w:numFmt w:val="decimal"/>
      <w:pStyle w:val="ListNumber4"/>
      <w:lvlText w:val="%4)"/>
      <w:lvlJc w:val="left"/>
      <w:pPr>
        <w:ind w:left="1428" w:hanging="357"/>
      </w:pPr>
      <w:rPr>
        <w:rFonts w:hint="default"/>
      </w:rPr>
    </w:lvl>
    <w:lvl w:ilvl="4">
      <w:start w:val="1"/>
      <w:numFmt w:val="lowerLetter"/>
      <w:pStyle w:val="ListNumber5"/>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num w:numId="1" w16cid:durableId="76637706">
    <w:abstractNumId w:val="11"/>
  </w:num>
  <w:num w:numId="2" w16cid:durableId="766777609">
    <w:abstractNumId w:val="7"/>
  </w:num>
  <w:num w:numId="3" w16cid:durableId="1532498267">
    <w:abstractNumId w:val="6"/>
  </w:num>
  <w:num w:numId="4" w16cid:durableId="320929972">
    <w:abstractNumId w:val="5"/>
  </w:num>
  <w:num w:numId="5" w16cid:durableId="1199590138">
    <w:abstractNumId w:val="4"/>
  </w:num>
  <w:num w:numId="6" w16cid:durableId="1949000127">
    <w:abstractNumId w:val="13"/>
  </w:num>
  <w:num w:numId="7" w16cid:durableId="156461084">
    <w:abstractNumId w:val="3"/>
  </w:num>
  <w:num w:numId="8" w16cid:durableId="1680738018">
    <w:abstractNumId w:val="2"/>
  </w:num>
  <w:num w:numId="9" w16cid:durableId="988361324">
    <w:abstractNumId w:val="1"/>
  </w:num>
  <w:num w:numId="10" w16cid:durableId="525868491">
    <w:abstractNumId w:val="0"/>
  </w:num>
  <w:num w:numId="11" w16cid:durableId="24907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7335946">
    <w:abstractNumId w:val="10"/>
  </w:num>
  <w:num w:numId="13" w16cid:durableId="1364133316">
    <w:abstractNumId w:val="8"/>
  </w:num>
  <w:num w:numId="14" w16cid:durableId="9959566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8678430">
    <w:abstractNumId w:val="12"/>
  </w:num>
  <w:num w:numId="16" w16cid:durableId="76784877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C3"/>
    <w:rsid w:val="00000EDB"/>
    <w:rsid w:val="00005105"/>
    <w:rsid w:val="00005C4C"/>
    <w:rsid w:val="00007106"/>
    <w:rsid w:val="0004686E"/>
    <w:rsid w:val="00056EF3"/>
    <w:rsid w:val="00057E72"/>
    <w:rsid w:val="00065357"/>
    <w:rsid w:val="0007640B"/>
    <w:rsid w:val="00082656"/>
    <w:rsid w:val="000906CD"/>
    <w:rsid w:val="00091F57"/>
    <w:rsid w:val="000A4A20"/>
    <w:rsid w:val="000B1DB5"/>
    <w:rsid w:val="000C399A"/>
    <w:rsid w:val="000D01A8"/>
    <w:rsid w:val="000E3A6E"/>
    <w:rsid w:val="00116FFD"/>
    <w:rsid w:val="00120B88"/>
    <w:rsid w:val="00122958"/>
    <w:rsid w:val="001237B7"/>
    <w:rsid w:val="001273FE"/>
    <w:rsid w:val="00132596"/>
    <w:rsid w:val="00161F30"/>
    <w:rsid w:val="00165BF2"/>
    <w:rsid w:val="0018660C"/>
    <w:rsid w:val="00190A59"/>
    <w:rsid w:val="001B132A"/>
    <w:rsid w:val="001B33C1"/>
    <w:rsid w:val="001C1201"/>
    <w:rsid w:val="001D27C3"/>
    <w:rsid w:val="001D555E"/>
    <w:rsid w:val="001E1678"/>
    <w:rsid w:val="001E6018"/>
    <w:rsid w:val="001F02E0"/>
    <w:rsid w:val="001F1063"/>
    <w:rsid w:val="001F3C23"/>
    <w:rsid w:val="001F4F44"/>
    <w:rsid w:val="001F538F"/>
    <w:rsid w:val="002070AA"/>
    <w:rsid w:val="00210610"/>
    <w:rsid w:val="0021177E"/>
    <w:rsid w:val="00215DF1"/>
    <w:rsid w:val="0023757D"/>
    <w:rsid w:val="0026632D"/>
    <w:rsid w:val="00266D13"/>
    <w:rsid w:val="0028326C"/>
    <w:rsid w:val="00287CDC"/>
    <w:rsid w:val="002918EE"/>
    <w:rsid w:val="002D3705"/>
    <w:rsid w:val="002F01CF"/>
    <w:rsid w:val="002F2AE6"/>
    <w:rsid w:val="0030643B"/>
    <w:rsid w:val="00307817"/>
    <w:rsid w:val="00331D76"/>
    <w:rsid w:val="00337712"/>
    <w:rsid w:val="00362CE7"/>
    <w:rsid w:val="003704AE"/>
    <w:rsid w:val="00392A8C"/>
    <w:rsid w:val="0039506D"/>
    <w:rsid w:val="0039558E"/>
    <w:rsid w:val="003B06DA"/>
    <w:rsid w:val="003B39EA"/>
    <w:rsid w:val="003E145B"/>
    <w:rsid w:val="003F1D59"/>
    <w:rsid w:val="003F763F"/>
    <w:rsid w:val="004025B2"/>
    <w:rsid w:val="00410041"/>
    <w:rsid w:val="00411BEE"/>
    <w:rsid w:val="00415525"/>
    <w:rsid w:val="004216EA"/>
    <w:rsid w:val="00423F0E"/>
    <w:rsid w:val="0042445E"/>
    <w:rsid w:val="00443F65"/>
    <w:rsid w:val="0045517A"/>
    <w:rsid w:val="0045790E"/>
    <w:rsid w:val="0047256F"/>
    <w:rsid w:val="00474955"/>
    <w:rsid w:val="004759F0"/>
    <w:rsid w:val="0048725A"/>
    <w:rsid w:val="004B0468"/>
    <w:rsid w:val="004C1AF0"/>
    <w:rsid w:val="004C2DA2"/>
    <w:rsid w:val="004E37D9"/>
    <w:rsid w:val="004E4394"/>
    <w:rsid w:val="005140B3"/>
    <w:rsid w:val="00532A26"/>
    <w:rsid w:val="00565454"/>
    <w:rsid w:val="00577867"/>
    <w:rsid w:val="0059027C"/>
    <w:rsid w:val="005A6B51"/>
    <w:rsid w:val="005B20C0"/>
    <w:rsid w:val="005C1F60"/>
    <w:rsid w:val="005D1020"/>
    <w:rsid w:val="005D1754"/>
    <w:rsid w:val="005E7931"/>
    <w:rsid w:val="00610330"/>
    <w:rsid w:val="00651E32"/>
    <w:rsid w:val="006645CE"/>
    <w:rsid w:val="00665E09"/>
    <w:rsid w:val="00672837"/>
    <w:rsid w:val="0068170C"/>
    <w:rsid w:val="00686900"/>
    <w:rsid w:val="006877D9"/>
    <w:rsid w:val="0069113E"/>
    <w:rsid w:val="006970A9"/>
    <w:rsid w:val="006970C3"/>
    <w:rsid w:val="006A2145"/>
    <w:rsid w:val="006B1A59"/>
    <w:rsid w:val="006C7054"/>
    <w:rsid w:val="006E25FB"/>
    <w:rsid w:val="00707442"/>
    <w:rsid w:val="007154D1"/>
    <w:rsid w:val="007234D4"/>
    <w:rsid w:val="00730649"/>
    <w:rsid w:val="007655AE"/>
    <w:rsid w:val="00796D7F"/>
    <w:rsid w:val="007A36E7"/>
    <w:rsid w:val="007A6DB7"/>
    <w:rsid w:val="007B28B6"/>
    <w:rsid w:val="007C51FA"/>
    <w:rsid w:val="007D3721"/>
    <w:rsid w:val="007D69F8"/>
    <w:rsid w:val="007F0BDB"/>
    <w:rsid w:val="007F19CC"/>
    <w:rsid w:val="007F73A3"/>
    <w:rsid w:val="0080294E"/>
    <w:rsid w:val="008123E2"/>
    <w:rsid w:val="0081356F"/>
    <w:rsid w:val="00813C78"/>
    <w:rsid w:val="008325A0"/>
    <w:rsid w:val="008351D1"/>
    <w:rsid w:val="0083763D"/>
    <w:rsid w:val="00837E9B"/>
    <w:rsid w:val="008409B1"/>
    <w:rsid w:val="008412F7"/>
    <w:rsid w:val="00846FA7"/>
    <w:rsid w:val="00864373"/>
    <w:rsid w:val="00890ED1"/>
    <w:rsid w:val="00897370"/>
    <w:rsid w:val="008A214B"/>
    <w:rsid w:val="008C4E7A"/>
    <w:rsid w:val="008C6F7C"/>
    <w:rsid w:val="008E09F4"/>
    <w:rsid w:val="008F1CF0"/>
    <w:rsid w:val="008F4511"/>
    <w:rsid w:val="008F4DE2"/>
    <w:rsid w:val="0090694B"/>
    <w:rsid w:val="009163BD"/>
    <w:rsid w:val="00921949"/>
    <w:rsid w:val="009305B4"/>
    <w:rsid w:val="009307FA"/>
    <w:rsid w:val="00963AEA"/>
    <w:rsid w:val="00964EB5"/>
    <w:rsid w:val="00970DD0"/>
    <w:rsid w:val="009712DF"/>
    <w:rsid w:val="00995220"/>
    <w:rsid w:val="009C460A"/>
    <w:rsid w:val="009E567D"/>
    <w:rsid w:val="00A06756"/>
    <w:rsid w:val="00A07663"/>
    <w:rsid w:val="00A17BED"/>
    <w:rsid w:val="00A23E60"/>
    <w:rsid w:val="00A26F25"/>
    <w:rsid w:val="00A30419"/>
    <w:rsid w:val="00A51E2D"/>
    <w:rsid w:val="00A51F48"/>
    <w:rsid w:val="00A60C05"/>
    <w:rsid w:val="00A67006"/>
    <w:rsid w:val="00AA0CF0"/>
    <w:rsid w:val="00AC61D2"/>
    <w:rsid w:val="00AE4EE9"/>
    <w:rsid w:val="00AE7F9A"/>
    <w:rsid w:val="00AF1B26"/>
    <w:rsid w:val="00B0401F"/>
    <w:rsid w:val="00B3204A"/>
    <w:rsid w:val="00B508DA"/>
    <w:rsid w:val="00B521C1"/>
    <w:rsid w:val="00B723E3"/>
    <w:rsid w:val="00B75B8F"/>
    <w:rsid w:val="00B77416"/>
    <w:rsid w:val="00B87236"/>
    <w:rsid w:val="00C1030C"/>
    <w:rsid w:val="00C21573"/>
    <w:rsid w:val="00C253E4"/>
    <w:rsid w:val="00C27E1D"/>
    <w:rsid w:val="00C35F11"/>
    <w:rsid w:val="00C37890"/>
    <w:rsid w:val="00C546FB"/>
    <w:rsid w:val="00C650A9"/>
    <w:rsid w:val="00C759BF"/>
    <w:rsid w:val="00C81B12"/>
    <w:rsid w:val="00C83051"/>
    <w:rsid w:val="00C86347"/>
    <w:rsid w:val="00C94893"/>
    <w:rsid w:val="00CB1DF5"/>
    <w:rsid w:val="00CC6FC4"/>
    <w:rsid w:val="00D02E79"/>
    <w:rsid w:val="00D062E2"/>
    <w:rsid w:val="00D109B4"/>
    <w:rsid w:val="00D575C0"/>
    <w:rsid w:val="00D77C15"/>
    <w:rsid w:val="00D81D4E"/>
    <w:rsid w:val="00D97A27"/>
    <w:rsid w:val="00DB5618"/>
    <w:rsid w:val="00DB5FE8"/>
    <w:rsid w:val="00DC0099"/>
    <w:rsid w:val="00DC029C"/>
    <w:rsid w:val="00DC03C5"/>
    <w:rsid w:val="00DC6916"/>
    <w:rsid w:val="00DC7A44"/>
    <w:rsid w:val="00E15D18"/>
    <w:rsid w:val="00E334DF"/>
    <w:rsid w:val="00E35AA1"/>
    <w:rsid w:val="00E51924"/>
    <w:rsid w:val="00E61AE1"/>
    <w:rsid w:val="00E84D79"/>
    <w:rsid w:val="00EA4841"/>
    <w:rsid w:val="00EB1D14"/>
    <w:rsid w:val="00EB32DC"/>
    <w:rsid w:val="00EB7B61"/>
    <w:rsid w:val="00EC1546"/>
    <w:rsid w:val="00EE4C53"/>
    <w:rsid w:val="00F00E70"/>
    <w:rsid w:val="00F15141"/>
    <w:rsid w:val="00F227CD"/>
    <w:rsid w:val="00F27CCF"/>
    <w:rsid w:val="00F53BD0"/>
    <w:rsid w:val="00F8298C"/>
    <w:rsid w:val="00FA2607"/>
    <w:rsid w:val="00FB2AA5"/>
    <w:rsid w:val="00FC7CB1"/>
    <w:rsid w:val="00FD26F0"/>
    <w:rsid w:val="00FF3441"/>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F35A6"/>
  <w15:chartTrackingRefBased/>
  <w15:docId w15:val="{B48626D2-8AB2-42A1-B937-B2C511EE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index heading" w:semiHidden="1" w:unhideWhenUsed="1"/>
    <w:lsdException w:name="caption" w:uiPriority="35" w:qFormat="1"/>
    <w:lsdException w:name="table of figures" w:semiHidden="1" w:unhideWhenUsed="1"/>
    <w:lsdException w:name="envelope return" w:semiHidden="1" w:unhideWhenUsed="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uiPriority="10"/>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98"/>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678"/>
  </w:style>
  <w:style w:type="paragraph" w:styleId="Heading1">
    <w:name w:val="heading 1"/>
    <w:basedOn w:val="Normal"/>
    <w:next w:val="Normal"/>
    <w:link w:val="Heading1Char"/>
    <w:uiPriority w:val="9"/>
    <w:qFormat/>
    <w:rsid w:val="008325A0"/>
    <w:pPr>
      <w:keepNext/>
      <w:keepLines/>
      <w:spacing w:before="520" w:after="260"/>
      <w:outlineLvl w:val="0"/>
    </w:pPr>
    <w:rPr>
      <w:rFonts w:asciiTheme="majorHAnsi" w:eastAsiaTheme="majorEastAsia" w:hAnsiTheme="majorHAnsi" w:cstheme="majorBidi"/>
      <w:spacing w:val="-14"/>
      <w:sz w:val="36"/>
      <w:szCs w:val="32"/>
    </w:rPr>
  </w:style>
  <w:style w:type="paragraph" w:styleId="Heading2">
    <w:name w:val="heading 2"/>
    <w:basedOn w:val="Heading1"/>
    <w:next w:val="Normal"/>
    <w:link w:val="Heading2Char"/>
    <w:uiPriority w:val="9"/>
    <w:qFormat/>
    <w:rsid w:val="008325A0"/>
    <w:pPr>
      <w:spacing w:after="220"/>
      <w:outlineLvl w:val="1"/>
    </w:pPr>
    <w:rPr>
      <w:spacing w:val="-10"/>
      <w:sz w:val="28"/>
      <w:szCs w:val="26"/>
    </w:rPr>
  </w:style>
  <w:style w:type="paragraph" w:styleId="Heading3">
    <w:name w:val="heading 3"/>
    <w:basedOn w:val="Heading2"/>
    <w:next w:val="Normal"/>
    <w:link w:val="Heading3Char"/>
    <w:uiPriority w:val="9"/>
    <w:qFormat/>
    <w:rsid w:val="008325A0"/>
    <w:pPr>
      <w:spacing w:before="460" w:after="160"/>
      <w:outlineLvl w:val="2"/>
    </w:pPr>
    <w:rPr>
      <w:spacing w:val="-6"/>
      <w:sz w:val="24"/>
      <w:szCs w:val="24"/>
    </w:rPr>
  </w:style>
  <w:style w:type="paragraph" w:styleId="Heading4">
    <w:name w:val="heading 4"/>
    <w:basedOn w:val="Heading3"/>
    <w:next w:val="Normal"/>
    <w:link w:val="Heading4Char"/>
    <w:uiPriority w:val="9"/>
    <w:qFormat/>
    <w:rsid w:val="00091F57"/>
    <w:pPr>
      <w:spacing w:before="360" w:after="80"/>
      <w:outlineLvl w:val="3"/>
    </w:pPr>
    <w:rPr>
      <w:iCs/>
      <w:spacing w:val="0"/>
      <w:sz w:val="22"/>
    </w:rPr>
  </w:style>
  <w:style w:type="paragraph" w:styleId="Heading5">
    <w:name w:val="heading 5"/>
    <w:basedOn w:val="Heading4"/>
    <w:next w:val="Normal"/>
    <w:link w:val="Heading5Char"/>
    <w:uiPriority w:val="9"/>
    <w:qFormat/>
    <w:rsid w:val="00091F57"/>
    <w:pPr>
      <w:outlineLvl w:val="4"/>
    </w:pPr>
    <w:rPr>
      <w:sz w:val="20"/>
    </w:rPr>
  </w:style>
  <w:style w:type="paragraph" w:styleId="Heading6">
    <w:name w:val="heading 6"/>
    <w:basedOn w:val="Heading5"/>
    <w:next w:val="Normal"/>
    <w:link w:val="Heading6Char"/>
    <w:uiPriority w:val="9"/>
    <w:semiHidden/>
    <w:rsid w:val="005B20C0"/>
    <w:pPr>
      <w:outlineLvl w:val="5"/>
    </w:pPr>
    <w:rPr>
      <w:i/>
    </w:rPr>
  </w:style>
  <w:style w:type="paragraph" w:styleId="Heading7">
    <w:name w:val="heading 7"/>
    <w:basedOn w:val="Heading6"/>
    <w:next w:val="Normal"/>
    <w:link w:val="Heading7Char"/>
    <w:uiPriority w:val="9"/>
    <w:semiHidden/>
    <w:rsid w:val="003B06DA"/>
    <w:pPr>
      <w:outlineLvl w:val="6"/>
    </w:pPr>
    <w:rPr>
      <w:i w:val="0"/>
      <w:iCs w:val="0"/>
      <w:sz w:val="22"/>
    </w:rPr>
  </w:style>
  <w:style w:type="paragraph" w:styleId="Heading8">
    <w:name w:val="heading 8"/>
    <w:basedOn w:val="Heading7"/>
    <w:next w:val="Normal"/>
    <w:link w:val="Heading8Char"/>
    <w:uiPriority w:val="9"/>
    <w:semiHidden/>
    <w:rsid w:val="005B20C0"/>
    <w:pPr>
      <w:outlineLvl w:val="7"/>
    </w:pPr>
    <w:rPr>
      <w:i/>
      <w:szCs w:val="21"/>
    </w:rPr>
  </w:style>
  <w:style w:type="paragraph" w:styleId="Heading9">
    <w:name w:val="heading 9"/>
    <w:basedOn w:val="Heading8"/>
    <w:next w:val="Normal"/>
    <w:link w:val="Heading9Char"/>
    <w:uiPriority w:val="9"/>
    <w:semiHidden/>
    <w:rsid w:val="003B06DA"/>
    <w:pPr>
      <w:outlineLvl w:val="8"/>
    </w:pPr>
    <w:rPr>
      <w:i w:val="0"/>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rsid w:val="008325A0"/>
    <w:pPr>
      <w:numPr>
        <w:ilvl w:val="1"/>
      </w:numPr>
      <w:spacing w:after="0"/>
    </w:pPr>
    <w:rPr>
      <w:rFonts w:eastAsiaTheme="minorEastAsia"/>
      <w:spacing w:val="-6"/>
      <w:sz w:val="28"/>
    </w:rPr>
  </w:style>
  <w:style w:type="character" w:customStyle="1" w:styleId="SubtitleChar">
    <w:name w:val="Subtitle Char"/>
    <w:basedOn w:val="DefaultParagraphFont"/>
    <w:link w:val="Subtitle"/>
    <w:uiPriority w:val="11"/>
    <w:rsid w:val="008325A0"/>
    <w:rPr>
      <w:rFonts w:eastAsiaTheme="minorEastAsia"/>
      <w:spacing w:val="-6"/>
      <w:sz w:val="30"/>
    </w:rPr>
  </w:style>
  <w:style w:type="character" w:customStyle="1" w:styleId="Heading9Char">
    <w:name w:val="Heading 9 Char"/>
    <w:basedOn w:val="DefaultParagraphFont"/>
    <w:link w:val="Heading9"/>
    <w:uiPriority w:val="9"/>
    <w:semiHidden/>
    <w:rsid w:val="00A67006"/>
    <w:rPr>
      <w:rFonts w:asciiTheme="majorHAnsi" w:eastAsiaTheme="majorEastAsia" w:hAnsiTheme="majorHAnsi" w:cstheme="majorBidi"/>
      <w:iCs/>
      <w:sz w:val="20"/>
      <w:szCs w:val="21"/>
    </w:rPr>
  </w:style>
  <w:style w:type="character" w:customStyle="1" w:styleId="Heading8Char">
    <w:name w:val="Heading 8 Char"/>
    <w:basedOn w:val="DefaultParagraphFont"/>
    <w:link w:val="Heading8"/>
    <w:uiPriority w:val="9"/>
    <w:semiHidden/>
    <w:rsid w:val="00A67006"/>
    <w:rPr>
      <w:rFonts w:asciiTheme="majorHAnsi" w:eastAsiaTheme="majorEastAsia" w:hAnsiTheme="majorHAnsi" w:cstheme="majorBidi"/>
      <w:i/>
      <w:szCs w:val="21"/>
    </w:rPr>
  </w:style>
  <w:style w:type="character" w:customStyle="1" w:styleId="Heading7Char">
    <w:name w:val="Heading 7 Char"/>
    <w:basedOn w:val="DefaultParagraphFont"/>
    <w:link w:val="Heading7"/>
    <w:uiPriority w:val="9"/>
    <w:semiHidden/>
    <w:rsid w:val="00A67006"/>
    <w:rPr>
      <w:rFonts w:asciiTheme="majorHAnsi" w:eastAsiaTheme="majorEastAsia" w:hAnsiTheme="majorHAnsi" w:cstheme="majorBidi"/>
      <w:szCs w:val="24"/>
    </w:rPr>
  </w:style>
  <w:style w:type="character" w:customStyle="1" w:styleId="Heading6Char">
    <w:name w:val="Heading 6 Char"/>
    <w:basedOn w:val="DefaultParagraphFont"/>
    <w:link w:val="Heading6"/>
    <w:uiPriority w:val="9"/>
    <w:semiHidden/>
    <w:rsid w:val="00A6700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091F57"/>
    <w:rPr>
      <w:rFonts w:asciiTheme="majorHAnsi" w:eastAsiaTheme="majorEastAsia" w:hAnsiTheme="majorHAnsi" w:cstheme="majorBidi"/>
      <w:iCs/>
      <w:spacing w:val="-6"/>
      <w:szCs w:val="24"/>
    </w:rPr>
  </w:style>
  <w:style w:type="character" w:customStyle="1" w:styleId="Heading4Char">
    <w:name w:val="Heading 4 Char"/>
    <w:basedOn w:val="DefaultParagraphFont"/>
    <w:link w:val="Heading4"/>
    <w:uiPriority w:val="9"/>
    <w:rsid w:val="00091F57"/>
    <w:rPr>
      <w:rFonts w:asciiTheme="majorHAnsi" w:eastAsiaTheme="majorEastAsia" w:hAnsiTheme="majorHAnsi" w:cstheme="majorBidi"/>
      <w:iCs/>
      <w:sz w:val="24"/>
      <w:szCs w:val="24"/>
    </w:rPr>
  </w:style>
  <w:style w:type="character" w:customStyle="1" w:styleId="Heading3Char">
    <w:name w:val="Heading 3 Char"/>
    <w:basedOn w:val="DefaultParagraphFont"/>
    <w:link w:val="Heading3"/>
    <w:uiPriority w:val="9"/>
    <w:rsid w:val="008325A0"/>
    <w:rPr>
      <w:rFonts w:asciiTheme="majorHAnsi" w:eastAsiaTheme="majorEastAsia" w:hAnsiTheme="majorHAnsi" w:cstheme="majorBidi"/>
      <w:spacing w:val="-6"/>
      <w:sz w:val="32"/>
      <w:szCs w:val="24"/>
    </w:rPr>
  </w:style>
  <w:style w:type="character" w:customStyle="1" w:styleId="Heading2Char">
    <w:name w:val="Heading 2 Char"/>
    <w:basedOn w:val="DefaultParagraphFont"/>
    <w:link w:val="Heading2"/>
    <w:uiPriority w:val="9"/>
    <w:rsid w:val="008325A0"/>
    <w:rPr>
      <w:rFonts w:asciiTheme="majorHAnsi" w:eastAsiaTheme="majorEastAsia" w:hAnsiTheme="majorHAnsi" w:cstheme="majorBidi"/>
      <w:spacing w:val="-10"/>
      <w:sz w:val="48"/>
      <w:szCs w:val="26"/>
    </w:rPr>
  </w:style>
  <w:style w:type="character" w:customStyle="1" w:styleId="Heading1Char">
    <w:name w:val="Heading 1 Char"/>
    <w:basedOn w:val="DefaultParagraphFont"/>
    <w:link w:val="Heading1"/>
    <w:uiPriority w:val="9"/>
    <w:rsid w:val="008325A0"/>
    <w:rPr>
      <w:rFonts w:asciiTheme="majorHAnsi" w:eastAsiaTheme="majorEastAsia" w:hAnsiTheme="majorHAnsi" w:cstheme="majorBidi"/>
      <w:spacing w:val="-14"/>
      <w:sz w:val="64"/>
      <w:szCs w:val="32"/>
    </w:rPr>
  </w:style>
  <w:style w:type="paragraph" w:styleId="TOCHeading">
    <w:name w:val="TOC Heading"/>
    <w:basedOn w:val="Heading1"/>
    <w:next w:val="Normal"/>
    <w:uiPriority w:val="38"/>
    <w:rsid w:val="000D01A8"/>
    <w:pPr>
      <w:outlineLvl w:val="9"/>
    </w:pPr>
  </w:style>
  <w:style w:type="paragraph" w:styleId="Title">
    <w:name w:val="Title"/>
    <w:basedOn w:val="Normal"/>
    <w:next w:val="Subtitle"/>
    <w:link w:val="TitleChar"/>
    <w:uiPriority w:val="10"/>
    <w:rsid w:val="008325A0"/>
    <w:pPr>
      <w:spacing w:after="0"/>
      <w:contextualSpacing/>
    </w:pPr>
    <w:rPr>
      <w:rFonts w:asciiTheme="majorHAnsi" w:eastAsiaTheme="majorEastAsia" w:hAnsiTheme="majorHAnsi" w:cstheme="majorBidi"/>
      <w:spacing w:val="-20"/>
      <w:kern w:val="28"/>
      <w:sz w:val="56"/>
      <w:szCs w:val="56"/>
    </w:rPr>
  </w:style>
  <w:style w:type="character" w:customStyle="1" w:styleId="TitleChar">
    <w:name w:val="Title Char"/>
    <w:basedOn w:val="DefaultParagraphFont"/>
    <w:link w:val="Title"/>
    <w:uiPriority w:val="10"/>
    <w:rsid w:val="008325A0"/>
    <w:rPr>
      <w:rFonts w:asciiTheme="majorHAnsi" w:eastAsiaTheme="majorEastAsia" w:hAnsiTheme="majorHAnsi" w:cstheme="majorBidi"/>
      <w:spacing w:val="-20"/>
      <w:kern w:val="28"/>
      <w:sz w:val="104"/>
      <w:szCs w:val="56"/>
    </w:rPr>
  </w:style>
  <w:style w:type="paragraph" w:styleId="Salutation">
    <w:name w:val="Salutation"/>
    <w:basedOn w:val="Normal"/>
    <w:next w:val="Normal"/>
    <w:link w:val="SalutationChar"/>
    <w:uiPriority w:val="99"/>
    <w:semiHidden/>
    <w:rsid w:val="005C1F60"/>
    <w:rPr>
      <w:sz w:val="24"/>
    </w:rPr>
  </w:style>
  <w:style w:type="character" w:customStyle="1" w:styleId="SalutationChar">
    <w:name w:val="Salutation Char"/>
    <w:basedOn w:val="DefaultParagraphFont"/>
    <w:link w:val="Salutation"/>
    <w:uiPriority w:val="99"/>
    <w:semiHidden/>
    <w:rsid w:val="00DB5618"/>
    <w:rPr>
      <w:sz w:val="24"/>
    </w:rPr>
  </w:style>
  <w:style w:type="paragraph" w:styleId="ListBullet">
    <w:name w:val="List Bullet"/>
    <w:basedOn w:val="Normal"/>
    <w:uiPriority w:val="23"/>
    <w:qFormat/>
    <w:rsid w:val="00A26F25"/>
    <w:pPr>
      <w:numPr>
        <w:numId w:val="1"/>
      </w:numPr>
      <w:contextualSpacing/>
    </w:pPr>
  </w:style>
  <w:style w:type="paragraph" w:styleId="ListBullet2">
    <w:name w:val="List Bullet 2"/>
    <w:basedOn w:val="Normal"/>
    <w:uiPriority w:val="23"/>
    <w:rsid w:val="00A26F25"/>
    <w:pPr>
      <w:numPr>
        <w:ilvl w:val="1"/>
        <w:numId w:val="1"/>
      </w:numPr>
      <w:contextualSpacing/>
    </w:pPr>
  </w:style>
  <w:style w:type="paragraph" w:styleId="ListBullet3">
    <w:name w:val="List Bullet 3"/>
    <w:basedOn w:val="Normal"/>
    <w:uiPriority w:val="23"/>
    <w:rsid w:val="00A26F25"/>
    <w:pPr>
      <w:numPr>
        <w:ilvl w:val="2"/>
        <w:numId w:val="1"/>
      </w:numPr>
      <w:contextualSpacing/>
    </w:pPr>
  </w:style>
  <w:style w:type="paragraph" w:styleId="ListBullet4">
    <w:name w:val="List Bullet 4"/>
    <w:basedOn w:val="Normal"/>
    <w:uiPriority w:val="99"/>
    <w:semiHidden/>
    <w:rsid w:val="00A26F25"/>
    <w:pPr>
      <w:numPr>
        <w:ilvl w:val="3"/>
        <w:numId w:val="1"/>
      </w:numPr>
      <w:contextualSpacing/>
    </w:pPr>
  </w:style>
  <w:style w:type="paragraph" w:styleId="ListBullet5">
    <w:name w:val="List Bullet 5"/>
    <w:basedOn w:val="Normal"/>
    <w:uiPriority w:val="99"/>
    <w:semiHidden/>
    <w:rsid w:val="00A26F25"/>
    <w:pPr>
      <w:numPr>
        <w:ilvl w:val="4"/>
        <w:numId w:val="1"/>
      </w:numPr>
      <w:contextualSpacing/>
    </w:pPr>
  </w:style>
  <w:style w:type="paragraph" w:styleId="ListNumber">
    <w:name w:val="List Number"/>
    <w:basedOn w:val="Normal"/>
    <w:uiPriority w:val="22"/>
    <w:qFormat/>
    <w:rsid w:val="00651E32"/>
    <w:pPr>
      <w:numPr>
        <w:numId w:val="6"/>
      </w:numPr>
      <w:contextualSpacing/>
    </w:pPr>
  </w:style>
  <w:style w:type="paragraph" w:styleId="ListNumber2">
    <w:name w:val="List Number 2"/>
    <w:basedOn w:val="Normal"/>
    <w:uiPriority w:val="22"/>
    <w:rsid w:val="00651E32"/>
    <w:pPr>
      <w:numPr>
        <w:ilvl w:val="1"/>
        <w:numId w:val="6"/>
      </w:numPr>
      <w:contextualSpacing/>
    </w:pPr>
  </w:style>
  <w:style w:type="paragraph" w:styleId="ListNumber3">
    <w:name w:val="List Number 3"/>
    <w:basedOn w:val="Normal"/>
    <w:uiPriority w:val="22"/>
    <w:rsid w:val="00651E32"/>
    <w:pPr>
      <w:numPr>
        <w:ilvl w:val="2"/>
        <w:numId w:val="6"/>
      </w:numPr>
      <w:contextualSpacing/>
    </w:pPr>
  </w:style>
  <w:style w:type="paragraph" w:styleId="ListNumber4">
    <w:name w:val="List Number 4"/>
    <w:basedOn w:val="Normal"/>
    <w:uiPriority w:val="99"/>
    <w:semiHidden/>
    <w:rsid w:val="00651E32"/>
    <w:pPr>
      <w:numPr>
        <w:ilvl w:val="3"/>
        <w:numId w:val="6"/>
      </w:numPr>
      <w:contextualSpacing/>
    </w:pPr>
  </w:style>
  <w:style w:type="paragraph" w:styleId="ListNumber5">
    <w:name w:val="List Number 5"/>
    <w:basedOn w:val="Normal"/>
    <w:uiPriority w:val="99"/>
    <w:semiHidden/>
    <w:rsid w:val="00651E32"/>
    <w:pPr>
      <w:numPr>
        <w:ilvl w:val="4"/>
        <w:numId w:val="6"/>
      </w:numPr>
      <w:contextualSpacing/>
    </w:pPr>
  </w:style>
  <w:style w:type="paragraph" w:styleId="TOC1">
    <w:name w:val="toc 1"/>
    <w:basedOn w:val="Normal"/>
    <w:next w:val="Normal"/>
    <w:autoRedefine/>
    <w:uiPriority w:val="39"/>
    <w:rsid w:val="00D109B4"/>
    <w:pPr>
      <w:tabs>
        <w:tab w:val="right" w:leader="dot" w:pos="10081"/>
      </w:tabs>
      <w:spacing w:after="100"/>
    </w:pPr>
  </w:style>
  <w:style w:type="paragraph" w:styleId="TOC2">
    <w:name w:val="toc 2"/>
    <w:basedOn w:val="Normal"/>
    <w:next w:val="Normal"/>
    <w:autoRedefine/>
    <w:uiPriority w:val="39"/>
    <w:rsid w:val="00D109B4"/>
    <w:pPr>
      <w:tabs>
        <w:tab w:val="right" w:leader="dot" w:pos="10082"/>
      </w:tabs>
      <w:spacing w:after="100"/>
      <w:ind w:left="221"/>
    </w:pPr>
  </w:style>
  <w:style w:type="paragraph" w:styleId="TOC3">
    <w:name w:val="toc 3"/>
    <w:basedOn w:val="Normal"/>
    <w:next w:val="Normal"/>
    <w:autoRedefine/>
    <w:uiPriority w:val="39"/>
    <w:rsid w:val="0007640B"/>
    <w:pPr>
      <w:tabs>
        <w:tab w:val="right" w:leader="dot" w:pos="10081"/>
      </w:tabs>
      <w:spacing w:after="100"/>
      <w:ind w:left="440"/>
    </w:pPr>
  </w:style>
  <w:style w:type="character" w:styleId="Hyperlink">
    <w:name w:val="Hyperlink"/>
    <w:basedOn w:val="DefaultParagraphFont"/>
    <w:uiPriority w:val="99"/>
    <w:unhideWhenUsed/>
    <w:rsid w:val="00362CE7"/>
    <w:rPr>
      <w:color w:val="2977FF" w:themeColor="hyperlink"/>
      <w:u w:val="single"/>
    </w:rPr>
  </w:style>
  <w:style w:type="character" w:styleId="PlaceholderText">
    <w:name w:val="Placeholder Text"/>
    <w:basedOn w:val="DefaultParagraphFont"/>
    <w:uiPriority w:val="99"/>
    <w:rsid w:val="000B1DB5"/>
    <w:rPr>
      <w:color w:val="808080"/>
      <w:bdr w:val="none" w:sz="0" w:space="0" w:color="auto"/>
      <w:shd w:val="clear" w:color="auto" w:fill="F2F2F2"/>
    </w:rPr>
  </w:style>
  <w:style w:type="paragraph" w:styleId="NoSpacing">
    <w:name w:val="No Spacing"/>
    <w:uiPriority w:val="1"/>
    <w:qFormat/>
    <w:rsid w:val="00813C78"/>
    <w:pPr>
      <w:spacing w:after="0"/>
    </w:pPr>
  </w:style>
  <w:style w:type="paragraph" w:styleId="Header">
    <w:name w:val="header"/>
    <w:basedOn w:val="Normal"/>
    <w:link w:val="HeaderChar"/>
    <w:uiPriority w:val="26"/>
    <w:rsid w:val="00890ED1"/>
    <w:pPr>
      <w:tabs>
        <w:tab w:val="center" w:pos="4536"/>
        <w:tab w:val="right" w:pos="9072"/>
      </w:tabs>
      <w:spacing w:after="0"/>
    </w:pPr>
    <w:rPr>
      <w:sz w:val="16"/>
    </w:rPr>
  </w:style>
  <w:style w:type="character" w:customStyle="1" w:styleId="HeaderChar">
    <w:name w:val="Header Char"/>
    <w:basedOn w:val="DefaultParagraphFont"/>
    <w:link w:val="Header"/>
    <w:uiPriority w:val="26"/>
    <w:rsid w:val="00890ED1"/>
    <w:rPr>
      <w:sz w:val="16"/>
    </w:rPr>
  </w:style>
  <w:style w:type="paragraph" w:styleId="Footer">
    <w:name w:val="footer"/>
    <w:basedOn w:val="Normal"/>
    <w:link w:val="FooterChar"/>
    <w:uiPriority w:val="26"/>
    <w:rsid w:val="00890ED1"/>
    <w:pPr>
      <w:tabs>
        <w:tab w:val="right" w:pos="10093"/>
      </w:tabs>
      <w:spacing w:after="0"/>
    </w:pPr>
    <w:rPr>
      <w:sz w:val="16"/>
    </w:rPr>
  </w:style>
  <w:style w:type="character" w:customStyle="1" w:styleId="FooterChar">
    <w:name w:val="Footer Char"/>
    <w:basedOn w:val="DefaultParagraphFont"/>
    <w:link w:val="Footer"/>
    <w:uiPriority w:val="26"/>
    <w:rsid w:val="00890ED1"/>
    <w:rPr>
      <w:sz w:val="16"/>
    </w:rPr>
  </w:style>
  <w:style w:type="table" w:styleId="TableGrid">
    <w:name w:val="Table Grid"/>
    <w:basedOn w:val="TableNormal"/>
    <w:uiPriority w:val="39"/>
    <w:rsid w:val="008F1C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26632D"/>
    <w:pPr>
      <w:spacing w:before="200"/>
    </w:pPr>
    <w:rPr>
      <w:rFonts w:asciiTheme="majorHAnsi" w:hAnsiTheme="majorHAnsi"/>
      <w:iCs/>
      <w:spacing w:val="-9"/>
      <w:sz w:val="64"/>
    </w:rPr>
  </w:style>
  <w:style w:type="character" w:customStyle="1" w:styleId="QuoteChar">
    <w:name w:val="Quote Char"/>
    <w:basedOn w:val="DefaultParagraphFont"/>
    <w:link w:val="Quote"/>
    <w:uiPriority w:val="29"/>
    <w:rsid w:val="0026632D"/>
    <w:rPr>
      <w:rFonts w:asciiTheme="majorHAnsi" w:hAnsiTheme="majorHAnsi"/>
      <w:iCs/>
      <w:spacing w:val="-9"/>
      <w:sz w:val="64"/>
    </w:rPr>
  </w:style>
  <w:style w:type="paragraph" w:styleId="Closing">
    <w:name w:val="Closing"/>
    <w:basedOn w:val="Normal"/>
    <w:next w:val="NoSpacing"/>
    <w:link w:val="ClosingChar"/>
    <w:uiPriority w:val="99"/>
    <w:semiHidden/>
    <w:rsid w:val="00A51F48"/>
    <w:pPr>
      <w:spacing w:before="720" w:after="720"/>
    </w:pPr>
  </w:style>
  <w:style w:type="character" w:customStyle="1" w:styleId="ClosingChar">
    <w:name w:val="Closing Char"/>
    <w:basedOn w:val="DefaultParagraphFont"/>
    <w:link w:val="Closing"/>
    <w:uiPriority w:val="99"/>
    <w:semiHidden/>
    <w:rsid w:val="00474955"/>
  </w:style>
  <w:style w:type="paragraph" w:customStyle="1" w:styleId="Preamble">
    <w:name w:val="Preamble"/>
    <w:basedOn w:val="Normal"/>
    <w:next w:val="Normal"/>
    <w:uiPriority w:val="12"/>
    <w:qFormat/>
    <w:rsid w:val="008325A0"/>
    <w:pPr>
      <w:spacing w:before="360"/>
    </w:pPr>
    <w:rPr>
      <w:sz w:val="24"/>
    </w:rPr>
  </w:style>
  <w:style w:type="paragraph" w:styleId="EnvelopeAddress">
    <w:name w:val="envelope address"/>
    <w:basedOn w:val="NoSpacing"/>
    <w:uiPriority w:val="99"/>
    <w:semiHidden/>
    <w:rsid w:val="00B723E3"/>
    <w:pPr>
      <w:framePr w:w="5670" w:h="2268" w:hRule="exact" w:vSpace="2268" w:wrap="around" w:vAnchor="page" w:hAnchor="page" w:xAlign="right" w:yAlign="top" w:anchorLock="1"/>
    </w:pPr>
    <w:rPr>
      <w:rFonts w:eastAsiaTheme="majorEastAsia" w:cstheme="majorBidi"/>
      <w:szCs w:val="24"/>
    </w:rPr>
  </w:style>
  <w:style w:type="paragraph" w:customStyle="1" w:styleId="Noter">
    <w:name w:val="Noter"/>
    <w:basedOn w:val="Heading2"/>
    <w:next w:val="Normal"/>
    <w:uiPriority w:val="13"/>
    <w:semiHidden/>
    <w:rsid w:val="000D01A8"/>
    <w:pPr>
      <w:numPr>
        <w:numId w:val="12"/>
      </w:numPr>
      <w:outlineLvl w:val="9"/>
    </w:pPr>
  </w:style>
  <w:style w:type="paragraph" w:styleId="ListParagraph">
    <w:name w:val="List Paragraph"/>
    <w:basedOn w:val="Normal"/>
    <w:uiPriority w:val="34"/>
    <w:semiHidden/>
    <w:qFormat/>
    <w:rsid w:val="0023757D"/>
    <w:pPr>
      <w:ind w:left="720"/>
      <w:contextualSpacing/>
    </w:pPr>
  </w:style>
  <w:style w:type="character" w:styleId="CommentReference">
    <w:name w:val="annotation reference"/>
    <w:basedOn w:val="DefaultParagraphFont"/>
    <w:uiPriority w:val="99"/>
    <w:semiHidden/>
    <w:unhideWhenUsed/>
    <w:rsid w:val="00AF1B26"/>
    <w:rPr>
      <w:sz w:val="16"/>
      <w:szCs w:val="16"/>
    </w:rPr>
  </w:style>
  <w:style w:type="paragraph" w:styleId="CommentText">
    <w:name w:val="annotation text"/>
    <w:basedOn w:val="Normal"/>
    <w:link w:val="CommentTextChar"/>
    <w:uiPriority w:val="99"/>
    <w:semiHidden/>
    <w:rsid w:val="00AF1B26"/>
  </w:style>
  <w:style w:type="character" w:customStyle="1" w:styleId="CommentTextChar">
    <w:name w:val="Comment Text Char"/>
    <w:basedOn w:val="DefaultParagraphFont"/>
    <w:link w:val="CommentText"/>
    <w:uiPriority w:val="99"/>
    <w:semiHidden/>
    <w:rsid w:val="0083763D"/>
    <w:rPr>
      <w:sz w:val="20"/>
      <w:szCs w:val="20"/>
    </w:rPr>
  </w:style>
  <w:style w:type="paragraph" w:styleId="CommentSubject">
    <w:name w:val="annotation subject"/>
    <w:basedOn w:val="CommentText"/>
    <w:next w:val="CommentText"/>
    <w:link w:val="CommentSubjectChar"/>
    <w:uiPriority w:val="99"/>
    <w:semiHidden/>
    <w:unhideWhenUsed/>
    <w:rsid w:val="00AF1B26"/>
    <w:rPr>
      <w:b/>
      <w:bCs/>
    </w:rPr>
  </w:style>
  <w:style w:type="character" w:customStyle="1" w:styleId="CommentSubjectChar">
    <w:name w:val="Comment Subject Char"/>
    <w:basedOn w:val="CommentTextChar"/>
    <w:link w:val="CommentSubject"/>
    <w:uiPriority w:val="99"/>
    <w:semiHidden/>
    <w:rsid w:val="00AF1B26"/>
    <w:rPr>
      <w:b/>
      <w:bCs/>
      <w:sz w:val="20"/>
      <w:szCs w:val="20"/>
    </w:rPr>
  </w:style>
  <w:style w:type="character" w:styleId="UnresolvedMention">
    <w:name w:val="Unresolved Mention"/>
    <w:basedOn w:val="DefaultParagraphFont"/>
    <w:uiPriority w:val="99"/>
    <w:semiHidden/>
    <w:unhideWhenUsed/>
    <w:rsid w:val="00A60C05"/>
    <w:rPr>
      <w:color w:val="605E5C"/>
      <w:shd w:val="clear" w:color="auto" w:fill="E1DFDD"/>
    </w:rPr>
  </w:style>
  <w:style w:type="character" w:styleId="FollowedHyperlink">
    <w:name w:val="FollowedHyperlink"/>
    <w:basedOn w:val="DefaultParagraphFont"/>
    <w:uiPriority w:val="98"/>
    <w:rsid w:val="00897370"/>
    <w:rPr>
      <w:color w:val="2977FF" w:themeColor="followedHyperlink"/>
      <w:u w:val="single"/>
    </w:rPr>
  </w:style>
  <w:style w:type="paragraph" w:customStyle="1" w:styleId="Microtitle">
    <w:name w:val="Micro title"/>
    <w:basedOn w:val="Normal"/>
    <w:next w:val="Normal"/>
    <w:uiPriority w:val="9"/>
    <w:rsid w:val="00890ED1"/>
    <w:pPr>
      <w:spacing w:after="0"/>
    </w:pPr>
    <w:rPr>
      <w:caps/>
      <w:spacing w:val="30"/>
      <w:lang w:val="en-US"/>
    </w:rPr>
  </w:style>
  <w:style w:type="paragraph" w:styleId="Caption">
    <w:name w:val="caption"/>
    <w:basedOn w:val="Normal"/>
    <w:next w:val="Normal"/>
    <w:uiPriority w:val="35"/>
    <w:qFormat/>
    <w:rsid w:val="00DC7A44"/>
    <w:pPr>
      <w:spacing w:before="100"/>
      <w:contextualSpacing/>
    </w:pPr>
    <w:rPr>
      <w:iCs/>
      <w:sz w:val="16"/>
      <w:szCs w:val="18"/>
    </w:rPr>
  </w:style>
  <w:style w:type="paragraph" w:customStyle="1" w:styleId="Statnumber">
    <w:name w:val="Stat number"/>
    <w:basedOn w:val="Normal"/>
    <w:next w:val="Statdescription"/>
    <w:uiPriority w:val="30"/>
    <w:qFormat/>
    <w:rsid w:val="0026632D"/>
    <w:pPr>
      <w:spacing w:after="0" w:line="180" w:lineRule="auto"/>
    </w:pPr>
    <w:rPr>
      <w:rFonts w:asciiTheme="majorHAnsi" w:hAnsiTheme="majorHAnsi"/>
      <w:sz w:val="76"/>
      <w:lang w:val="en-US"/>
    </w:rPr>
  </w:style>
  <w:style w:type="paragraph" w:customStyle="1" w:styleId="Statdescription">
    <w:name w:val="Stat description"/>
    <w:basedOn w:val="Normal"/>
    <w:next w:val="Normal"/>
    <w:uiPriority w:val="31"/>
    <w:qFormat/>
    <w:rsid w:val="0026632D"/>
    <w:rPr>
      <w:sz w:val="15"/>
      <w:lang w:val="en-US"/>
    </w:rPr>
  </w:style>
  <w:style w:type="table" w:customStyle="1" w:styleId="Sinch">
    <w:name w:val="Sinch"/>
    <w:basedOn w:val="TableNormal"/>
    <w:uiPriority w:val="99"/>
    <w:rsid w:val="00FA2607"/>
    <w:pPr>
      <w:spacing w:after="0"/>
      <w:jc w:val="center"/>
    </w:pPr>
    <w:rPr>
      <w:sz w:val="16"/>
    </w:rPr>
    <w:tblPr>
      <w:tblStyleColBandSize w:val="1"/>
      <w:tblBorders>
        <w:insideH w:val="single" w:sz="6" w:space="0" w:color="BFBFBF"/>
      </w:tblBorders>
      <w:tblCellMar>
        <w:top w:w="96" w:type="dxa"/>
        <w:bottom w:w="96" w:type="dxa"/>
      </w:tblCellMar>
    </w:tblPr>
    <w:tcPr>
      <w:vAlign w:val="center"/>
    </w:tcPr>
    <w:tblStylePr w:type="firstRow">
      <w:tblPr/>
      <w:tcPr>
        <w:tcBorders>
          <w:top w:val="nil"/>
          <w:left w:val="nil"/>
          <w:bottom w:val="single" w:sz="6" w:space="0" w:color="000000" w:themeColor="text1"/>
          <w:right w:val="nil"/>
          <w:insideH w:val="nil"/>
          <w:insideV w:val="nil"/>
          <w:tl2br w:val="nil"/>
          <w:tr2bl w:val="nil"/>
        </w:tcBorders>
      </w:tcPr>
    </w:tblStylePr>
    <w:tblStylePr w:type="lastRow">
      <w:tblPr/>
      <w:tcPr>
        <w:tcBorders>
          <w:top w:val="single" w:sz="6" w:space="0" w:color="000000" w:themeColor="text1"/>
          <w:left w:val="nil"/>
          <w:bottom w:val="nil"/>
          <w:right w:val="nil"/>
          <w:insideH w:val="nil"/>
          <w:insideV w:val="nil"/>
          <w:tl2br w:val="nil"/>
          <w:tr2bl w:val="nil"/>
        </w:tcBorders>
      </w:tcPr>
    </w:tblStylePr>
    <w:tblStylePr w:type="firstCol">
      <w:pPr>
        <w:jc w:val="left"/>
      </w:pPr>
      <w:tblPr/>
      <w:tcPr>
        <w:shd w:val="clear" w:color="auto" w:fill="FFF6B3" w:themeFill="accent2"/>
      </w:tcPr>
    </w:tblStylePr>
    <w:tblStylePr w:type="band2Vert">
      <w:tblPr/>
      <w:tcPr>
        <w:shd w:val="clear" w:color="auto" w:fill="FFF6B3" w:themeFill="accent2"/>
      </w:tcPr>
    </w:tblStylePr>
  </w:style>
  <w:style w:type="paragraph" w:customStyle="1" w:styleId="Tablefootnote">
    <w:name w:val="Table footnote"/>
    <w:basedOn w:val="Normal"/>
    <w:next w:val="Normal"/>
    <w:uiPriority w:val="32"/>
    <w:qFormat/>
    <w:rsid w:val="00DC7A44"/>
    <w:pPr>
      <w:contextualSpacing/>
    </w:pPr>
    <w:rPr>
      <w:color w:val="595959"/>
      <w:sz w:val="10"/>
      <w:lang w:val="en-US"/>
    </w:rPr>
  </w:style>
  <w:style w:type="paragraph" w:styleId="FootnoteText">
    <w:name w:val="footnote text"/>
    <w:basedOn w:val="Normal"/>
    <w:link w:val="FootnoteTextChar"/>
    <w:uiPriority w:val="99"/>
    <w:rsid w:val="00AC61D2"/>
    <w:pPr>
      <w:spacing w:after="0"/>
    </w:pPr>
    <w:rPr>
      <w:sz w:val="16"/>
    </w:rPr>
  </w:style>
  <w:style w:type="character" w:customStyle="1" w:styleId="FootnoteTextChar">
    <w:name w:val="Footnote Text Char"/>
    <w:basedOn w:val="DefaultParagraphFont"/>
    <w:link w:val="FootnoteText"/>
    <w:uiPriority w:val="99"/>
    <w:rsid w:val="00AC61D2"/>
    <w:rPr>
      <w:sz w:val="16"/>
    </w:rPr>
  </w:style>
  <w:style w:type="character" w:styleId="FootnoteReference">
    <w:name w:val="footnote reference"/>
    <w:basedOn w:val="DefaultParagraphFont"/>
    <w:uiPriority w:val="99"/>
    <w:rsid w:val="00AC61D2"/>
    <w:rPr>
      <w:vertAlign w:val="superscript"/>
    </w:rPr>
  </w:style>
  <w:style w:type="paragraph" w:styleId="EndnoteText">
    <w:name w:val="endnote text"/>
    <w:basedOn w:val="Normal"/>
    <w:link w:val="EndnoteTextChar"/>
    <w:uiPriority w:val="99"/>
    <w:semiHidden/>
    <w:rsid w:val="00AC61D2"/>
    <w:pPr>
      <w:spacing w:after="0"/>
    </w:pPr>
    <w:rPr>
      <w:sz w:val="16"/>
    </w:rPr>
  </w:style>
  <w:style w:type="character" w:customStyle="1" w:styleId="EndnoteTextChar">
    <w:name w:val="Endnote Text Char"/>
    <w:basedOn w:val="DefaultParagraphFont"/>
    <w:link w:val="EndnoteText"/>
    <w:uiPriority w:val="99"/>
    <w:semiHidden/>
    <w:rsid w:val="001E1678"/>
    <w:rPr>
      <w:sz w:val="16"/>
    </w:rPr>
  </w:style>
  <w:style w:type="character" w:styleId="EndnoteReference">
    <w:name w:val="endnote reference"/>
    <w:basedOn w:val="DefaultParagraphFont"/>
    <w:uiPriority w:val="99"/>
    <w:semiHidden/>
    <w:rsid w:val="00AC61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chart" Target="charts/chart5.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4.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hart" Target="charts/chart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Andersson\Rehngruppen\Kunder%20-%20S%20-%20Dokument\Sinch\FIL\2603_SA%20-%20Wordmallar%20(11204)\Arbetsmapp\A4%20with%20examples.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109727514738416E-2"/>
          <c:y val="0.12505398460816"/>
          <c:w val="0.92889027248526168"/>
          <c:h val="0.74023780313857424"/>
        </c:manualLayout>
      </c:layout>
      <c:barChart>
        <c:barDir val="col"/>
        <c:grouping val="stacked"/>
        <c:varyColors val="0"/>
        <c:ser>
          <c:idx val="0"/>
          <c:order val="0"/>
          <c:tx>
            <c:strRef>
              <c:f>Sheet1!$B$1</c:f>
              <c:strCache>
                <c:ptCount val="1"/>
                <c:pt idx="0">
                  <c:v>Series 1</c:v>
                </c:pt>
              </c:strCache>
            </c:strRef>
          </c:tx>
          <c:spPr>
            <a:solidFill>
              <a:srgbClr val="85B6FF"/>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50</c:v>
                </c:pt>
                <c:pt idx="1">
                  <c:v>75</c:v>
                </c:pt>
                <c:pt idx="2">
                  <c:v>90</c:v>
                </c:pt>
                <c:pt idx="3">
                  <c:v>150</c:v>
                </c:pt>
              </c:numCache>
            </c:numRef>
          </c:val>
          <c:extLst>
            <c:ext xmlns:c16="http://schemas.microsoft.com/office/drawing/2014/chart" uri="{C3380CC4-5D6E-409C-BE32-E72D297353CC}">
              <c16:uniqueId val="{00000000-457D-4470-B30B-71471FE5E073}"/>
            </c:ext>
          </c:extLst>
        </c:ser>
        <c:ser>
          <c:idx val="1"/>
          <c:order val="1"/>
          <c:tx>
            <c:strRef>
              <c:f>Sheet1!$C$1</c:f>
              <c:strCache>
                <c:ptCount val="1"/>
                <c:pt idx="0">
                  <c:v>Series 2</c:v>
                </c:pt>
              </c:strCache>
            </c:strRef>
          </c:tx>
          <c:spPr>
            <a:solidFill>
              <a:srgbClr val="2977FF"/>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100</c:v>
                </c:pt>
                <c:pt idx="1">
                  <c:v>200</c:v>
                </c:pt>
                <c:pt idx="2">
                  <c:v>180</c:v>
                </c:pt>
                <c:pt idx="3">
                  <c:v>250</c:v>
                </c:pt>
              </c:numCache>
            </c:numRef>
          </c:val>
          <c:extLst>
            <c:ext xmlns:c16="http://schemas.microsoft.com/office/drawing/2014/chart" uri="{C3380CC4-5D6E-409C-BE32-E72D297353CC}">
              <c16:uniqueId val="{00000001-457D-4470-B30B-71471FE5E073}"/>
            </c:ext>
          </c:extLst>
        </c:ser>
        <c:dLbls>
          <c:showLegendKey val="0"/>
          <c:showVal val="0"/>
          <c:showCatName val="0"/>
          <c:showSerName val="0"/>
          <c:showPercent val="0"/>
          <c:showBubbleSize val="0"/>
        </c:dLbls>
        <c:gapWidth val="150"/>
        <c:overlap val="100"/>
        <c:axId val="820521023"/>
        <c:axId val="820515263"/>
      </c:barChart>
      <c:lineChart>
        <c:grouping val="standard"/>
        <c:varyColors val="0"/>
        <c:ser>
          <c:idx val="2"/>
          <c:order val="2"/>
          <c:tx>
            <c:strRef>
              <c:f>Sheet1!$D$1</c:f>
              <c:strCache>
                <c:ptCount val="1"/>
                <c:pt idx="0">
                  <c:v>Line</c:v>
                </c:pt>
              </c:strCache>
            </c:strRef>
          </c:tx>
          <c:spPr>
            <a:ln w="12700" cap="rnd">
              <a:solidFill>
                <a:schemeClr val="tx2"/>
              </a:solidFill>
              <a:round/>
              <a:tailEnd type="arrow"/>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2-457D-4470-B30B-71471FE5E073}"/>
                </c:ext>
              </c:extLst>
            </c:dLbl>
            <c:dLbl>
              <c:idx val="1"/>
              <c:layout>
                <c:manualLayout>
                  <c:x val="-0.10260179016084528"/>
                  <c:y val="0"/>
                </c:manualLayout>
              </c:layout>
              <c:spPr>
                <a:solidFill>
                  <a:srgbClr val="FFE97A"/>
                </a:solid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oundRect">
                      <a:avLst>
                        <a:gd name="adj" fmla="val 50000"/>
                      </a:avLst>
                    </a:prstGeom>
                    <a:noFill/>
                    <a:ln>
                      <a:noFill/>
                    </a:ln>
                  </c15:spPr>
                </c:ext>
                <c:ext xmlns:c16="http://schemas.microsoft.com/office/drawing/2014/chart" uri="{C3380CC4-5D6E-409C-BE32-E72D297353CC}">
                  <c16:uniqueId val="{00000003-457D-4470-B30B-71471FE5E073}"/>
                </c:ext>
              </c:extLst>
            </c:dLbl>
            <c:dLbl>
              <c:idx val="2"/>
              <c:layout>
                <c:manualLayout>
                  <c:x val="-0.11107329532526383"/>
                  <c:y val="-2.456813522533768E-2"/>
                </c:manualLayout>
              </c:layout>
              <c:spPr>
                <a:solidFill>
                  <a:srgbClr val="FFE97A"/>
                </a:solid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oundRect">
                      <a:avLst>
                        <a:gd name="adj" fmla="val 50000"/>
                      </a:avLst>
                    </a:prstGeom>
                    <a:noFill/>
                    <a:ln>
                      <a:noFill/>
                    </a:ln>
                  </c15:spPr>
                </c:ext>
                <c:ext xmlns:c16="http://schemas.microsoft.com/office/drawing/2014/chart" uri="{C3380CC4-5D6E-409C-BE32-E72D297353CC}">
                  <c16:uniqueId val="{00000004-457D-4470-B30B-71471FE5E073}"/>
                </c:ext>
              </c:extLst>
            </c:dLbl>
            <c:dLbl>
              <c:idx val="3"/>
              <c:delete val="1"/>
              <c:extLst>
                <c:ext xmlns:c15="http://schemas.microsoft.com/office/drawing/2012/chart" uri="{CE6537A1-D6FC-4f65-9D91-7224C49458BB}"/>
                <c:ext xmlns:c16="http://schemas.microsoft.com/office/drawing/2014/chart" uri="{C3380CC4-5D6E-409C-BE32-E72D297353CC}">
                  <c16:uniqueId val="{00000005-457D-4470-B30B-71471FE5E073}"/>
                </c:ext>
              </c:extLst>
            </c:dLbl>
            <c:spPr>
              <a:solidFill>
                <a:schemeClr val="accent6"/>
              </a:solidFill>
              <a:ln>
                <a:noFill/>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showLeaderLines val="0"/>
              </c:ext>
            </c:extLst>
          </c:dLbls>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200</c:v>
                </c:pt>
                <c:pt idx="1">
                  <c:v>350</c:v>
                </c:pt>
                <c:pt idx="2">
                  <c:v>300</c:v>
                </c:pt>
                <c:pt idx="3">
                  <c:v>500</c:v>
                </c:pt>
              </c:numCache>
            </c:numRef>
          </c:val>
          <c:smooth val="0"/>
          <c:extLst>
            <c:ext xmlns:c16="http://schemas.microsoft.com/office/drawing/2014/chart" uri="{C3380CC4-5D6E-409C-BE32-E72D297353CC}">
              <c16:uniqueId val="{00000006-457D-4470-B30B-71471FE5E073}"/>
            </c:ext>
          </c:extLst>
        </c:ser>
        <c:dLbls>
          <c:showLegendKey val="0"/>
          <c:showVal val="0"/>
          <c:showCatName val="0"/>
          <c:showSerName val="0"/>
          <c:showPercent val="0"/>
          <c:showBubbleSize val="0"/>
        </c:dLbls>
        <c:marker val="1"/>
        <c:smooth val="0"/>
        <c:axId val="820521023"/>
        <c:axId val="820515263"/>
      </c:lineChart>
      <c:catAx>
        <c:axId val="82052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crossAx val="820515263"/>
        <c:crosses val="autoZero"/>
        <c:auto val="1"/>
        <c:lblAlgn val="ctr"/>
        <c:lblOffset val="100"/>
        <c:noMultiLvlLbl val="0"/>
      </c:catAx>
      <c:valAx>
        <c:axId val="82051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crossAx val="820521023"/>
        <c:crosses val="autoZero"/>
        <c:crossBetween val="between"/>
      </c:valAx>
      <c:spPr>
        <a:noFill/>
        <a:ln>
          <a:noFill/>
        </a:ln>
        <a:effectLst/>
      </c:spPr>
    </c:plotArea>
    <c:legend>
      <c:legendPos val="t"/>
      <c:layout>
        <c:manualLayout>
          <c:xMode val="edge"/>
          <c:yMode val="edge"/>
          <c:x val="1.3694442040898878E-3"/>
          <c:y val="0"/>
          <c:w val="0.33051859896823232"/>
          <c:h val="6.6827504124109705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92443834428955"/>
          <c:y val="3.7931653188852062E-2"/>
          <c:w val="0.55215054540200825"/>
          <c:h val="0.92413669362229589"/>
        </c:manualLayout>
      </c:layout>
      <c:doughnutChart>
        <c:varyColors val="1"/>
        <c:ser>
          <c:idx val="0"/>
          <c:order val="0"/>
          <c:tx>
            <c:strRef>
              <c:f>Sheet1!$B$1</c:f>
              <c:strCache>
                <c:ptCount val="1"/>
                <c:pt idx="0">
                  <c:v>Sales</c:v>
                </c:pt>
              </c:strCache>
            </c:strRef>
          </c:tx>
          <c:spPr>
            <a:ln>
              <a:solidFill>
                <a:schemeClr val="bg1"/>
              </a:solidFill>
            </a:ln>
          </c:spPr>
          <c:dPt>
            <c:idx val="0"/>
            <c:bubble3D val="0"/>
            <c:spPr>
              <a:solidFill>
                <a:schemeClr val="accent4"/>
              </a:solidFill>
              <a:ln w="19050">
                <a:solidFill>
                  <a:schemeClr val="bg1"/>
                </a:solidFill>
              </a:ln>
              <a:effectLst/>
            </c:spPr>
            <c:extLst>
              <c:ext xmlns:c16="http://schemas.microsoft.com/office/drawing/2014/chart" uri="{C3380CC4-5D6E-409C-BE32-E72D297353CC}">
                <c16:uniqueId val="{00000001-8A5D-41B4-ABE9-ACB4CF7AE421}"/>
              </c:ext>
            </c:extLst>
          </c:dPt>
          <c:dPt>
            <c:idx val="1"/>
            <c:bubble3D val="0"/>
            <c:spPr>
              <a:solidFill>
                <a:srgbClr val="2977FF"/>
              </a:solidFill>
              <a:ln w="19050">
                <a:solidFill>
                  <a:schemeClr val="bg1"/>
                </a:solidFill>
              </a:ln>
              <a:effectLst/>
            </c:spPr>
            <c:extLst>
              <c:ext xmlns:c16="http://schemas.microsoft.com/office/drawing/2014/chart" uri="{C3380CC4-5D6E-409C-BE32-E72D297353CC}">
                <c16:uniqueId val="{00000003-8A5D-41B4-ABE9-ACB4CF7AE421}"/>
              </c:ext>
            </c:extLst>
          </c:dPt>
          <c:dPt>
            <c:idx val="2"/>
            <c:bubble3D val="0"/>
            <c:spPr>
              <a:solidFill>
                <a:srgbClr val="85B6FF"/>
              </a:solidFill>
              <a:ln w="19050">
                <a:solidFill>
                  <a:schemeClr val="bg1"/>
                </a:solidFill>
              </a:ln>
              <a:effectLst/>
            </c:spPr>
            <c:extLst>
              <c:ext xmlns:c16="http://schemas.microsoft.com/office/drawing/2014/chart" uri="{C3380CC4-5D6E-409C-BE32-E72D297353CC}">
                <c16:uniqueId val="{00000005-8A5D-41B4-ABE9-ACB4CF7AE421}"/>
              </c:ext>
            </c:extLst>
          </c:dPt>
          <c:dPt>
            <c:idx val="3"/>
            <c:bubble3D val="0"/>
            <c:spPr>
              <a:solidFill>
                <a:srgbClr val="C8BDFF"/>
              </a:solidFill>
              <a:ln w="19050">
                <a:solidFill>
                  <a:schemeClr val="bg1"/>
                </a:solidFill>
              </a:ln>
              <a:effectLst/>
            </c:spPr>
            <c:extLst>
              <c:ext xmlns:c16="http://schemas.microsoft.com/office/drawing/2014/chart" uri="{C3380CC4-5D6E-409C-BE32-E72D297353CC}">
                <c16:uniqueId val="{00000007-8A5D-41B4-ABE9-ACB4CF7AE421}"/>
              </c:ext>
            </c:extLst>
          </c:dPt>
          <c:dPt>
            <c:idx val="4"/>
            <c:bubble3D val="0"/>
            <c:spPr>
              <a:solidFill>
                <a:srgbClr val="97C2A3"/>
              </a:solidFill>
              <a:ln w="19050">
                <a:solidFill>
                  <a:schemeClr val="bg1"/>
                </a:solidFill>
              </a:ln>
              <a:effectLst/>
            </c:spPr>
            <c:extLst>
              <c:ext xmlns:c16="http://schemas.microsoft.com/office/drawing/2014/chart" uri="{C3380CC4-5D6E-409C-BE32-E72D297353CC}">
                <c16:uniqueId val="{00000009-8A5D-41B4-ABE9-ACB4CF7AE421}"/>
              </c:ext>
            </c:extLst>
          </c:dPt>
          <c:dPt>
            <c:idx val="5"/>
            <c:bubble3D val="0"/>
            <c:spPr>
              <a:solidFill>
                <a:srgbClr val="F03B35"/>
              </a:solidFill>
              <a:ln w="19050">
                <a:solidFill>
                  <a:schemeClr val="bg1"/>
                </a:solidFill>
              </a:ln>
              <a:effectLst/>
            </c:spPr>
            <c:extLst>
              <c:ext xmlns:c16="http://schemas.microsoft.com/office/drawing/2014/chart" uri="{C3380CC4-5D6E-409C-BE32-E72D297353CC}">
                <c16:uniqueId val="{0000000B-8A5D-41B4-ABE9-ACB4CF7AE421}"/>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Email</c:v>
                </c:pt>
                <c:pt idx="1">
                  <c:v>Phone</c:v>
                </c:pt>
                <c:pt idx="2">
                  <c:v>SMS</c:v>
                </c:pt>
                <c:pt idx="3">
                  <c:v>Chat</c:v>
                </c:pt>
                <c:pt idx="4">
                  <c:v>Website form</c:v>
                </c:pt>
                <c:pt idx="5">
                  <c:v>Errors</c:v>
                </c:pt>
              </c:strCache>
            </c:strRef>
          </c:cat>
          <c:val>
            <c:numRef>
              <c:f>Sheet1!$B$2:$B$7</c:f>
              <c:numCache>
                <c:formatCode>0%</c:formatCode>
                <c:ptCount val="6"/>
                <c:pt idx="0">
                  <c:v>0.4</c:v>
                </c:pt>
                <c:pt idx="1">
                  <c:v>0.23</c:v>
                </c:pt>
                <c:pt idx="2">
                  <c:v>0.22</c:v>
                </c:pt>
                <c:pt idx="3">
                  <c:v>0.08</c:v>
                </c:pt>
                <c:pt idx="4">
                  <c:v>0.05</c:v>
                </c:pt>
                <c:pt idx="5">
                  <c:v>0.02</c:v>
                </c:pt>
              </c:numCache>
            </c:numRef>
          </c:val>
          <c:extLst>
            <c:ext xmlns:c16="http://schemas.microsoft.com/office/drawing/2014/chart" uri="{C3380CC4-5D6E-409C-BE32-E72D297353CC}">
              <c16:uniqueId val="{0000000C-8A5D-41B4-ABE9-ACB4CF7AE421}"/>
            </c:ext>
          </c:extLst>
        </c:ser>
        <c:dLbls>
          <c:showLegendKey val="0"/>
          <c:showVal val="0"/>
          <c:showCatName val="0"/>
          <c:showSerName val="0"/>
          <c:showPercent val="0"/>
          <c:showBubbleSize val="0"/>
          <c:showLeaderLines val="1"/>
        </c:dLbls>
        <c:firstSliceAng val="0"/>
        <c:holeSize val="65"/>
      </c:doughnutChart>
      <c:spPr>
        <a:noFill/>
        <a:ln>
          <a:noFill/>
        </a:ln>
        <a:effectLst/>
      </c:spPr>
    </c:plotArea>
    <c:legend>
      <c:legendPos val="r"/>
      <c:layout>
        <c:manualLayout>
          <c:xMode val="edge"/>
          <c:yMode val="edge"/>
          <c:x val="0.71328381122171047"/>
          <c:y val="0.12211232411181325"/>
          <c:w val="0.25976553572416644"/>
          <c:h val="0.759431382783780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802053607955845"/>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6191559609139136"/>
          <c:y val="3.8118663260737901E-2"/>
          <c:w val="0.72153783378490266"/>
          <c:h val="0.63828334167259193"/>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C4DCFF"/>
              </a:solidFill>
              <a:ln w="19050">
                <a:solidFill>
                  <a:schemeClr val="bg1"/>
                </a:solidFill>
              </a:ln>
              <a:effectLst/>
            </c:spPr>
            <c:extLst>
              <c:ext xmlns:c16="http://schemas.microsoft.com/office/drawing/2014/chart" uri="{C3380CC4-5D6E-409C-BE32-E72D297353CC}">
                <c16:uniqueId val="{00000001-B568-4047-872A-6D24F75B216D}"/>
              </c:ext>
            </c:extLst>
          </c:dPt>
          <c:dPt>
            <c:idx val="1"/>
            <c:bubble3D val="0"/>
            <c:spPr>
              <a:solidFill>
                <a:srgbClr val="2977FF"/>
              </a:solidFill>
              <a:ln w="19050">
                <a:solidFill>
                  <a:schemeClr val="bg1"/>
                </a:solidFill>
              </a:ln>
              <a:effectLst/>
            </c:spPr>
            <c:extLst>
              <c:ext xmlns:c16="http://schemas.microsoft.com/office/drawing/2014/chart" uri="{C3380CC4-5D6E-409C-BE32-E72D297353CC}">
                <c16:uniqueId val="{00000003-B568-4047-872A-6D24F75B216D}"/>
              </c:ext>
            </c:extLst>
          </c:dPt>
          <c:dPt>
            <c:idx val="2"/>
            <c:bubble3D val="0"/>
            <c:spPr>
              <a:solidFill>
                <a:srgbClr val="85B6FF"/>
              </a:solidFill>
              <a:ln w="19050">
                <a:solidFill>
                  <a:schemeClr val="bg1"/>
                </a:solidFill>
              </a:ln>
              <a:effectLst/>
            </c:spPr>
            <c:extLst>
              <c:ext xmlns:c16="http://schemas.microsoft.com/office/drawing/2014/chart" uri="{C3380CC4-5D6E-409C-BE32-E72D297353CC}">
                <c16:uniqueId val="{00000005-B568-4047-872A-6D24F75B216D}"/>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B568-4047-872A-6D24F75B216D}"/>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4.6313312656140705E-3"/>
          <c:y val="0.82127055188335574"/>
          <c:w val="0.99073733746877202"/>
          <c:h val="0.160303373449556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790235008308372"/>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4158453396351939"/>
          <c:y val="3.8118663260737894E-2"/>
          <c:w val="0.72199263238375155"/>
          <c:h val="0.63828334167259193"/>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FFF6B3"/>
              </a:solidFill>
              <a:ln w="19050">
                <a:solidFill>
                  <a:schemeClr val="bg1"/>
                </a:solidFill>
              </a:ln>
              <a:effectLst/>
            </c:spPr>
            <c:extLst>
              <c:ext xmlns:c16="http://schemas.microsoft.com/office/drawing/2014/chart" uri="{C3380CC4-5D6E-409C-BE32-E72D297353CC}">
                <c16:uniqueId val="{00000001-515E-46A6-9D88-416346764BD5}"/>
              </c:ext>
            </c:extLst>
          </c:dPt>
          <c:dPt>
            <c:idx val="1"/>
            <c:bubble3D val="0"/>
            <c:spPr>
              <a:solidFill>
                <a:srgbClr val="FFE97A"/>
              </a:solidFill>
              <a:ln w="19050">
                <a:solidFill>
                  <a:schemeClr val="bg1"/>
                </a:solidFill>
              </a:ln>
              <a:effectLst/>
            </c:spPr>
            <c:extLst>
              <c:ext xmlns:c16="http://schemas.microsoft.com/office/drawing/2014/chart" uri="{C3380CC4-5D6E-409C-BE32-E72D297353CC}">
                <c16:uniqueId val="{00000003-515E-46A6-9D88-416346764BD5}"/>
              </c:ext>
            </c:extLst>
          </c:dPt>
          <c:dPt>
            <c:idx val="2"/>
            <c:bubble3D val="0"/>
            <c:spPr>
              <a:solidFill>
                <a:srgbClr val="FFF194"/>
              </a:solidFill>
              <a:ln w="19050">
                <a:solidFill>
                  <a:schemeClr val="bg1"/>
                </a:solidFill>
              </a:ln>
              <a:effectLst/>
            </c:spPr>
            <c:extLst>
              <c:ext xmlns:c16="http://schemas.microsoft.com/office/drawing/2014/chart" uri="{C3380CC4-5D6E-409C-BE32-E72D297353CC}">
                <c16:uniqueId val="{00000005-515E-46A6-9D88-416346764BD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ln w="2540">
                      <a:noFill/>
                    </a:ln>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515E-46A6-9D88-416346764BD5}"/>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4.4436059616129167E-3"/>
          <c:y val="0.83018916949762556"/>
          <c:w val="0.99111199372461778"/>
          <c:h val="0.151384755835286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4431671826781762"/>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4152416319965047"/>
          <c:y val="3.3659354453602998E-2"/>
          <c:w val="0.72703676857542876"/>
          <c:h val="0.6427426504797269"/>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E1F2E6"/>
              </a:solidFill>
              <a:ln w="19050">
                <a:solidFill>
                  <a:schemeClr val="bg1"/>
                </a:solidFill>
              </a:ln>
              <a:effectLst/>
            </c:spPr>
            <c:extLst>
              <c:ext xmlns:c16="http://schemas.microsoft.com/office/drawing/2014/chart" uri="{C3380CC4-5D6E-409C-BE32-E72D297353CC}">
                <c16:uniqueId val="{00000001-AD07-4E9D-B341-09710D01AC0F}"/>
              </c:ext>
            </c:extLst>
          </c:dPt>
          <c:dPt>
            <c:idx val="1"/>
            <c:bubble3D val="0"/>
            <c:spPr>
              <a:solidFill>
                <a:srgbClr val="97C2A3"/>
              </a:solidFill>
              <a:ln w="19050">
                <a:solidFill>
                  <a:schemeClr val="bg1"/>
                </a:solidFill>
              </a:ln>
              <a:effectLst/>
            </c:spPr>
            <c:extLst>
              <c:ext xmlns:c16="http://schemas.microsoft.com/office/drawing/2014/chart" uri="{C3380CC4-5D6E-409C-BE32-E72D297353CC}">
                <c16:uniqueId val="{00000003-AD07-4E9D-B341-09710D01AC0F}"/>
              </c:ext>
            </c:extLst>
          </c:dPt>
          <c:dPt>
            <c:idx val="2"/>
            <c:bubble3D val="0"/>
            <c:spPr>
              <a:solidFill>
                <a:srgbClr val="C3E3CE"/>
              </a:solidFill>
              <a:ln w="19050">
                <a:solidFill>
                  <a:schemeClr val="bg1"/>
                </a:solidFill>
              </a:ln>
              <a:effectLst/>
            </c:spPr>
            <c:extLst>
              <c:ext xmlns:c16="http://schemas.microsoft.com/office/drawing/2014/chart" uri="{C3380CC4-5D6E-409C-BE32-E72D297353CC}">
                <c16:uniqueId val="{00000005-AD07-4E9D-B341-09710D01AC0F}"/>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ln w="2540">
                      <a:noFill/>
                    </a:ln>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AD07-4E9D-B341-09710D01AC0F}"/>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9.4877421532900911E-3"/>
          <c:y val="0.82127055188335574"/>
          <c:w val="0.98102372134126348"/>
          <c:h val="0.160303373449556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Sinch">
  <a:themeElements>
    <a:clrScheme name="Custom 3">
      <a:dk1>
        <a:srgbClr val="000000"/>
      </a:dk1>
      <a:lt1>
        <a:srgbClr val="FFFFFF"/>
      </a:lt1>
      <a:dk2>
        <a:srgbClr val="000000"/>
      </a:dk2>
      <a:lt2>
        <a:srgbClr val="1860F0"/>
      </a:lt2>
      <a:accent1>
        <a:srgbClr val="F7F9FA"/>
      </a:accent1>
      <a:accent2>
        <a:srgbClr val="FFF6B3"/>
      </a:accent2>
      <a:accent3>
        <a:srgbClr val="FFF194"/>
      </a:accent3>
      <a:accent4>
        <a:srgbClr val="FFE97A"/>
      </a:accent4>
      <a:accent5>
        <a:srgbClr val="F0F3F5"/>
      </a:accent5>
      <a:accent6>
        <a:srgbClr val="EBE6E1"/>
      </a:accent6>
      <a:hlink>
        <a:srgbClr val="2977FF"/>
      </a:hlink>
      <a:folHlink>
        <a:srgbClr val="2977FF"/>
      </a:folHlink>
    </a:clrScheme>
    <a:fontScheme name="Sinch 2025">
      <a:majorFont>
        <a:latin typeface="Host Grotesk SemiBold"/>
        <a:ea typeface=""/>
        <a:cs typeface=""/>
      </a:majorFont>
      <a:minorFont>
        <a:latin typeface="Host Grotes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solidFill>
        <a:ln>
          <a:noFill/>
        </a:ln>
      </a:spPr>
      <a:bodyPr rtlCol="0" anchor="ctr"/>
      <a:lstStyle>
        <a:defPPr algn="ctr">
          <a:lnSpc>
            <a:spcPct val="110000"/>
          </a:lnSpc>
          <a:defRPr sz="1500">
            <a:solidFill>
              <a:schemeClr val="tx1"/>
            </a:solidFill>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lnSpc>
            <a:spcPct val="110000"/>
          </a:lnSpc>
          <a:spcBef>
            <a:spcPts val="225"/>
          </a:spcBef>
          <a:spcAft>
            <a:spcPts val="225"/>
          </a:spcAft>
          <a:defRPr sz="1500" dirty="0">
            <a:solidFill>
              <a:schemeClr val="tx2"/>
            </a:solidFill>
            <a:cs typeface="Arial" panose="020B0604020202020204" pitchFamily="34" charset="0"/>
          </a:defRPr>
        </a:defPPr>
      </a:lstStyle>
    </a:txDef>
  </a:objectDefaults>
  <a:extraClrSchemeLst/>
  <a:custClrLst>
    <a:custClr name="Neutral05">
      <a:srgbClr val="F7F9FA"/>
    </a:custClr>
    <a:custClr name="Neutral10">
      <a:srgbClr val="F0F3F5"/>
    </a:custClr>
    <a:custClr name="Neutral15">
      <a:srgbClr val="E6EBED"/>
    </a:custClr>
    <a:custClr name="Neutral20">
      <a:srgbClr val="DCE2E5"/>
    </a:custClr>
    <a:custClr name="Neutral25">
      <a:srgbClr val="D3D9DE"/>
    </a:custClr>
    <a:custClr name="Neutral30">
      <a:srgbClr val="C4CCD1"/>
    </a:custClr>
    <a:custClr name="Neutral35">
      <a:srgbClr val="AEB7BD"/>
    </a:custClr>
    <a:custClr name="Neutral40">
      <a:srgbClr val="8F9AA1"/>
    </a:custClr>
    <a:custClr name="Neutral50">
      <a:srgbClr val="78828A"/>
    </a:custClr>
    <a:custClr name="Neutral60">
      <a:srgbClr val="626C73"/>
    </a:custClr>
    <a:custClr name="Sand15">
      <a:srgbClr val="F2EEE8"/>
    </a:custClr>
    <a:custClr name="Sand20">
      <a:srgbClr val="EBE6E1"/>
    </a:custClr>
    <a:custClr name="Sand25">
      <a:srgbClr val="DBD7D3"/>
    </a:custClr>
    <a:custClr name="Sand30">
      <a:srgbClr val="C9C5C1"/>
    </a:custClr>
    <a:custClr name="Sand35">
      <a:srgbClr val="B8B3B0"/>
    </a:custClr>
    <a:custClr name="Honey10">
      <a:srgbClr val="FFF6B3"/>
    </a:custClr>
    <a:custClr name="Honey15">
      <a:srgbClr val="FFF194"/>
    </a:custClr>
    <a:custClr name="Honey20">
      <a:srgbClr val="FFE97A"/>
    </a:custClr>
    <a:custClr name="Honey25">
      <a:srgbClr val="FADA5A"/>
    </a:custClr>
    <a:custClr name="Honey30">
      <a:srgbClr val="F0C243"/>
    </a:custClr>
    <a:custClr name="Tropical05">
      <a:srgbClr val="F0FAF3"/>
    </a:custClr>
    <a:custClr name="Tropical10">
      <a:srgbClr val="E8F7ED"/>
    </a:custClr>
    <a:custClr name="Tropical15">
      <a:srgbClr val="DFF2E5"/>
    </a:custClr>
    <a:custClr name="Tropical20">
      <a:srgbClr val="D1EDDB"/>
    </a:custClr>
    <a:custClr name="Tropical25">
      <a:srgbClr val="BCE5CD"/>
    </a:custClr>
    <a:custClr name="Tropical30">
      <a:srgbClr val="9ADBC3"/>
    </a:custClr>
    <a:custClr name="Tropical35">
      <a:srgbClr val="7FC7AF"/>
    </a:custClr>
    <a:custClr name="Tropical40">
      <a:srgbClr val="5BA891"/>
    </a:custClr>
    <a:custClr name="Tropical50">
      <a:srgbClr val="368F7D"/>
    </a:custClr>
    <a:custClr name="Tropical60">
      <a:srgbClr val="00756A"/>
    </a:custClr>
    <a:custClr name="Ocean05">
      <a:srgbClr val="F7FAFF"/>
    </a:custClr>
    <a:custClr name="Ocean10">
      <a:srgbClr val="F0F6FF"/>
    </a:custClr>
    <a:custClr name="Ocean15">
      <a:srgbClr val="E6F0FF"/>
    </a:custClr>
    <a:custClr name="Ocean20">
      <a:srgbClr val="DBE9FF"/>
    </a:custClr>
    <a:custClr name="Ocean25">
      <a:srgbClr val="C4DCFF"/>
    </a:custClr>
    <a:custClr name="Ocean30">
      <a:srgbClr val="A3C8FF"/>
    </a:custClr>
    <a:custClr name="Ocean35">
      <a:srgbClr val="85B6FF"/>
    </a:custClr>
    <a:custClr name="Ocean40">
      <a:srgbClr val="5996FF"/>
    </a:custClr>
    <a:custClr name="Ocean50">
      <a:srgbClr val="2977FF"/>
    </a:custClr>
    <a:custClr name="Ocean60">
      <a:srgbClr val="1860F0"/>
    </a:custClr>
    <a:custClr name="Violet05">
      <a:srgbClr val="F8F7FF"/>
    </a:custClr>
    <a:custClr name="Violet10">
      <a:srgbClr val="F3F0FF"/>
    </a:custClr>
    <a:custClr name="Violet15">
      <a:srgbClr val="EFEBFF"/>
    </a:custClr>
    <a:custClr name="Violet20">
      <a:srgbClr val="E6E0FF"/>
    </a:custClr>
    <a:custClr name="Violet25">
      <a:srgbClr val="D9D1FF"/>
    </a:custClr>
    <a:custClr name="Violet30">
      <a:srgbClr val="C8BDFF"/>
    </a:custClr>
    <a:custClr name="Violet35">
      <a:srgbClr val="B7A8FF"/>
    </a:custClr>
    <a:custClr name="Violet40">
      <a:srgbClr val="9785FF"/>
    </a:custClr>
    <a:custClr name="Violet50">
      <a:srgbClr val="7D66FF"/>
    </a:custClr>
    <a:custClr name="Violet60">
      <a:srgbClr val="6855E0"/>
    </a:custClr>
  </a:custClrLst>
  <a:extLst>
    <a:ext uri="{05A4C25C-085E-4340-85A3-A5531E510DB2}">
      <thm15:themeFamily xmlns:thm15="http://schemas.microsoft.com/office/thememl/2012/main" name="Sinch" id="{5E1BD049-3579-4468-B154-67BB2FB7D7EE}" vid="{B445A52D-11C6-4972-B7D3-D2E4D773533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1" ma:contentTypeDescription="Skapa ett nytt dokument." ma:contentTypeScope="" ma:versionID="68ac65ad78ed8ad72ce0b448ad40d0f1">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ca91a0d67ff346b3fa6f7c80739792d8"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Godk_x00e4_nd"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Godk_x00e4_nd" ma:index="18" nillable="true" ma:displayName="Godkänd" ma:default="0" ma:format="Dropdown" ma:internalName="Godk_x00e4_nd">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RadioButtons" ma:internalName="Status">
      <xsd:simpleType>
        <xsd:restriction base="dms:Choice">
          <xsd:enumeration value="Klar"/>
          <xsd:enumeration value="Gör ej"/>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bb681454-5b20-4870-936e-b523090ef0fb}"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Godk_x00e4_nd xmlns="10c3a147-0d64-46aa-a281-dc97358e8373">false</Godk_x00e4_nd>
    <Status xmlns="10c3a147-0d64-46aa-a281-dc97358e8373" xsi:nil="true"/>
  </documentManagement>
</p:properties>
</file>

<file path=customXml/itemProps1.xml><?xml version="1.0" encoding="utf-8"?>
<ds:datastoreItem xmlns:ds="http://schemas.openxmlformats.org/officeDocument/2006/customXml" ds:itemID="{119EF0B7-E069-4EA9-84EB-2283053C4ACD}">
  <ds:schemaRefs>
    <ds:schemaRef ds:uri="http://schemas.openxmlformats.org/officeDocument/2006/bibliography"/>
  </ds:schemaRefs>
</ds:datastoreItem>
</file>

<file path=customXml/itemProps2.xml><?xml version="1.0" encoding="utf-8"?>
<ds:datastoreItem xmlns:ds="http://schemas.openxmlformats.org/officeDocument/2006/customXml" ds:itemID="{78DF1D40-E57A-4407-BCD5-27A941E2D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937A8C-8756-4670-A220-B5D1AF872B9F}">
  <ds:schemaRefs>
    <ds:schemaRef ds:uri="http://schemas.microsoft.com/sharepoint/v3/contenttype/forms"/>
  </ds:schemaRefs>
</ds:datastoreItem>
</file>

<file path=customXml/itemProps4.xml><?xml version="1.0" encoding="utf-8"?>
<ds:datastoreItem xmlns:ds="http://schemas.openxmlformats.org/officeDocument/2006/customXml" ds:itemID="{7DCE1F04-932E-4FB5-AE1B-8F976B8D6091}">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docProps/app.xml><?xml version="1.0" encoding="utf-8"?>
<Properties xmlns="http://schemas.openxmlformats.org/officeDocument/2006/extended-properties" xmlns:vt="http://schemas.openxmlformats.org/officeDocument/2006/docPropsVTypes">
  <Template>A4 with examples.dotx</Template>
  <TotalTime>0</TotalTime>
  <Pages>6</Pages>
  <Words>696</Words>
  <Characters>3970</Characters>
  <Application>Microsoft Office Word</Application>
  <DocSecurity>0</DocSecurity>
  <Lines>33</Lines>
  <Paragraphs>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Sinch</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Andersson</dc:creator>
  <cp:keywords/>
  <dc:description/>
  <cp:lastModifiedBy>Sara Andersson</cp:lastModifiedBy>
  <cp:revision>2</cp:revision>
  <dcterms:created xsi:type="dcterms:W3CDTF">2026-04-10T13:51:00Z</dcterms:created>
  <dcterms:modified xsi:type="dcterms:W3CDTF">2026-04-28T07:10:00Z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0x010100129BBCBF21362E4099AE6C2F27C58737</vt:lpwstr>
  </property>
  <property fmtid="{D5CDD505-2E9C-101B-9397-08002B2CF9AE}" pid="3" name="MediaServiceImageTags">
    <vt:lpwstr/>
  </property>
</Properties>
</file>