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Roleplay Scenario 1</w:t>
      </w:r>
    </w:p>
    <w:p>
      <w:pPr>
        <w:pStyle w:val="Subtitle"/>
      </w:pPr>
      <w:r>
        <w:t>Major Escalation with a Key EMEA Client</w:t>
      </w:r>
    </w:p>
    <w:p>
      <w:pPr>
        <w:jc w:val="center"/>
      </w:pPr>
      <w:r>
        <w:rPr>
          <w:color w:val="666666"/>
        </w:rPr>
        <w:t>Account: Nordea · TAM Team Lead · Escalation Handling and Procedure</w:t>
      </w:r>
    </w:p>
    <w:p>
      <w:pPr>
        <w:pStyle w:val="Heading1"/>
      </w:pPr>
      <w:r>
        <w:rPr/>
        <w:t>1. Why I have chosen Nordea</w:t>
      </w:r>
    </w:p>
    <w:p>
      <w:pPr>
        <w:jc w:val="both"/>
      </w:pPr>
      <w:r>
        <w:rPr/>
        <w:t>I have chosen Nordea, a key Nordic banking customer, because a major incident there must be handled calmly and visibly.</w:t>
      </w:r>
    </w:p>
    <w:p>
      <w:pPr>
        <w:pStyle w:val="ListBullet"/>
      </w:pPr>
      <w:r>
        <w:rPr/>
        <w:t>A flagship banking brand and an important logo for Sinch in financial services.</w:t>
      </w:r>
    </w:p>
    <w:p>
      <w:pPr>
        <w:pStyle w:val="ListBullet"/>
      </w:pPr>
      <w:r>
        <w:rPr/>
        <w:t>A high potential (HIPO), high priority account with clear room to grow.</w:t>
      </w:r>
    </w:p>
    <w:p>
      <w:pPr>
        <w:pStyle w:val="ListBullet"/>
      </w:pPr>
      <w:r>
        <w:rPr/>
        <w:t>As a regulated bank it relies on passcodes and alerts, so failures reach end customers immediately.</w:t>
      </w:r>
    </w:p>
    <w:p>
      <w:pPr>
        <w:pStyle w:val="Heading1"/>
      </w:pPr>
      <w:r>
        <w:rPr/>
        <w:t>2. How the account is set up for escalations</w:t>
      </w:r>
    </w:p>
    <w:p>
      <w:pPr>
        <w:pStyle w:val="ListBullet"/>
      </w:pPr>
      <w:r>
        <w:rPr/>
        <w:t>A dedicated TAM who knows the account and its contacts.</w:t>
      </w:r>
    </w:p>
    <w:p>
      <w:pPr>
        <w:pStyle w:val="ListBullet"/>
      </w:pPr>
      <w:r>
        <w:rPr/>
        <w:t>Covered by our enterprise SLA, with escalation documented in the Nordea handbook.</w:t>
      </w:r>
    </w:p>
    <w:p>
      <w:pPr>
        <w:pStyle w:val="ListBullet"/>
      </w:pPr>
      <w:r>
        <w:rPr/>
        <w:t>As Team Lead I support the TAM, pull in specialists, and keep senior stakeholders informed.</w:t>
      </w:r>
    </w:p>
    <w:p>
      <w:pPr>
        <w:pStyle w:val="Heading1"/>
      </w:pPr>
      <w:r>
        <w:rPr/>
        <w:t>3. Severity levels</w:t>
      </w:r>
    </w:p>
    <w:tbl>
      <w:tblPr>
        <w:tblStyle w:val="Sinch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6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6"/>
          </w:tcPr>
          <w:p>
            <w:r>
              <w:t>P1</w:t>
            </w:r>
          </w:p>
        </w:tc>
        <w:tc>
          <w:tcPr>
            <w:tcW w:type="dxa" w:w="5046"/>
          </w:tcPr>
          <w:p>
            <w:r>
              <w:t>Total loss: cannot send or receive across all providers.</w:t>
            </w:r>
          </w:p>
        </w:tc>
      </w:tr>
      <w:tr>
        <w:tc>
          <w:tcPr>
            <w:tcW w:type="dxa" w:w="5046"/>
          </w:tcPr>
          <w:p>
            <w:r>
              <w:t>P2</w:t>
            </w:r>
          </w:p>
        </w:tc>
        <w:tc>
          <w:tcPr>
            <w:tcW w:type="dxa" w:w="5046"/>
          </w:tcPr>
          <w:p>
            <w:r>
              <w:t>Partial loss: cannot send or receive on a specific provider or some networks.</w:t>
            </w:r>
          </w:p>
        </w:tc>
      </w:tr>
      <w:tr>
        <w:tc>
          <w:tcPr>
            <w:tcW w:type="dxa" w:w="5046"/>
          </w:tcPr>
          <w:p>
            <w:r>
              <w:t>P3</w:t>
            </w:r>
          </w:p>
        </w:tc>
        <w:tc>
          <w:tcPr>
            <w:tcW w:type="dxa" w:w="5046"/>
          </w:tcPr>
          <w:p>
            <w:r>
              <w:t>Degraded service below agreed throughput or latency.</w:t>
            </w:r>
          </w:p>
        </w:tc>
      </w:tr>
      <w:tr>
        <w:tc>
          <w:tcPr>
            <w:tcW w:type="dxa" w:w="5046"/>
          </w:tcPr>
          <w:p>
            <w:r>
              <w:t>P4</w:t>
            </w:r>
          </w:p>
        </w:tc>
        <w:tc>
          <w:tcPr>
            <w:tcW w:type="dxa" w:w="5046"/>
          </w:tcPr>
          <w:p>
            <w:r>
              <w:t>Non current or intermittent faults, and other requests.</w:t>
            </w:r>
          </w:p>
        </w:tc>
      </w:tr>
    </w:tbl>
    <w:p>
      <w:pPr>
        <w:jc w:val="both"/>
      </w:pPr>
    </w:p>
    <w:p>
      <w:pPr>
        <w:pStyle w:val="Heading1"/>
      </w:pPr>
      <w:r>
        <w:rPr/>
        <w:t>4. Enterprise support response and fix times (working hours)</w:t>
      </w:r>
    </w:p>
    <w:tbl>
      <w:tblPr>
        <w:tblStyle w:val="Sinch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018"/>
          </w:tcPr>
          <w:p>
            <w:r>
              <w:rPr>
                <w:b/>
              </w:rPr>
              <w:t>P1</w:t>
            </w:r>
          </w:p>
        </w:tc>
        <w:tc>
          <w:tcPr>
            <w:tcW w:type="dxa" w:w="2018"/>
          </w:tcPr>
          <w:p>
            <w:r>
              <w:rPr>
                <w:b/>
              </w:rPr>
              <w:t>P2</w:t>
            </w:r>
          </w:p>
        </w:tc>
        <w:tc>
          <w:tcPr>
            <w:tcW w:type="dxa" w:w="2018"/>
          </w:tcPr>
          <w:p>
            <w:r>
              <w:rPr>
                <w:b/>
              </w:rPr>
              <w:t>P3</w:t>
            </w:r>
          </w:p>
        </w:tc>
        <w:tc>
          <w:tcPr>
            <w:tcW w:type="dxa" w:w="2018"/>
          </w:tcPr>
          <w:p>
            <w:r>
              <w:rPr>
                <w:b/>
              </w:rPr>
              <w:t>P4</w:t>
            </w:r>
          </w:p>
        </w:tc>
      </w:tr>
      <w:tr>
        <w:tc>
          <w:tcPr>
            <w:tcW w:type="dxa" w:w="2018"/>
          </w:tcPr>
          <w:p>
            <w:r>
              <w:t>Initial response</w:t>
            </w:r>
          </w:p>
        </w:tc>
        <w:tc>
          <w:tcPr>
            <w:tcW w:type="dxa" w:w="2018"/>
          </w:tcPr>
          <w:p>
            <w:r>
              <w:t>30 minutes</w:t>
            </w:r>
          </w:p>
        </w:tc>
        <w:tc>
          <w:tcPr>
            <w:tcW w:type="dxa" w:w="2018"/>
          </w:tcPr>
          <w:p>
            <w:r>
              <w:t>1 hour</w:t>
            </w:r>
          </w:p>
        </w:tc>
        <w:tc>
          <w:tcPr>
            <w:tcW w:type="dxa" w:w="2018"/>
          </w:tcPr>
          <w:p>
            <w:r>
              <w:t>24 hours</w:t>
            </w:r>
          </w:p>
        </w:tc>
        <w:tc>
          <w:tcPr>
            <w:tcW w:type="dxa" w:w="2018"/>
          </w:tcPr>
          <w:p>
            <w:r>
              <w:t>48 hours</w:t>
            </w:r>
          </w:p>
        </w:tc>
      </w:tr>
      <w:tr>
        <w:tc>
          <w:tcPr>
            <w:tcW w:type="dxa" w:w="2018"/>
          </w:tcPr>
          <w:p>
            <w:r>
              <w:t>Target restoration</w:t>
            </w:r>
          </w:p>
        </w:tc>
        <w:tc>
          <w:tcPr>
            <w:tcW w:type="dxa" w:w="2018"/>
          </w:tcPr>
          <w:p>
            <w:r>
              <w:t>2 hours</w:t>
            </w:r>
          </w:p>
        </w:tc>
        <w:tc>
          <w:tcPr>
            <w:tcW w:type="dxa" w:w="2018"/>
          </w:tcPr>
          <w:p>
            <w:r>
              <w:t>4 hours</w:t>
            </w:r>
          </w:p>
        </w:tc>
        <w:tc>
          <w:tcPr>
            <w:tcW w:type="dxa" w:w="2018"/>
          </w:tcPr>
          <w:p>
            <w:r>
              <w:t>2 working days</w:t>
            </w:r>
          </w:p>
        </w:tc>
        <w:tc>
          <w:tcPr>
            <w:tcW w:type="dxa" w:w="2018"/>
          </w:tcPr>
          <w:p>
            <w:r>
              <w:t>7 working days</w:t>
            </w:r>
          </w:p>
        </w:tc>
      </w:tr>
      <w:tr>
        <w:tc>
          <w:tcPr>
            <w:tcW w:type="dxa" w:w="2018"/>
          </w:tcPr>
          <w:p>
            <w:r>
              <w:t>Target resolution</w:t>
            </w:r>
          </w:p>
        </w:tc>
        <w:tc>
          <w:tcPr>
            <w:tcW w:type="dxa" w:w="2018"/>
          </w:tcPr>
          <w:p>
            <w:r>
              <w:t>5 days</w:t>
            </w:r>
          </w:p>
        </w:tc>
        <w:tc>
          <w:tcPr>
            <w:tcW w:type="dxa" w:w="2018"/>
          </w:tcPr>
          <w:p>
            <w:r>
              <w:t>10 days</w:t>
            </w:r>
          </w:p>
        </w:tc>
        <w:tc>
          <w:tcPr>
            <w:tcW w:type="dxa" w:w="2018"/>
          </w:tcPr>
          <w:p>
            <w:r>
              <w:t>15 days</w:t>
            </w:r>
          </w:p>
        </w:tc>
        <w:tc>
          <w:tcPr>
            <w:tcW w:type="dxa" w:w="2018"/>
          </w:tcPr>
          <w:p>
            <w:r>
              <w:t>30 days</w:t>
            </w:r>
          </w:p>
        </w:tc>
      </w:tr>
      <w:tr>
        <w:tc>
          <w:tcPr>
            <w:tcW w:type="dxa" w:w="2018"/>
          </w:tcPr>
          <w:p>
            <w:r>
              <w:t>Progress reports</w:t>
            </w:r>
          </w:p>
        </w:tc>
        <w:tc>
          <w:tcPr>
            <w:tcW w:type="dxa" w:w="2018"/>
          </w:tcPr>
          <w:p>
            <w:r>
              <w:t>Every 60 minutes</w:t>
            </w:r>
          </w:p>
        </w:tc>
        <w:tc>
          <w:tcPr>
            <w:tcW w:type="dxa" w:w="2018"/>
          </w:tcPr>
          <w:p>
            <w:r>
              <w:t>Every 4 hours</w:t>
            </w:r>
          </w:p>
        </w:tc>
        <w:tc>
          <w:tcPr>
            <w:tcW w:type="dxa" w:w="2018"/>
          </w:tcPr>
          <w:p>
            <w:r>
              <w:t>At resolution</w:t>
            </w:r>
          </w:p>
        </w:tc>
        <w:tc>
          <w:tcPr>
            <w:tcW w:type="dxa" w:w="2018"/>
          </w:tcPr>
          <w:p>
            <w:r>
              <w:t>At resolution</w:t>
            </w:r>
          </w:p>
        </w:tc>
      </w:tr>
    </w:tbl>
    <w:p>
      <w:pPr>
        <w:jc w:val="both"/>
      </w:pPr>
    </w:p>
    <w:p>
      <w:pPr>
        <w:pStyle w:val="Heading1"/>
      </w:pPr>
      <w:r>
        <w:rPr/>
        <w:t>5. Real-time status and uptime transparency</w:t>
      </w:r>
    </w:p>
    <w:tbl>
      <w:tblPr>
        <w:tblStyle w:val="Sinch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</w:rPr>
              <w:t>Portal</w:t>
            </w:r>
          </w:p>
        </w:tc>
        <w:tc>
          <w:tcPr>
            <w:tcW w:type="dxa" w:w="3364"/>
          </w:tcPr>
          <w:p>
            <w:r>
              <w:rPr>
                <w:b/>
              </w:rPr>
              <w:t>Link</w:t>
            </w:r>
          </w:p>
        </w:tc>
        <w:tc>
          <w:tcPr>
            <w:tcW w:type="dxa" w:w="3364"/>
          </w:tcPr>
          <w:p>
            <w:r>
              <w:rPr>
                <w:b/>
              </w:rPr>
              <w:t>What it gives Nordea</w:t>
            </w:r>
          </w:p>
        </w:tc>
      </w:tr>
      <w:tr>
        <w:tc>
          <w:tcPr>
            <w:tcW w:type="dxa" w:w="3364"/>
          </w:tcPr>
          <w:p>
            <w:r>
              <w:t>Real-time status</w:t>
            </w:r>
          </w:p>
        </w:tc>
        <w:tc>
          <w:tcPr>
            <w:tcW w:type="dxa" w:w="3364"/>
          </w:tcPr>
          <w:p>
            <w:r>
              <w:t>status.sinch.com</w:t>
            </w:r>
          </w:p>
        </w:tc>
        <w:tc>
          <w:tcPr>
            <w:tcW w:type="dxa" w:w="3364"/>
          </w:tcPr>
          <w:p>
            <w:r>
              <w:t>Live health, scope of impact, and progress during a disruption.</w:t>
            </w:r>
          </w:p>
        </w:tc>
      </w:tr>
      <w:tr>
        <w:tc>
          <w:tcPr>
            <w:tcW w:type="dxa" w:w="3364"/>
          </w:tcPr>
          <w:p>
            <w:r>
              <w:t>Uptime history</w:t>
            </w:r>
          </w:p>
        </w:tc>
        <w:tc>
          <w:tcPr>
            <w:tcW w:type="dxa" w:w="3364"/>
          </w:tcPr>
          <w:p>
            <w:r>
              <w:t>monitor.sinch.com</w:t>
            </w:r>
          </w:p>
        </w:tc>
        <w:tc>
          <w:tcPr>
            <w:tcW w:type="dxa" w:w="3364"/>
          </w:tcPr>
          <w:p>
            <w:r>
              <w:t>Long term uptime and our track record.</w:t>
            </w:r>
          </w:p>
        </w:tc>
      </w:tr>
    </w:tbl>
    <w:p>
      <w:pPr>
        <w:jc w:val="both"/>
      </w:pPr>
    </w:p>
    <w:p>
      <w:pPr>
        <w:pStyle w:val="Heading1"/>
      </w:pPr>
      <w:r>
        <w:rPr/>
        <w:t>6. The escalation in this scenario</w:t>
      </w:r>
    </w:p>
    <w:p>
      <w:pPr>
        <w:jc w:val="both"/>
      </w:pPr>
      <w:r>
        <w:rPr/>
        <w:t>The incident was a number lookup and delivery issue to Norway and Finland for ported numbers, with passcodes and alerts failing or delayed. Limited to ported numbers in two markets, it was a P2 pointing to an upstream supplier or routing problem, not a full outage.</w:t>
      </w:r>
    </w:p>
    <w:p>
      <w:pPr>
        <w:pStyle w:val="Heading1"/>
      </w:pPr>
      <w:r>
        <w:rPr/>
        <w:t>7. Step-by-step escalation procedure</w:t>
      </w:r>
    </w:p>
    <w:p>
      <w:pPr>
        <w:pStyle w:val="ListNumber"/>
      </w:pPr>
      <w:r>
        <w:rPr/>
        <w:t>Acknowledge within SLA, log at P2, and set expectations.</w:t>
      </w:r>
    </w:p>
    <w:p>
      <w:pPr>
        <w:pStyle w:val="ListNumber"/>
      </w:pPr>
      <w:r>
        <w:rPr/>
        <w:t>Troubleshoot and scope: gather ranges, timestamps, error codes, and message IDs.</w:t>
      </w:r>
    </w:p>
    <w:p>
      <w:pPr>
        <w:pStyle w:val="ListNumber"/>
      </w:pPr>
      <w:r>
        <w:rPr/>
        <w:t>Identify the cause and put an interim workaround such as alternative routing in place.</w:t>
      </w:r>
    </w:p>
    <w:p>
      <w:pPr>
        <w:pStyle w:val="ListNumber"/>
      </w:pPr>
      <w:r>
        <w:rPr/>
        <w:t>Bring in the right teams (Service Operations, Product, development, TOC) and raise severity if needed.</w:t>
      </w:r>
    </w:p>
    <w:p>
      <w:pPr>
        <w:pStyle w:val="ListNumber"/>
      </w:pPr>
      <w:r>
        <w:rPr/>
        <w:t>Escalate to the supplier in parallel while keeping ownership of the relationship.</w:t>
      </w:r>
    </w:p>
    <w:p>
      <w:pPr>
        <w:pStyle w:val="ListNumber"/>
      </w:pPr>
      <w:r>
        <w:rPr/>
        <w:t>Update Nordea every four hours until restoration, even with no change.</w:t>
      </w:r>
    </w:p>
    <w:p>
      <w:pPr>
        <w:pStyle w:val="ListNumber"/>
      </w:pPr>
      <w:r>
        <w:rPr/>
        <w:t>Restore with a workaround first, then deliver the full fix within SLA.</w:t>
      </w:r>
    </w:p>
    <w:p>
      <w:pPr>
        <w:pStyle w:val="ListNumber"/>
      </w:pPr>
      <w:r>
        <w:rPr/>
        <w:t>Run a PIR and deliver a written RCA (section 9).</w:t>
      </w:r>
    </w:p>
    <w:p>
      <w:pPr>
        <w:pStyle w:val="ListNumber"/>
      </w:pPr>
      <w:r>
        <w:rPr/>
        <w:t>Close all actions, add monitoring where it helps, and document for training.</w:t>
      </w:r>
    </w:p>
    <w:p>
      <w:pPr>
        <w:pStyle w:val="Heading1"/>
      </w:pPr>
      <w:r>
        <w:rPr/>
        <w:t>8. Restoring client confidence</w:t>
      </w:r>
    </w:p>
    <w:tbl>
      <w:tblPr>
        <w:tblStyle w:val="Sinch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5046"/>
          </w:tcPr>
          <w:p>
            <w:r>
              <w:rPr>
                <w:b/>
              </w:rPr>
              <w:t>What I do</w:t>
            </w:r>
          </w:p>
        </w:tc>
      </w:tr>
      <w:tr>
        <w:tc>
          <w:tcPr>
            <w:tcW w:type="dxa" w:w="5046"/>
          </w:tcPr>
          <w:p>
            <w:r>
              <w:t>Restore service first</w:t>
            </w:r>
          </w:p>
        </w:tc>
        <w:tc>
          <w:tcPr>
            <w:tcW w:type="dxa" w:w="5046"/>
          </w:tcPr>
          <w:p>
            <w:r>
              <w:t>The immediate priority is getting Nordea sending again.</w:t>
            </w:r>
          </w:p>
        </w:tc>
      </w:tr>
      <w:tr>
        <w:tc>
          <w:tcPr>
            <w:tcW w:type="dxa" w:w="5046"/>
          </w:tcPr>
          <w:p>
            <w:r>
              <w:t>Single point of contact</w:t>
            </w:r>
          </w:p>
        </w:tc>
        <w:tc>
          <w:tcPr>
            <w:tcW w:type="dxa" w:w="5046"/>
          </w:tcPr>
          <w:p>
            <w:r>
              <w:t>The TAM owns the message, so Nordea never chases several people.</w:t>
            </w:r>
          </w:p>
        </w:tc>
      </w:tr>
      <w:tr>
        <w:tc>
          <w:tcPr>
            <w:tcW w:type="dxa" w:w="5046"/>
          </w:tcPr>
          <w:p>
            <w:r>
              <w:t>Honest, proactive updates</w:t>
            </w:r>
          </w:p>
        </w:tc>
        <w:tc>
          <w:tcPr>
            <w:tcW w:type="dxa" w:w="5046"/>
          </w:tcPr>
          <w:p>
            <w:r>
              <w:t>Straight answers at the agreed cadence, with senior ownership when it matters.</w:t>
            </w:r>
          </w:p>
        </w:tc>
      </w:tr>
      <w:tr>
        <w:tc>
          <w:tcPr>
            <w:tcW w:type="dxa" w:w="5046"/>
          </w:tcPr>
          <w:p>
            <w:r>
              <w:t>Credible follow through</w:t>
            </w:r>
          </w:p>
        </w:tc>
        <w:tc>
          <w:tcPr>
            <w:tcW w:type="dxa" w:w="5046"/>
          </w:tcPr>
          <w:p>
            <w:r>
              <w:t>A clear RCA, preventative actions, and every action closed.</w:t>
            </w:r>
          </w:p>
        </w:tc>
      </w:tr>
    </w:tbl>
    <w:p>
      <w:pPr>
        <w:jc w:val="both"/>
      </w:pPr>
    </w:p>
    <w:p>
      <w:pPr>
        <w:pStyle w:val="Heading1"/>
      </w:pPr>
      <w:r>
        <w:rPr/>
        <w:t>9. Post-Incident Review and Root Cause Analysis</w:t>
      </w:r>
    </w:p>
    <w:tbl>
      <w:tblPr>
        <w:tblStyle w:val="Sinch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Report component</w:t>
            </w:r>
          </w:p>
        </w:tc>
        <w:tc>
          <w:tcPr>
            <w:tcW w:type="dxa" w:w="5046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5046"/>
          </w:tcPr>
          <w:p>
            <w:r>
              <w:t>Incident summary</w:t>
            </w:r>
          </w:p>
        </w:tc>
        <w:tc>
          <w:tcPr>
            <w:tcW w:type="dxa" w:w="5046"/>
          </w:tcPr>
          <w:p>
            <w:r>
              <w:t>What happened, the duration, and how it was resolved.</w:t>
            </w:r>
          </w:p>
        </w:tc>
      </w:tr>
      <w:tr>
        <w:tc>
          <w:tcPr>
            <w:tcW w:type="dxa" w:w="5046"/>
          </w:tcPr>
          <w:p>
            <w:r>
              <w:t>Business impact</w:t>
            </w:r>
          </w:p>
        </w:tc>
        <w:tc>
          <w:tcPr>
            <w:tcW w:type="dxa" w:w="5046"/>
          </w:tcPr>
          <w:p>
            <w:r>
              <w:t>An honest assessment of affected services and scope.</w:t>
            </w:r>
          </w:p>
        </w:tc>
      </w:tr>
      <w:tr>
        <w:tc>
          <w:tcPr>
            <w:tcW w:type="dxa" w:w="5046"/>
          </w:tcPr>
          <w:p>
            <w:r>
              <w:t>Event timeline</w:t>
            </w:r>
          </w:p>
        </w:tc>
        <w:tc>
          <w:tcPr>
            <w:tcW w:type="dxa" w:w="5046"/>
          </w:tcPr>
          <w:p>
            <w:r>
              <w:t>Detection through to the final corrective actions.</w:t>
            </w:r>
          </w:p>
        </w:tc>
      </w:tr>
      <w:tr>
        <w:tc>
          <w:tcPr>
            <w:tcW w:type="dxa" w:w="5046"/>
          </w:tcPr>
          <w:p>
            <w:r>
              <w:t>Root cause and prevention</w:t>
            </w:r>
          </w:p>
        </w:tc>
        <w:tc>
          <w:tcPr>
            <w:tcW w:type="dxa" w:w="5046"/>
          </w:tcPr>
          <w:p>
            <w:r>
              <w:t>The root cause and the measures to stop a repeat.</w:t>
            </w:r>
          </w:p>
        </w:tc>
      </w:tr>
    </w:tbl>
    <w:p>
      <w:pPr>
        <w:jc w:val="both"/>
      </w:pPr>
    </w:p>
    <w:p>
      <w:pPr>
        <w:pStyle w:val="Heading1"/>
      </w:pPr>
      <w:r>
        <w:rPr/>
        <w:t>10. Lessons learned and continuous improvement</w:t>
      </w:r>
    </w:p>
    <w:p>
      <w:pPr>
        <w:pStyle w:val="ListBullet"/>
      </w:pPr>
      <w:r>
        <w:rPr/>
        <w:t>Add proactive monitoring and alerting on ported routes for NO and FI.</w:t>
      </w:r>
    </w:p>
    <w:p>
      <w:pPr>
        <w:pStyle w:val="ListBullet"/>
      </w:pPr>
      <w:r>
        <w:rPr/>
        <w:t>Feed supplier or recurring issues back to Product and Service Operations, and use it for training.</w:t>
      </w:r>
    </w:p>
    <w:p>
      <w:pPr>
        <w:pStyle w:val="Heading1"/>
      </w:pPr>
      <w:r>
        <w:rPr/>
        <w:t>11. What good looks like</w:t>
      </w:r>
    </w:p>
    <w:p>
      <w:pPr>
        <w:pStyle w:val="ListBullet"/>
      </w:pPr>
      <w:r>
        <w:rPr/>
        <w:t>Service restored within or faster than SLA.</w:t>
      </w:r>
    </w:p>
    <w:p>
      <w:pPr>
        <w:pStyle w:val="ListBullet"/>
      </w:pPr>
      <w:r>
        <w:rPr/>
        <w:t>Nordea kept informed, with no need to chase.</w:t>
      </w:r>
    </w:p>
    <w:p>
      <w:pPr>
        <w:pStyle w:val="ListBullet"/>
      </w:pPr>
      <w:r>
        <w:rPr/>
        <w:t>A clear RCA, all actions closed, and confidence maintained or strengthened.</w:t>
      </w:r>
    </w:p>
    <w:p>
      <w:pPr>
        <w:pStyle w:val="Heading1"/>
      </w:pPr>
      <w:r>
        <w:rPr/>
        <w:t>12. How I would frame it to Nordea</w:t>
      </w:r>
    </w:p>
    <w:p>
      <w:pPr>
        <w:pStyle w:val="ListBullet"/>
      </w:pPr>
      <w:r>
        <w:rPr/>
        <w:t>During: "Logged as a priority, the team is on it, and I will update you every four hours until service is back."</w:t>
      </w:r>
    </w:p>
    <w:p>
      <w:pPr>
        <w:pStyle w:val="ListBullet"/>
      </w:pPr>
      <w:r>
        <w:rPr/>
        <w:t>On a workaround: "We have a workaround restoring delivery now, while we complete the permanent fix with our supplier."</w:t>
      </w:r>
    </w:p>
    <w:p>
      <w:pPr>
        <w:pStyle w:val="ListBullet"/>
      </w:pPr>
      <w:r>
        <w:rPr/>
        <w:t>After: "Service is stable. You will get a full RCA, and I will walk you through how we prevent a repeat."</w:t>
      </w:r>
    </w:p>
    <w:sectPr w:rsidR="00686900" w:rsidRPr="0048725A" w:rsidSect="00EE4C53">
      <w:headerReference w:type="default" r:id="rId19"/>
      <w:footerReference w:type="default" r:id="rId20"/>
      <w:headerReference w:type="first" r:id="rId21"/>
      <w:pgSz w:w="11906" w:h="16838"/>
      <w:pgMar w:top="1293" w:right="907" w:bottom="907" w:left="907" w:header="283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0469" w14:textId="77777777" w:rsidR="00E84D79" w:rsidRDefault="00E84D79" w:rsidP="00813C78">
      <w:pPr>
        <w:spacing w:after="0"/>
      </w:pPr>
      <w:r>
        <w:separator/>
      </w:r>
    </w:p>
  </w:endnote>
  <w:endnote w:type="continuationSeparator" w:id="0">
    <w:p w14:paraId="291B335E" w14:textId="77777777" w:rsidR="00E84D79" w:rsidRDefault="00E84D79" w:rsidP="00813C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ost Grotesk">
    <w:altName w:val="Calibri"/>
    <w:panose1 w:val="020B0504030402000203"/>
    <w:charset w:val="4D"/>
    <w:family w:val="swiss"/>
    <w:pitch w:val="variable"/>
    <w:sig w:usb0="A00000FF" w:usb1="4000206B" w:usb2="00000000" w:usb3="00000000" w:csb0="00000093" w:csb1="00000000"/>
  </w:font>
  <w:font w:name="Host Grotesk SemiBold">
    <w:altName w:val="Calibri"/>
    <w:panose1 w:val="020B0504030402000203"/>
    <w:charset w:val="4D"/>
    <w:family w:val="swiss"/>
    <w:pitch w:val="variable"/>
    <w:sig w:usb0="A00000FF" w:usb1="4000206B" w:usb2="00000000" w:usb3="00000000" w:csb0="00000093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M Sans 14pt Medium">
    <w:altName w:val="Calibri"/>
    <w:charset w:val="4D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2B43" w14:textId="77777777" w:rsidR="00813C78" w:rsidRPr="00CC6FC4" w:rsidRDefault="00890ED1" w:rsidP="00CC6FC4">
    <w:pPr>
      <w:pStyle w:val="Footer"/>
    </w:pPr>
    <w:r w:rsidRPr="00890ED1">
      <w:rPr>
        <w:color w:val="7F7F7F" w:themeColor="text1" w:themeTint="80"/>
      </w:rPr>
      <w:t>©2026 Sinch</w:t>
    </w:r>
    <w:r>
      <w:tab/>
    </w:r>
    <w:r w:rsidRPr="00CC6FC4">
      <w:fldChar w:fldCharType="begin"/>
    </w:r>
    <w:r w:rsidRPr="00CC6FC4">
      <w:instrText>PAGE   \* MERGEFORMAT</w:instrText>
    </w:r>
    <w:r w:rsidRPr="00CC6FC4">
      <w:fldChar w:fldCharType="separate"/>
    </w:r>
    <w:r>
      <w:t>1</w:t>
    </w:r>
    <w:r w:rsidRPr="00CC6FC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F7A4" w14:textId="77777777" w:rsidR="00E84D79" w:rsidRDefault="00E84D79" w:rsidP="00813C78">
      <w:pPr>
        <w:spacing w:after="0"/>
      </w:pPr>
      <w:r>
        <w:separator/>
      </w:r>
    </w:p>
  </w:footnote>
  <w:footnote w:type="continuationSeparator" w:id="0">
    <w:p w14:paraId="5D13BBD2" w14:textId="77777777" w:rsidR="00E84D79" w:rsidRDefault="00E84D79" w:rsidP="00813C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4D00" w14:textId="77777777" w:rsidR="00813C78" w:rsidRPr="00C253E4" w:rsidRDefault="00CC6FC4" w:rsidP="00C253E4">
    <w:pPr>
      <w:pStyle w:val="Header"/>
    </w:pPr>
    <w:r>
      <w:rPr>
        <w:noProof/>
      </w:rPr>
      <w:drawing>
        <wp:inline distT="0" distB="0" distL="0" distR="0" wp14:anchorId="34CFECB5" wp14:editId="61DB8894">
          <wp:extent cx="737420" cy="154344"/>
          <wp:effectExtent l="0" t="0" r="5715" b="0"/>
          <wp:docPr id="2038863578" name="Graphic 20388635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Graphic 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420" cy="154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CAAF" w14:textId="77777777" w:rsidR="00EE4C53" w:rsidRDefault="00EE4C53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18CF2CDD" wp14:editId="5870A618">
          <wp:simplePos x="0" y="0"/>
          <wp:positionH relativeFrom="page">
            <wp:posOffset>342265</wp:posOffset>
          </wp:positionH>
          <wp:positionV relativeFrom="page">
            <wp:posOffset>342265</wp:posOffset>
          </wp:positionV>
          <wp:extent cx="1594800" cy="334800"/>
          <wp:effectExtent l="0" t="0" r="5715" b="8255"/>
          <wp:wrapNone/>
          <wp:docPr id="815323481" name="Graphic 815323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Graphic 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800" cy="33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DM Sans 14pt Medium" w:hAnsi="DM Sans 14pt Medium"/>
        <w:smallCaps/>
        <w:noProof/>
        <w:spacing w:val="10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04927C79" wp14:editId="55C84E6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272000" cy="10404000"/>
              <wp:effectExtent l="0" t="0" r="5715" b="0"/>
              <wp:wrapNone/>
              <wp:docPr id="1986463636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2000" cy="10404000"/>
                      </a:xfrm>
                      <a:prstGeom prst="roundRect">
                        <a:avLst>
                          <a:gd name="adj" fmla="val 4901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EEE65F" id="Rounded Rectangle 4" o:spid="_x0000_s1026" style="position:absolute;margin-left:0;margin-top:0;width:572.6pt;height:819.2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" fillcolor="#fff6b3 [3205]" stroked="f" strokeweight="1pt">
              <v:stroke joinstyle="miter"/>
              <w10:wrap anchorx="page" anchory="page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B2E4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940A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5C60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C229F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D1485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4ACB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A1AF7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5AA0F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BCC4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9E9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412B46"/>
    <w:multiLevelType w:val="multilevel"/>
    <w:tmpl w:val="B8CAC588"/>
    <w:lvl w:ilvl="0">
      <w:start w:val="1"/>
      <w:numFmt w:val="decimal"/>
      <w:pStyle w:val="Noter"/>
      <w:suff w:val="space"/>
      <w:lvlText w:val="Not 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6B4260A"/>
    <w:multiLevelType w:val="multilevel"/>
    <w:tmpl w:val="85BE364E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•"/>
      <w:lvlJc w:val="left"/>
      <w:pPr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•"/>
      <w:lvlJc w:val="left"/>
      <w:pPr>
        <w:ind w:left="1071" w:hanging="35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•"/>
      <w:lvlJc w:val="left"/>
      <w:pPr>
        <w:ind w:left="1428" w:hanging="35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•"/>
      <w:lvlJc w:val="left"/>
      <w:pPr>
        <w:ind w:left="1785" w:hanging="357"/>
      </w:pPr>
      <w:rPr>
        <w:rFonts w:ascii="Calibri" w:hAnsi="Calibri" w:hint="default"/>
        <w:color w:val="auto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4A6A0756"/>
    <w:multiLevelType w:val="hybridMultilevel"/>
    <w:tmpl w:val="4B78BF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C16EE"/>
    <w:multiLevelType w:val="multilevel"/>
    <w:tmpl w:val="9DB227C6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ListNumber4"/>
      <w:lvlText w:val="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pStyle w:val="ListNumber5"/>
      <w:lvlText w:val="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num w:numId="1" w16cid:durableId="76637706">
    <w:abstractNumId w:val="11"/>
  </w:num>
  <w:num w:numId="2" w16cid:durableId="766777609">
    <w:abstractNumId w:val="7"/>
  </w:num>
  <w:num w:numId="3" w16cid:durableId="1532498267">
    <w:abstractNumId w:val="6"/>
  </w:num>
  <w:num w:numId="4" w16cid:durableId="320929972">
    <w:abstractNumId w:val="5"/>
  </w:num>
  <w:num w:numId="5" w16cid:durableId="1199590138">
    <w:abstractNumId w:val="4"/>
  </w:num>
  <w:num w:numId="6" w16cid:durableId="1949000127">
    <w:abstractNumId w:val="13"/>
  </w:num>
  <w:num w:numId="7" w16cid:durableId="156461084">
    <w:abstractNumId w:val="3"/>
  </w:num>
  <w:num w:numId="8" w16cid:durableId="1680738018">
    <w:abstractNumId w:val="2"/>
  </w:num>
  <w:num w:numId="9" w16cid:durableId="988361324">
    <w:abstractNumId w:val="1"/>
  </w:num>
  <w:num w:numId="10" w16cid:durableId="525868491">
    <w:abstractNumId w:val="0"/>
  </w:num>
  <w:num w:numId="11" w16cid:durableId="249076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37335946">
    <w:abstractNumId w:val="10"/>
  </w:num>
  <w:num w:numId="13" w16cid:durableId="1364133316">
    <w:abstractNumId w:val="8"/>
  </w:num>
  <w:num w:numId="14" w16cid:durableId="9959566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8678430">
    <w:abstractNumId w:val="12"/>
  </w:num>
  <w:num w:numId="16" w16cid:durableId="76784877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C3"/>
    <w:rsid w:val="00000EDB"/>
    <w:rsid w:val="00005105"/>
    <w:rsid w:val="00005C4C"/>
    <w:rsid w:val="00007106"/>
    <w:rsid w:val="0004686E"/>
    <w:rsid w:val="00056EF3"/>
    <w:rsid w:val="00057E72"/>
    <w:rsid w:val="00065357"/>
    <w:rsid w:val="0007640B"/>
    <w:rsid w:val="00082656"/>
    <w:rsid w:val="000906CD"/>
    <w:rsid w:val="00091F57"/>
    <w:rsid w:val="000A4A20"/>
    <w:rsid w:val="000B1DB5"/>
    <w:rsid w:val="000C399A"/>
    <w:rsid w:val="000D01A8"/>
    <w:rsid w:val="000E3A6E"/>
    <w:rsid w:val="00116FFD"/>
    <w:rsid w:val="00120B88"/>
    <w:rsid w:val="00122958"/>
    <w:rsid w:val="001237B7"/>
    <w:rsid w:val="001273FE"/>
    <w:rsid w:val="00132596"/>
    <w:rsid w:val="00161F30"/>
    <w:rsid w:val="00165BF2"/>
    <w:rsid w:val="0018660C"/>
    <w:rsid w:val="00190A59"/>
    <w:rsid w:val="001B132A"/>
    <w:rsid w:val="001B33C1"/>
    <w:rsid w:val="001C1201"/>
    <w:rsid w:val="001D27C3"/>
    <w:rsid w:val="001D555E"/>
    <w:rsid w:val="001E1678"/>
    <w:rsid w:val="001E6018"/>
    <w:rsid w:val="001F02E0"/>
    <w:rsid w:val="001F1063"/>
    <w:rsid w:val="001F3C23"/>
    <w:rsid w:val="001F4F44"/>
    <w:rsid w:val="001F538F"/>
    <w:rsid w:val="002070AA"/>
    <w:rsid w:val="00210610"/>
    <w:rsid w:val="0021177E"/>
    <w:rsid w:val="00215DF1"/>
    <w:rsid w:val="0023757D"/>
    <w:rsid w:val="0026632D"/>
    <w:rsid w:val="00266D13"/>
    <w:rsid w:val="0028326C"/>
    <w:rsid w:val="00287CDC"/>
    <w:rsid w:val="002918EE"/>
    <w:rsid w:val="002D3705"/>
    <w:rsid w:val="002F01CF"/>
    <w:rsid w:val="002F2AE6"/>
    <w:rsid w:val="0030643B"/>
    <w:rsid w:val="00307817"/>
    <w:rsid w:val="00331D76"/>
    <w:rsid w:val="00337712"/>
    <w:rsid w:val="00362CE7"/>
    <w:rsid w:val="003704AE"/>
    <w:rsid w:val="00392A8C"/>
    <w:rsid w:val="0039506D"/>
    <w:rsid w:val="0039558E"/>
    <w:rsid w:val="003B06DA"/>
    <w:rsid w:val="003B39EA"/>
    <w:rsid w:val="003E145B"/>
    <w:rsid w:val="003F1D59"/>
    <w:rsid w:val="003F763F"/>
    <w:rsid w:val="004025B2"/>
    <w:rsid w:val="00410041"/>
    <w:rsid w:val="00411BEE"/>
    <w:rsid w:val="00415525"/>
    <w:rsid w:val="004216EA"/>
    <w:rsid w:val="00423F0E"/>
    <w:rsid w:val="0042445E"/>
    <w:rsid w:val="00443F65"/>
    <w:rsid w:val="0045517A"/>
    <w:rsid w:val="0045790E"/>
    <w:rsid w:val="0047256F"/>
    <w:rsid w:val="00474955"/>
    <w:rsid w:val="004759F0"/>
    <w:rsid w:val="0048725A"/>
    <w:rsid w:val="004B0468"/>
    <w:rsid w:val="004C1AF0"/>
    <w:rsid w:val="004C2DA2"/>
    <w:rsid w:val="004E37D9"/>
    <w:rsid w:val="004E4394"/>
    <w:rsid w:val="005140B3"/>
    <w:rsid w:val="00532A26"/>
    <w:rsid w:val="00565454"/>
    <w:rsid w:val="00577867"/>
    <w:rsid w:val="0059027C"/>
    <w:rsid w:val="005A6B51"/>
    <w:rsid w:val="005B20C0"/>
    <w:rsid w:val="005C1F60"/>
    <w:rsid w:val="005D1020"/>
    <w:rsid w:val="005D1754"/>
    <w:rsid w:val="005E7931"/>
    <w:rsid w:val="00610330"/>
    <w:rsid w:val="00651E32"/>
    <w:rsid w:val="006645CE"/>
    <w:rsid w:val="00665E09"/>
    <w:rsid w:val="00672837"/>
    <w:rsid w:val="0068170C"/>
    <w:rsid w:val="00686900"/>
    <w:rsid w:val="006877D9"/>
    <w:rsid w:val="0069113E"/>
    <w:rsid w:val="006970A9"/>
    <w:rsid w:val="006970C3"/>
    <w:rsid w:val="006A2145"/>
    <w:rsid w:val="006B1A59"/>
    <w:rsid w:val="006C7054"/>
    <w:rsid w:val="006E25FB"/>
    <w:rsid w:val="00707442"/>
    <w:rsid w:val="007154D1"/>
    <w:rsid w:val="007234D4"/>
    <w:rsid w:val="00730649"/>
    <w:rsid w:val="007655AE"/>
    <w:rsid w:val="00796D7F"/>
    <w:rsid w:val="007A36E7"/>
    <w:rsid w:val="007A6DB7"/>
    <w:rsid w:val="007B28B6"/>
    <w:rsid w:val="007C51FA"/>
    <w:rsid w:val="007D3721"/>
    <w:rsid w:val="007D69F8"/>
    <w:rsid w:val="007F0BDB"/>
    <w:rsid w:val="007F19CC"/>
    <w:rsid w:val="007F73A3"/>
    <w:rsid w:val="0080294E"/>
    <w:rsid w:val="008123E2"/>
    <w:rsid w:val="0081356F"/>
    <w:rsid w:val="00813C78"/>
    <w:rsid w:val="008325A0"/>
    <w:rsid w:val="008351D1"/>
    <w:rsid w:val="0083763D"/>
    <w:rsid w:val="00837E9B"/>
    <w:rsid w:val="008409B1"/>
    <w:rsid w:val="008412F7"/>
    <w:rsid w:val="00846FA7"/>
    <w:rsid w:val="00864373"/>
    <w:rsid w:val="00890ED1"/>
    <w:rsid w:val="00897370"/>
    <w:rsid w:val="008A214B"/>
    <w:rsid w:val="008C4E7A"/>
    <w:rsid w:val="008C6F7C"/>
    <w:rsid w:val="008E09F4"/>
    <w:rsid w:val="008F1CF0"/>
    <w:rsid w:val="008F4511"/>
    <w:rsid w:val="008F4DE2"/>
    <w:rsid w:val="0090694B"/>
    <w:rsid w:val="009163BD"/>
    <w:rsid w:val="00921949"/>
    <w:rsid w:val="009305B4"/>
    <w:rsid w:val="009307FA"/>
    <w:rsid w:val="00963AEA"/>
    <w:rsid w:val="00964EB5"/>
    <w:rsid w:val="00970DD0"/>
    <w:rsid w:val="009712DF"/>
    <w:rsid w:val="00995220"/>
    <w:rsid w:val="009C460A"/>
    <w:rsid w:val="009E567D"/>
    <w:rsid w:val="00A06756"/>
    <w:rsid w:val="00A07663"/>
    <w:rsid w:val="00A17BED"/>
    <w:rsid w:val="00A23E60"/>
    <w:rsid w:val="00A26F25"/>
    <w:rsid w:val="00A30419"/>
    <w:rsid w:val="00A51E2D"/>
    <w:rsid w:val="00A51F48"/>
    <w:rsid w:val="00A60C05"/>
    <w:rsid w:val="00A67006"/>
    <w:rsid w:val="00AA0CF0"/>
    <w:rsid w:val="00AC61D2"/>
    <w:rsid w:val="00AE4EE9"/>
    <w:rsid w:val="00AE7F9A"/>
    <w:rsid w:val="00AF1B26"/>
    <w:rsid w:val="00B0401F"/>
    <w:rsid w:val="00B3204A"/>
    <w:rsid w:val="00B508DA"/>
    <w:rsid w:val="00B521C1"/>
    <w:rsid w:val="00B723E3"/>
    <w:rsid w:val="00B75B8F"/>
    <w:rsid w:val="00B77416"/>
    <w:rsid w:val="00B87236"/>
    <w:rsid w:val="00C1030C"/>
    <w:rsid w:val="00C21573"/>
    <w:rsid w:val="00C253E4"/>
    <w:rsid w:val="00C27E1D"/>
    <w:rsid w:val="00C35F11"/>
    <w:rsid w:val="00C37890"/>
    <w:rsid w:val="00C546FB"/>
    <w:rsid w:val="00C650A9"/>
    <w:rsid w:val="00C759BF"/>
    <w:rsid w:val="00C81B12"/>
    <w:rsid w:val="00C83051"/>
    <w:rsid w:val="00C86347"/>
    <w:rsid w:val="00C94893"/>
    <w:rsid w:val="00CB1DF5"/>
    <w:rsid w:val="00CC6FC4"/>
    <w:rsid w:val="00D02E79"/>
    <w:rsid w:val="00D062E2"/>
    <w:rsid w:val="00D109B4"/>
    <w:rsid w:val="00D575C0"/>
    <w:rsid w:val="00D77C15"/>
    <w:rsid w:val="00D81D4E"/>
    <w:rsid w:val="00D97A27"/>
    <w:rsid w:val="00DB5618"/>
    <w:rsid w:val="00DB5FE8"/>
    <w:rsid w:val="00DC0099"/>
    <w:rsid w:val="00DC029C"/>
    <w:rsid w:val="00DC03C5"/>
    <w:rsid w:val="00DC6916"/>
    <w:rsid w:val="00DC7A44"/>
    <w:rsid w:val="00E15D18"/>
    <w:rsid w:val="00E334DF"/>
    <w:rsid w:val="00E35AA1"/>
    <w:rsid w:val="00E51924"/>
    <w:rsid w:val="00E61AE1"/>
    <w:rsid w:val="00E84D79"/>
    <w:rsid w:val="00EA4841"/>
    <w:rsid w:val="00EB1D14"/>
    <w:rsid w:val="00EB32DC"/>
    <w:rsid w:val="00EB7B61"/>
    <w:rsid w:val="00EC1546"/>
    <w:rsid w:val="00EE4C53"/>
    <w:rsid w:val="00F00E70"/>
    <w:rsid w:val="00F15141"/>
    <w:rsid w:val="00F227CD"/>
    <w:rsid w:val="00F27CCF"/>
    <w:rsid w:val="00F53BD0"/>
    <w:rsid w:val="00F8298C"/>
    <w:rsid w:val="00FA2607"/>
    <w:rsid w:val="00FB2AA5"/>
    <w:rsid w:val="00FC7CB1"/>
    <w:rsid w:val="00FD26F0"/>
    <w:rsid w:val="00FF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F35A6"/>
  <w15:chartTrackingRefBased/>
  <w15:docId w15:val="{B48626D2-8AB2-42A1-B937-B2C511EE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annotation text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Title" w:uiPriority="10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iPriority="98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78"/>
  </w:style>
  <w:style w:type="paragraph" w:styleId="Heading1">
    <w:name w:val="heading 1"/>
    <w:basedOn w:val="Normal"/>
    <w:next w:val="Normal"/>
    <w:link w:val="Heading1Char"/>
    <w:uiPriority w:val="9"/>
    <w:qFormat/>
    <w:rsid w:val="008325A0"/>
    <w:pPr>
      <w:keepNext/>
      <w:keepLines/>
      <w:spacing w:before="520" w:after="260"/>
      <w:outlineLvl w:val="0"/>
    </w:pPr>
    <w:rPr>
      <w:rFonts w:asciiTheme="majorHAnsi" w:eastAsiaTheme="majorEastAsia" w:hAnsiTheme="majorHAnsi" w:cstheme="majorBidi"/>
      <w:spacing w:val="-14"/>
      <w:sz w:val="36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8325A0"/>
    <w:pPr>
      <w:spacing w:after="220"/>
      <w:outlineLvl w:val="1"/>
    </w:pPr>
    <w:rPr>
      <w:spacing w:val="-10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8325A0"/>
    <w:pPr>
      <w:spacing w:before="460" w:after="160"/>
      <w:outlineLvl w:val="2"/>
    </w:pPr>
    <w:rPr>
      <w:spacing w:val="-6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091F57"/>
    <w:pPr>
      <w:spacing w:before="360" w:after="80"/>
      <w:outlineLvl w:val="3"/>
    </w:pPr>
    <w:rPr>
      <w:iCs/>
      <w:spacing w:val="0"/>
      <w:sz w:val="22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091F57"/>
    <w:pPr>
      <w:outlineLvl w:val="4"/>
    </w:pPr>
    <w:rPr>
      <w:sz w:val="20"/>
    </w:rPr>
  </w:style>
  <w:style w:type="paragraph" w:styleId="Heading6">
    <w:name w:val="heading 6"/>
    <w:basedOn w:val="Heading5"/>
    <w:next w:val="Normal"/>
    <w:link w:val="Heading6Char"/>
    <w:uiPriority w:val="9"/>
    <w:semiHidden/>
    <w:rsid w:val="005B20C0"/>
    <w:p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uiPriority w:val="9"/>
    <w:semiHidden/>
    <w:rsid w:val="003B06DA"/>
    <w:pPr>
      <w:outlineLvl w:val="6"/>
    </w:pPr>
    <w:rPr>
      <w:i w:val="0"/>
      <w:iCs w:val="0"/>
      <w:sz w:val="22"/>
    </w:rPr>
  </w:style>
  <w:style w:type="paragraph" w:styleId="Heading8">
    <w:name w:val="heading 8"/>
    <w:basedOn w:val="Heading7"/>
    <w:next w:val="Normal"/>
    <w:link w:val="Heading8Char"/>
    <w:uiPriority w:val="9"/>
    <w:semiHidden/>
    <w:rsid w:val="005B20C0"/>
    <w:pPr>
      <w:outlineLvl w:val="7"/>
    </w:pPr>
    <w:rPr>
      <w:i/>
      <w:szCs w:val="21"/>
    </w:rPr>
  </w:style>
  <w:style w:type="paragraph" w:styleId="Heading9">
    <w:name w:val="heading 9"/>
    <w:basedOn w:val="Heading8"/>
    <w:next w:val="Normal"/>
    <w:link w:val="Heading9Char"/>
    <w:uiPriority w:val="9"/>
    <w:semiHidden/>
    <w:rsid w:val="003B06DA"/>
    <w:pPr>
      <w:outlineLvl w:val="8"/>
    </w:pPr>
    <w:rPr>
      <w:i w:val="0"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rsid w:val="008325A0"/>
    <w:pPr>
      <w:numPr>
        <w:ilvl w:val="1"/>
      </w:numPr>
      <w:spacing w:after="0"/>
    </w:pPr>
    <w:rPr>
      <w:rFonts w:eastAsiaTheme="minorEastAsia"/>
      <w:spacing w:val="-6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A0"/>
    <w:rPr>
      <w:rFonts w:eastAsiaTheme="minorEastAsia"/>
      <w:spacing w:val="-6"/>
      <w:sz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06"/>
    <w:rPr>
      <w:rFonts w:asciiTheme="majorHAnsi" w:eastAsiaTheme="majorEastAsia" w:hAnsiTheme="majorHAnsi" w:cstheme="majorBidi"/>
      <w:iCs/>
      <w:sz w:val="20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06"/>
    <w:rPr>
      <w:rFonts w:asciiTheme="majorHAnsi" w:eastAsiaTheme="majorEastAsia" w:hAnsiTheme="majorHAnsi" w:cstheme="majorBidi"/>
      <w:i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06"/>
    <w:rPr>
      <w:rFonts w:asciiTheme="majorHAnsi" w:eastAsiaTheme="majorEastAsia" w:hAnsiTheme="majorHAnsi" w:cstheme="majorBidi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0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91F57"/>
    <w:rPr>
      <w:rFonts w:asciiTheme="majorHAnsi" w:eastAsiaTheme="majorEastAsia" w:hAnsiTheme="majorHAnsi" w:cstheme="majorBidi"/>
      <w:iCs/>
      <w:spacing w:val="-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1F57"/>
    <w:rPr>
      <w:rFonts w:asciiTheme="majorHAnsi" w:eastAsiaTheme="majorEastAsia" w:hAnsiTheme="majorHAnsi" w:cstheme="majorBidi"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25A0"/>
    <w:rPr>
      <w:rFonts w:asciiTheme="majorHAnsi" w:eastAsiaTheme="majorEastAsia" w:hAnsiTheme="majorHAnsi" w:cstheme="majorBidi"/>
      <w:spacing w:val="-6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325A0"/>
    <w:rPr>
      <w:rFonts w:asciiTheme="majorHAnsi" w:eastAsiaTheme="majorEastAsia" w:hAnsiTheme="majorHAnsi" w:cstheme="majorBidi"/>
      <w:spacing w:val="-10"/>
      <w:sz w:val="4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325A0"/>
    <w:rPr>
      <w:rFonts w:asciiTheme="majorHAnsi" w:eastAsiaTheme="majorEastAsia" w:hAnsiTheme="majorHAnsi" w:cstheme="majorBidi"/>
      <w:spacing w:val="-14"/>
      <w:sz w:val="64"/>
      <w:szCs w:val="32"/>
    </w:rPr>
  </w:style>
  <w:style w:type="paragraph" w:styleId="TOCHeading">
    <w:name w:val="TOC Heading"/>
    <w:basedOn w:val="Heading1"/>
    <w:next w:val="Normal"/>
    <w:uiPriority w:val="38"/>
    <w:rsid w:val="000D01A8"/>
    <w:pPr>
      <w:outlineLvl w:val="9"/>
    </w:pPr>
  </w:style>
  <w:style w:type="paragraph" w:styleId="Title">
    <w:name w:val="Title"/>
    <w:basedOn w:val="Normal"/>
    <w:next w:val="Subtitle"/>
    <w:link w:val="TitleChar"/>
    <w:uiPriority w:val="10"/>
    <w:rsid w:val="008325A0"/>
    <w:pPr>
      <w:spacing w:after="0"/>
      <w:contextualSpacing/>
    </w:pPr>
    <w:rPr>
      <w:rFonts w:asciiTheme="majorHAnsi" w:eastAsiaTheme="majorEastAsia" w:hAnsiTheme="majorHAnsi" w:cstheme="majorBidi"/>
      <w:spacing w:val="-2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A0"/>
    <w:rPr>
      <w:rFonts w:asciiTheme="majorHAnsi" w:eastAsiaTheme="majorEastAsia" w:hAnsiTheme="majorHAnsi" w:cstheme="majorBidi"/>
      <w:spacing w:val="-20"/>
      <w:kern w:val="28"/>
      <w:sz w:val="104"/>
      <w:szCs w:val="56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C1F60"/>
    <w:rPr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5618"/>
    <w:rPr>
      <w:sz w:val="24"/>
    </w:rPr>
  </w:style>
  <w:style w:type="paragraph" w:styleId="ListBullet">
    <w:name w:val="List Bullet"/>
    <w:basedOn w:val="Normal"/>
    <w:uiPriority w:val="23"/>
    <w:qFormat/>
    <w:rsid w:val="00A26F2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23"/>
    <w:rsid w:val="00A26F25"/>
    <w:pPr>
      <w:numPr>
        <w:ilvl w:val="1"/>
        <w:numId w:val="1"/>
      </w:numPr>
      <w:contextualSpacing/>
    </w:pPr>
  </w:style>
  <w:style w:type="paragraph" w:styleId="ListBullet3">
    <w:name w:val="List Bullet 3"/>
    <w:basedOn w:val="Normal"/>
    <w:uiPriority w:val="23"/>
    <w:rsid w:val="00A26F25"/>
    <w:pPr>
      <w:numPr>
        <w:ilvl w:val="2"/>
        <w:numId w:val="1"/>
      </w:numPr>
      <w:contextualSpacing/>
    </w:pPr>
  </w:style>
  <w:style w:type="paragraph" w:styleId="ListBullet4">
    <w:name w:val="List Bullet 4"/>
    <w:basedOn w:val="Normal"/>
    <w:uiPriority w:val="99"/>
    <w:semiHidden/>
    <w:rsid w:val="00A26F25"/>
    <w:pPr>
      <w:numPr>
        <w:ilvl w:val="3"/>
        <w:numId w:val="1"/>
      </w:numPr>
      <w:contextualSpacing/>
    </w:pPr>
  </w:style>
  <w:style w:type="paragraph" w:styleId="ListBullet5">
    <w:name w:val="List Bullet 5"/>
    <w:basedOn w:val="Normal"/>
    <w:uiPriority w:val="99"/>
    <w:semiHidden/>
    <w:rsid w:val="00A26F25"/>
    <w:pPr>
      <w:numPr>
        <w:ilvl w:val="4"/>
        <w:numId w:val="1"/>
      </w:numPr>
      <w:contextualSpacing/>
    </w:pPr>
  </w:style>
  <w:style w:type="paragraph" w:styleId="ListNumber">
    <w:name w:val="List Number"/>
    <w:basedOn w:val="Normal"/>
    <w:uiPriority w:val="22"/>
    <w:qFormat/>
    <w:rsid w:val="00651E3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22"/>
    <w:rsid w:val="00651E32"/>
    <w:pPr>
      <w:numPr>
        <w:ilvl w:val="1"/>
        <w:numId w:val="6"/>
      </w:numPr>
      <w:contextualSpacing/>
    </w:pPr>
  </w:style>
  <w:style w:type="paragraph" w:styleId="ListNumber3">
    <w:name w:val="List Number 3"/>
    <w:basedOn w:val="Normal"/>
    <w:uiPriority w:val="22"/>
    <w:rsid w:val="00651E32"/>
    <w:pPr>
      <w:numPr>
        <w:ilvl w:val="2"/>
        <w:numId w:val="6"/>
      </w:numPr>
      <w:contextualSpacing/>
    </w:pPr>
  </w:style>
  <w:style w:type="paragraph" w:styleId="ListNumber4">
    <w:name w:val="List Number 4"/>
    <w:basedOn w:val="Normal"/>
    <w:uiPriority w:val="99"/>
    <w:semiHidden/>
    <w:rsid w:val="00651E32"/>
    <w:pPr>
      <w:numPr>
        <w:ilvl w:val="3"/>
        <w:numId w:val="6"/>
      </w:numPr>
      <w:contextualSpacing/>
    </w:pPr>
  </w:style>
  <w:style w:type="paragraph" w:styleId="ListNumber5">
    <w:name w:val="List Number 5"/>
    <w:basedOn w:val="Normal"/>
    <w:uiPriority w:val="99"/>
    <w:semiHidden/>
    <w:rsid w:val="00651E32"/>
    <w:pPr>
      <w:numPr>
        <w:ilvl w:val="4"/>
        <w:numId w:val="6"/>
      </w:numPr>
      <w:contextualSpacing/>
    </w:pPr>
  </w:style>
  <w:style w:type="paragraph" w:styleId="TOC1">
    <w:name w:val="toc 1"/>
    <w:basedOn w:val="Normal"/>
    <w:next w:val="Normal"/>
    <w:autoRedefine/>
    <w:uiPriority w:val="39"/>
    <w:rsid w:val="00D109B4"/>
    <w:pPr>
      <w:tabs>
        <w:tab w:val="right" w:leader="dot" w:pos="10081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D109B4"/>
    <w:pPr>
      <w:tabs>
        <w:tab w:val="right" w:leader="dot" w:pos="10082"/>
      </w:tabs>
      <w:spacing w:after="100"/>
      <w:ind w:left="221"/>
    </w:pPr>
  </w:style>
  <w:style w:type="paragraph" w:styleId="TOC3">
    <w:name w:val="toc 3"/>
    <w:basedOn w:val="Normal"/>
    <w:next w:val="Normal"/>
    <w:autoRedefine/>
    <w:uiPriority w:val="39"/>
    <w:rsid w:val="0007640B"/>
    <w:pPr>
      <w:tabs>
        <w:tab w:val="right" w:leader="dot" w:pos="10081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62CE7"/>
    <w:rPr>
      <w:color w:val="2977FF" w:themeColor="hyperlink"/>
      <w:u w:val="single"/>
    </w:rPr>
  </w:style>
  <w:style w:type="character" w:styleId="PlaceholderText">
    <w:name w:val="Placeholder Text"/>
    <w:basedOn w:val="DefaultParagraphFont"/>
    <w:uiPriority w:val="99"/>
    <w:rsid w:val="000B1DB5"/>
    <w:rPr>
      <w:color w:val="808080"/>
      <w:bdr w:val="none" w:sz="0" w:space="0" w:color="auto"/>
      <w:shd w:val="clear" w:color="auto" w:fill="F2F2F2"/>
    </w:rPr>
  </w:style>
  <w:style w:type="paragraph" w:styleId="NoSpacing">
    <w:name w:val="No Spacing"/>
    <w:uiPriority w:val="1"/>
    <w:qFormat/>
    <w:rsid w:val="00813C78"/>
    <w:pPr>
      <w:spacing w:after="0"/>
    </w:pPr>
  </w:style>
  <w:style w:type="paragraph" w:styleId="Header">
    <w:name w:val="header"/>
    <w:basedOn w:val="Normal"/>
    <w:link w:val="HeaderChar"/>
    <w:uiPriority w:val="26"/>
    <w:rsid w:val="00890ED1"/>
    <w:pPr>
      <w:tabs>
        <w:tab w:val="center" w:pos="4536"/>
        <w:tab w:val="right" w:pos="9072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26"/>
    <w:rsid w:val="00890ED1"/>
    <w:rPr>
      <w:sz w:val="16"/>
    </w:rPr>
  </w:style>
  <w:style w:type="paragraph" w:styleId="Footer">
    <w:name w:val="footer"/>
    <w:basedOn w:val="Normal"/>
    <w:link w:val="FooterChar"/>
    <w:uiPriority w:val="26"/>
    <w:rsid w:val="00890ED1"/>
    <w:pPr>
      <w:tabs>
        <w:tab w:val="right" w:pos="10093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26"/>
    <w:rsid w:val="00890ED1"/>
    <w:rPr>
      <w:sz w:val="16"/>
    </w:rPr>
  </w:style>
  <w:style w:type="table" w:styleId="TableGrid">
    <w:name w:val="Table Grid"/>
    <w:basedOn w:val="TableNormal"/>
    <w:uiPriority w:val="39"/>
    <w:rsid w:val="008F1C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26632D"/>
    <w:pPr>
      <w:spacing w:before="200"/>
    </w:pPr>
    <w:rPr>
      <w:rFonts w:asciiTheme="majorHAnsi" w:hAnsiTheme="majorHAnsi"/>
      <w:iCs/>
      <w:spacing w:val="-9"/>
      <w:sz w:val="64"/>
    </w:rPr>
  </w:style>
  <w:style w:type="character" w:customStyle="1" w:styleId="QuoteChar">
    <w:name w:val="Quote Char"/>
    <w:basedOn w:val="DefaultParagraphFont"/>
    <w:link w:val="Quote"/>
    <w:uiPriority w:val="29"/>
    <w:rsid w:val="0026632D"/>
    <w:rPr>
      <w:rFonts w:asciiTheme="majorHAnsi" w:hAnsiTheme="majorHAnsi"/>
      <w:iCs/>
      <w:spacing w:val="-9"/>
      <w:sz w:val="64"/>
    </w:rPr>
  </w:style>
  <w:style w:type="paragraph" w:styleId="Closing">
    <w:name w:val="Closing"/>
    <w:basedOn w:val="Normal"/>
    <w:next w:val="NoSpacing"/>
    <w:link w:val="ClosingChar"/>
    <w:uiPriority w:val="99"/>
    <w:semiHidden/>
    <w:rsid w:val="00A51F48"/>
    <w:pPr>
      <w:spacing w:before="720" w:after="7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74955"/>
  </w:style>
  <w:style w:type="paragraph" w:customStyle="1" w:styleId="Preamble">
    <w:name w:val="Preamble"/>
    <w:basedOn w:val="Normal"/>
    <w:next w:val="Normal"/>
    <w:uiPriority w:val="12"/>
    <w:qFormat/>
    <w:rsid w:val="008325A0"/>
    <w:pPr>
      <w:spacing w:before="360"/>
    </w:pPr>
    <w:rPr>
      <w:sz w:val="24"/>
    </w:rPr>
  </w:style>
  <w:style w:type="paragraph" w:styleId="EnvelopeAddress">
    <w:name w:val="envelope address"/>
    <w:basedOn w:val="NoSpacing"/>
    <w:uiPriority w:val="99"/>
    <w:semiHidden/>
    <w:rsid w:val="00B723E3"/>
    <w:pPr>
      <w:framePr w:w="5670" w:h="2268" w:hRule="exact" w:vSpace="2268" w:wrap="around" w:vAnchor="page" w:hAnchor="page" w:xAlign="right" w:yAlign="top" w:anchorLock="1"/>
    </w:pPr>
    <w:rPr>
      <w:rFonts w:eastAsiaTheme="majorEastAsia" w:cstheme="majorBidi"/>
      <w:szCs w:val="24"/>
    </w:rPr>
  </w:style>
  <w:style w:type="paragraph" w:customStyle="1" w:styleId="Noter">
    <w:name w:val="Noter"/>
    <w:basedOn w:val="Heading2"/>
    <w:next w:val="Normal"/>
    <w:uiPriority w:val="13"/>
    <w:semiHidden/>
    <w:rsid w:val="000D01A8"/>
    <w:pPr>
      <w:numPr>
        <w:numId w:val="12"/>
      </w:numPr>
      <w:outlineLvl w:val="9"/>
    </w:pPr>
  </w:style>
  <w:style w:type="paragraph" w:styleId="ListParagraph">
    <w:name w:val="List Paragraph"/>
    <w:basedOn w:val="Normal"/>
    <w:uiPriority w:val="34"/>
    <w:semiHidden/>
    <w:qFormat/>
    <w:rsid w:val="0023757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F1B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F1B2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76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B2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0C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8"/>
    <w:rsid w:val="00897370"/>
    <w:rPr>
      <w:color w:val="2977FF" w:themeColor="followedHyperlink"/>
      <w:u w:val="single"/>
    </w:rPr>
  </w:style>
  <w:style w:type="paragraph" w:customStyle="1" w:styleId="Microtitle">
    <w:name w:val="Micro title"/>
    <w:basedOn w:val="Normal"/>
    <w:next w:val="Normal"/>
    <w:uiPriority w:val="9"/>
    <w:rsid w:val="00890ED1"/>
    <w:pPr>
      <w:spacing w:after="0"/>
    </w:pPr>
    <w:rPr>
      <w:caps/>
      <w:spacing w:val="30"/>
      <w:lang w:val="en-US"/>
    </w:rPr>
  </w:style>
  <w:style w:type="paragraph" w:styleId="Caption">
    <w:name w:val="caption"/>
    <w:basedOn w:val="Normal"/>
    <w:next w:val="Normal"/>
    <w:uiPriority w:val="35"/>
    <w:qFormat/>
    <w:rsid w:val="00DC7A44"/>
    <w:pPr>
      <w:spacing w:before="100"/>
      <w:contextualSpacing/>
    </w:pPr>
    <w:rPr>
      <w:iCs/>
      <w:sz w:val="16"/>
      <w:szCs w:val="18"/>
    </w:rPr>
  </w:style>
  <w:style w:type="paragraph" w:customStyle="1" w:styleId="Statnumber">
    <w:name w:val="Stat number"/>
    <w:basedOn w:val="Normal"/>
    <w:next w:val="Statdescription"/>
    <w:uiPriority w:val="30"/>
    <w:qFormat/>
    <w:rsid w:val="0026632D"/>
    <w:pPr>
      <w:spacing w:after="0" w:line="180" w:lineRule="auto"/>
    </w:pPr>
    <w:rPr>
      <w:rFonts w:asciiTheme="majorHAnsi" w:hAnsiTheme="majorHAnsi"/>
      <w:sz w:val="76"/>
      <w:lang w:val="en-US"/>
    </w:rPr>
  </w:style>
  <w:style w:type="paragraph" w:customStyle="1" w:styleId="Statdescription">
    <w:name w:val="Stat description"/>
    <w:basedOn w:val="Normal"/>
    <w:next w:val="Normal"/>
    <w:uiPriority w:val="31"/>
    <w:qFormat/>
    <w:rsid w:val="0026632D"/>
    <w:rPr>
      <w:sz w:val="15"/>
      <w:lang w:val="en-US"/>
    </w:rPr>
  </w:style>
  <w:style w:type="table" w:customStyle="1" w:styleId="Sinch">
    <w:name w:val="Sinch"/>
    <w:basedOn w:val="TableNormal"/>
    <w:uiPriority w:val="99"/>
    <w:rsid w:val="00FA2607"/>
    <w:pPr>
      <w:spacing w:after="0"/>
      <w:jc w:val="center"/>
    </w:pPr>
    <w:rPr>
      <w:sz w:val="16"/>
    </w:rPr>
    <w:tblPr>
      <w:tblStyleColBandSize w:val="1"/>
      <w:tblBorders>
        <w:insideH w:val="single" w:sz="6" w:space="0" w:color="BFBFBF"/>
      </w:tblBorders>
      <w:tblCellMar>
        <w:top w:w="96" w:type="dxa"/>
        <w:bottom w:w="96" w:type="dxa"/>
      </w:tblCellMar>
    </w:tblPr>
    <w:tcPr>
      <w:vAlign w:val="center"/>
    </w:tcPr>
    <w:tblStylePr w:type="firstRow"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0000" w:themeColor="tex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tblPr/>
      <w:tcPr>
        <w:shd w:val="clear" w:color="auto" w:fill="FFF6B3" w:themeFill="accent2"/>
      </w:tcPr>
    </w:tblStylePr>
    <w:tblStylePr w:type="band2Vert">
      <w:tblPr/>
      <w:tcPr>
        <w:shd w:val="clear" w:color="auto" w:fill="FFF6B3" w:themeFill="accent2"/>
      </w:tcPr>
    </w:tblStylePr>
  </w:style>
  <w:style w:type="paragraph" w:customStyle="1" w:styleId="Tablefootnote">
    <w:name w:val="Table footnote"/>
    <w:basedOn w:val="Normal"/>
    <w:next w:val="Normal"/>
    <w:uiPriority w:val="32"/>
    <w:qFormat/>
    <w:rsid w:val="00DC7A44"/>
    <w:pPr>
      <w:contextualSpacing/>
    </w:pPr>
    <w:rPr>
      <w:color w:val="595959"/>
      <w:sz w:val="10"/>
      <w:lang w:val="en-US"/>
    </w:rPr>
  </w:style>
  <w:style w:type="paragraph" w:styleId="FootnoteText">
    <w:name w:val="footnote text"/>
    <w:basedOn w:val="Normal"/>
    <w:link w:val="FootnoteTextChar"/>
    <w:uiPriority w:val="99"/>
    <w:rsid w:val="00AC61D2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C61D2"/>
    <w:rPr>
      <w:sz w:val="16"/>
    </w:rPr>
  </w:style>
  <w:style w:type="character" w:styleId="FootnoteReference">
    <w:name w:val="footnote reference"/>
    <w:basedOn w:val="DefaultParagraphFont"/>
    <w:uiPriority w:val="99"/>
    <w:rsid w:val="00AC61D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AC61D2"/>
    <w:pPr>
      <w:spacing w:after="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E1678"/>
    <w:rPr>
      <w:sz w:val="16"/>
    </w:rPr>
  </w:style>
  <w:style w:type="character" w:styleId="EndnoteReference">
    <w:name w:val="endnote reference"/>
    <w:basedOn w:val="DefaultParagraphFont"/>
    <w:uiPriority w:val="99"/>
    <w:semiHidden/>
    <w:rsid w:val="00AC61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chart" Target="charts/chart5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hart" Target="charts/chart4.xml"/><Relationship Id="rId2" Type="http://schemas.openxmlformats.org/officeDocument/2006/relationships/customXml" Target="../customXml/item2.xml"/><Relationship Id="rId16" Type="http://schemas.openxmlformats.org/officeDocument/2006/relationships/chart" Target="charts/chart3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araAndersson\Rehngruppen\Kunder%20-%20S%20-%20Dokument\Sinch\FIL\2603_SA%20-%20Wordmallar%20(11204)\Arbetsmapp\A4%20with%20examples.dotx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1109727514738416E-2"/>
          <c:y val="0.12505398460816"/>
          <c:w val="0.92889027248526168"/>
          <c:h val="0.74023780313857424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85B6FF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75</c:v>
                </c:pt>
                <c:pt idx="2">
                  <c:v>90</c:v>
                </c:pt>
                <c:pt idx="3">
                  <c:v>150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7D-4470-B30B-71471FE5E0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2977FF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100</c:v>
                </c:pt>
                <c:pt idx="1">
                  <c:v>200</c:v>
                </c:pt>
                <c:pt idx="2">
                  <c:v>180</c:v>
                </c:pt>
                <c:pt idx="3">
                  <c:v>250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7D-4470-B30B-71471FE5E0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820521023"/>
        <c:axId val="820515263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Line</c:v>
                </c:pt>
              </c:strCache>
            </c:strRef>
          </c:tx>
          <c:spPr>
            <a:ln w="12700" cap="rnd">
              <a:solidFill>
                <a:schemeClr val="tx2"/>
              </a:solidFill>
              <a:round/>
              <a:tailEnd type="arrow"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57D-4470-B30B-71471FE5E073}"/>
                </c:ext>
              </c:extLst>
            </c:dLbl>
            <c:dLbl>
              <c:idx val="1"/>
              <c:layout>
                <c:manualLayout>
                  <c:x val="-0.10260179016084528"/>
                  <c:y val="0"/>
                </c:manualLayout>
              </c:layout>
              <c:spPr>
                <a:solidFill>
                  <a:srgbClr val="FFE97A"/>
                </a:solidFill>
                <a:ln w="9525" cap="flat" cmpd="sng" algn="ctr">
                  <a:noFill/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none" lIns="180000" tIns="0" rIns="180000" bIns="0" anchor="ctr" anchorCtr="1">
                  <a:spAutoFit/>
                </a:bodyPr>
                <a:lstStyle/>
                <a:p>
                  <a:pPr>
                    <a:defRPr sz="1000" b="0" i="0" u="none" strike="noStrike" kern="1200" baseline="0">
                      <a:solidFill>
                        <a:schemeClr val="tx1"/>
                      </a:solidFill>
                      <a:latin typeface="+mj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oundRect">
                      <a:avLst>
                        <a:gd name="adj" fmla="val 50000"/>
                      </a:avLst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3-457D-4470-B30B-71471FE5E073}"/>
                </c:ext>
              </c:extLst>
            </c:dLbl>
            <c:dLbl>
              <c:idx val="2"/>
              <c:layout>
                <c:manualLayout>
                  <c:x val="-0.11107329532526383"/>
                  <c:y val="-2.456813522533768E-2"/>
                </c:manualLayout>
              </c:layout>
              <c:spPr>
                <a:solidFill>
                  <a:srgbClr val="FFE97A"/>
                </a:solidFill>
                <a:ln w="9525" cap="flat" cmpd="sng" algn="ctr">
                  <a:noFill/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none" lIns="180000" tIns="0" rIns="180000" bIns="0" anchor="ctr" anchorCtr="1">
                  <a:spAutoFit/>
                </a:bodyPr>
                <a:lstStyle/>
                <a:p>
                  <a:pPr>
                    <a:defRPr sz="1000" b="0" i="0" u="none" strike="noStrike" kern="1200" baseline="0">
                      <a:solidFill>
                        <a:schemeClr val="tx1"/>
                      </a:solidFill>
                      <a:latin typeface="+mj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oundRect">
                      <a:avLst>
                        <a:gd name="adj" fmla="val 50000"/>
                      </a:avLst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4-457D-4470-B30B-71471FE5E073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57D-4470-B30B-71471FE5E073}"/>
                </c:ext>
              </c:extLst>
            </c:dLbl>
            <c:spPr>
              <a:solidFill>
                <a:schemeClr val="accent6"/>
              </a:solidFill>
              <a:ln>
                <a:noFill/>
              </a:ln>
              <a:effectLst/>
            </c:spPr>
            <c:txPr>
              <a:bodyPr rot="0" spcFirstLastPara="1" vertOverflow="clip" horzOverflow="clip" vert="horz" wrap="none" lIns="180000" tIns="0" rIns="180000" bIns="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200</c:v>
                </c:pt>
                <c:pt idx="1">
                  <c:v>350</c:v>
                </c:pt>
                <c:pt idx="2">
                  <c:v>300</c:v>
                </c:pt>
                <c:pt idx="3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457D-4470-B30B-71471FE5E0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0521023"/>
        <c:axId val="820515263"/>
      </c:lineChart>
      <c:catAx>
        <c:axId val="820521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j-lt"/>
                <a:ea typeface="+mn-ea"/>
                <a:cs typeface="+mn-cs"/>
              </a:defRPr>
            </a:pPr>
            <a:endParaRPr lang="en-US"/>
          </a:p>
        </c:txPr>
        <c:crossAx val="820515263"/>
        <c:crosses val="autoZero"/>
        <c:auto val="1"/>
        <c:lblAlgn val="ctr"/>
        <c:lblOffset val="100"/>
        <c:noMultiLvlLbl val="0"/>
      </c:catAx>
      <c:valAx>
        <c:axId val="82051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05210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1.3694442040898878E-3"/>
          <c:y val="0"/>
          <c:w val="0.33051859896823232"/>
          <c:h val="6.682750412410970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992443834428955"/>
          <c:y val="3.7931653188852062E-2"/>
          <c:w val="0.55215054540200825"/>
          <c:h val="0.92413669362229589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A5D-41B4-ABE9-ACB4CF7AE421}"/>
              </c:ext>
            </c:extLst>
          </c:dPt>
          <c:dPt>
            <c:idx val="1"/>
            <c:bubble3D val="0"/>
            <c:spPr>
              <a:solidFill>
                <a:srgbClr val="2977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A5D-41B4-ABE9-ACB4CF7AE421}"/>
              </c:ext>
            </c:extLst>
          </c:dPt>
          <c:dPt>
            <c:idx val="2"/>
            <c:bubble3D val="0"/>
            <c:spPr>
              <a:solidFill>
                <a:srgbClr val="85B6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A5D-41B4-ABE9-ACB4CF7AE421}"/>
              </c:ext>
            </c:extLst>
          </c:dPt>
          <c:dPt>
            <c:idx val="3"/>
            <c:bubble3D val="0"/>
            <c:spPr>
              <a:solidFill>
                <a:srgbClr val="C8BD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A5D-41B4-ABE9-ACB4CF7AE421}"/>
              </c:ext>
            </c:extLst>
          </c:dPt>
          <c:dPt>
            <c:idx val="4"/>
            <c:bubble3D val="0"/>
            <c:spPr>
              <a:solidFill>
                <a:srgbClr val="97C2A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A5D-41B4-ABE9-ACB4CF7AE421}"/>
              </c:ext>
            </c:extLst>
          </c:dPt>
          <c:dPt>
            <c:idx val="5"/>
            <c:bubble3D val="0"/>
            <c:spPr>
              <a:solidFill>
                <a:srgbClr val="F03B3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A5D-41B4-ABE9-ACB4CF7AE42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Email</c:v>
                </c:pt>
                <c:pt idx="1">
                  <c:v>Phone</c:v>
                </c:pt>
                <c:pt idx="2">
                  <c:v>SMS</c:v>
                </c:pt>
                <c:pt idx="3">
                  <c:v>Chat</c:v>
                </c:pt>
                <c:pt idx="4">
                  <c:v>Website form</c:v>
                </c:pt>
                <c:pt idx="5">
                  <c:v>Errors</c:v>
                </c:pt>
              </c:strCache>
            </c:strRef>
          </c:cat>
          <c:val>
            <c:numRef>
              <c:f>Sheet1!$B$2:$B$7</c:f>
              <c:numCache>
                <c:formatCode>0%</c:formatCode>
                <c:ptCount val="6"/>
                <c:pt idx="0">
                  <c:v>0.4</c:v>
                </c:pt>
                <c:pt idx="1">
                  <c:v>0.23</c:v>
                </c:pt>
                <c:pt idx="2">
                  <c:v>0.22</c:v>
                </c:pt>
                <c:pt idx="3">
                  <c:v>0.08</c:v>
                </c:pt>
                <c:pt idx="4">
                  <c:v>0.05</c:v>
                </c:pt>
                <c:pt idx="5">
                  <c:v>0.02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8A5D-41B4-ABE9-ACB4CF7AE4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5"/>
      </c:doughnut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1328381122171047"/>
          <c:y val="0.12211232411181325"/>
          <c:w val="0.25976553572416644"/>
          <c:h val="0.7594313827837809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3802053607955845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191559609139136"/>
          <c:y val="3.8118663260737901E-2"/>
          <c:w val="0.72153783378490266"/>
          <c:h val="0.63828334167259193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C4DC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568-4047-872A-6D24F75B216D}"/>
              </c:ext>
            </c:extLst>
          </c:dPt>
          <c:dPt>
            <c:idx val="1"/>
            <c:bubble3D val="0"/>
            <c:spPr>
              <a:solidFill>
                <a:srgbClr val="2977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568-4047-872A-6D24F75B216D}"/>
              </c:ext>
            </c:extLst>
          </c:dPt>
          <c:dPt>
            <c:idx val="2"/>
            <c:bubble3D val="0"/>
            <c:spPr>
              <a:solidFill>
                <a:srgbClr val="85B6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568-4047-872A-6D24F75B216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568-4047-872A-6D24F75B21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6313312656140705E-3"/>
          <c:y val="0.82127055188335574"/>
          <c:w val="0.99073733746877202"/>
          <c:h val="0.160303373449556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3790235008308372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158453396351939"/>
          <c:y val="3.8118663260737894E-2"/>
          <c:w val="0.72199263238375155"/>
          <c:h val="0.63828334167259193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FFF6B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15E-46A6-9D88-416346764BD5}"/>
              </c:ext>
            </c:extLst>
          </c:dPt>
          <c:dPt>
            <c:idx val="1"/>
            <c:bubble3D val="0"/>
            <c:spPr>
              <a:solidFill>
                <a:srgbClr val="FFE97A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15E-46A6-9D88-416346764BD5}"/>
              </c:ext>
            </c:extLst>
          </c:dPt>
          <c:dPt>
            <c:idx val="2"/>
            <c:bubble3D val="0"/>
            <c:spPr>
              <a:solidFill>
                <a:srgbClr val="FFF19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15E-46A6-9D88-416346764BD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 w="2540">
                      <a:noFill/>
                    </a:ln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15E-46A6-9D88-416346764B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4436059616129167E-3"/>
          <c:y val="0.83018916949762556"/>
          <c:w val="0.99111199372461778"/>
          <c:h val="0.1513847558352864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4431671826781762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152416319965047"/>
          <c:y val="3.3659354453602998E-2"/>
          <c:w val="0.72703676857542876"/>
          <c:h val="0.6427426504797269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E1F2E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D07-4E9D-B341-09710D01AC0F}"/>
              </c:ext>
            </c:extLst>
          </c:dPt>
          <c:dPt>
            <c:idx val="1"/>
            <c:bubble3D val="0"/>
            <c:spPr>
              <a:solidFill>
                <a:srgbClr val="97C2A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D07-4E9D-B341-09710D01AC0F}"/>
              </c:ext>
            </c:extLst>
          </c:dPt>
          <c:dPt>
            <c:idx val="2"/>
            <c:bubble3D val="0"/>
            <c:spPr>
              <a:solidFill>
                <a:srgbClr val="C3E3CE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D07-4E9D-B341-09710D01AC0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 w="2540">
                      <a:noFill/>
                    </a:ln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D07-4E9D-B341-09710D01AC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4877421532900911E-3"/>
          <c:y val="0.82127055188335574"/>
          <c:w val="0.98102372134126348"/>
          <c:h val="0.160303373449556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Sinch">
  <a:themeElements>
    <a:clrScheme name="Custom 3">
      <a:dk1>
        <a:srgbClr val="000000"/>
      </a:dk1>
      <a:lt1>
        <a:srgbClr val="FFFFFF"/>
      </a:lt1>
      <a:dk2>
        <a:srgbClr val="000000"/>
      </a:dk2>
      <a:lt2>
        <a:srgbClr val="1860F0"/>
      </a:lt2>
      <a:accent1>
        <a:srgbClr val="F7F9FA"/>
      </a:accent1>
      <a:accent2>
        <a:srgbClr val="FFF6B3"/>
      </a:accent2>
      <a:accent3>
        <a:srgbClr val="FFF194"/>
      </a:accent3>
      <a:accent4>
        <a:srgbClr val="FFE97A"/>
      </a:accent4>
      <a:accent5>
        <a:srgbClr val="F0F3F5"/>
      </a:accent5>
      <a:accent6>
        <a:srgbClr val="EBE6E1"/>
      </a:accent6>
      <a:hlink>
        <a:srgbClr val="2977FF"/>
      </a:hlink>
      <a:folHlink>
        <a:srgbClr val="2977FF"/>
      </a:folHlink>
    </a:clrScheme>
    <a:fontScheme name="Sinch 2025">
      <a:majorFont>
        <a:latin typeface="Host Grotesk SemiBold"/>
        <a:ea typeface=""/>
        <a:cs typeface=""/>
      </a:majorFont>
      <a:minorFont>
        <a:latin typeface="Host 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/>
        </a:solidFill>
        <a:ln>
          <a:noFill/>
        </a:ln>
      </a:spPr>
      <a:bodyPr rtlCol="0" anchor="ctr"/>
      <a:lstStyle>
        <a:defPPr algn="ctr">
          <a:lnSpc>
            <a:spcPct val="110000"/>
          </a:lnSpc>
          <a:defRPr sz="1500">
            <a:solidFill>
              <a:schemeClr val="tx1"/>
            </a:solidFill>
            <a:cs typeface="Arial" panose="020B060402020202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lnSpc>
            <a:spcPct val="110000"/>
          </a:lnSpc>
          <a:spcBef>
            <a:spcPts val="225"/>
          </a:spcBef>
          <a:spcAft>
            <a:spcPts val="225"/>
          </a:spcAft>
          <a:defRPr sz="1500" dirty="0">
            <a:solidFill>
              <a:schemeClr val="tx2"/>
            </a:solidFill>
            <a:cs typeface="Arial" panose="020B0604020202020204" pitchFamily="34" charset="0"/>
          </a:defRPr>
        </a:defPPr>
      </a:lstStyle>
    </a:txDef>
  </a:objectDefaults>
  <a:extraClrSchemeLst/>
  <a:custClrLst>
    <a:custClr name="Neutral05">
      <a:srgbClr val="F7F9FA"/>
    </a:custClr>
    <a:custClr name="Neutral10">
      <a:srgbClr val="F0F3F5"/>
    </a:custClr>
    <a:custClr name="Neutral15">
      <a:srgbClr val="E6EBED"/>
    </a:custClr>
    <a:custClr name="Neutral20">
      <a:srgbClr val="DCE2E5"/>
    </a:custClr>
    <a:custClr name="Neutral25">
      <a:srgbClr val="D3D9DE"/>
    </a:custClr>
    <a:custClr name="Neutral30">
      <a:srgbClr val="C4CCD1"/>
    </a:custClr>
    <a:custClr name="Neutral35">
      <a:srgbClr val="AEB7BD"/>
    </a:custClr>
    <a:custClr name="Neutral40">
      <a:srgbClr val="8F9AA1"/>
    </a:custClr>
    <a:custClr name="Neutral50">
      <a:srgbClr val="78828A"/>
    </a:custClr>
    <a:custClr name="Neutral60">
      <a:srgbClr val="626C73"/>
    </a:custClr>
    <a:custClr name="Sand15">
      <a:srgbClr val="F2EEE8"/>
    </a:custClr>
    <a:custClr name="Sand20">
      <a:srgbClr val="EBE6E1"/>
    </a:custClr>
    <a:custClr name="Sand25">
      <a:srgbClr val="DBD7D3"/>
    </a:custClr>
    <a:custClr name="Sand30">
      <a:srgbClr val="C9C5C1"/>
    </a:custClr>
    <a:custClr name="Sand35">
      <a:srgbClr val="B8B3B0"/>
    </a:custClr>
    <a:custClr name="Honey10">
      <a:srgbClr val="FFF6B3"/>
    </a:custClr>
    <a:custClr name="Honey15">
      <a:srgbClr val="FFF194"/>
    </a:custClr>
    <a:custClr name="Honey20">
      <a:srgbClr val="FFE97A"/>
    </a:custClr>
    <a:custClr name="Honey25">
      <a:srgbClr val="FADA5A"/>
    </a:custClr>
    <a:custClr name="Honey30">
      <a:srgbClr val="F0C243"/>
    </a:custClr>
    <a:custClr name="Tropical05">
      <a:srgbClr val="F0FAF3"/>
    </a:custClr>
    <a:custClr name="Tropical10">
      <a:srgbClr val="E8F7ED"/>
    </a:custClr>
    <a:custClr name="Tropical15">
      <a:srgbClr val="DFF2E5"/>
    </a:custClr>
    <a:custClr name="Tropical20">
      <a:srgbClr val="D1EDDB"/>
    </a:custClr>
    <a:custClr name="Tropical25">
      <a:srgbClr val="BCE5CD"/>
    </a:custClr>
    <a:custClr name="Tropical30">
      <a:srgbClr val="9ADBC3"/>
    </a:custClr>
    <a:custClr name="Tropical35">
      <a:srgbClr val="7FC7AF"/>
    </a:custClr>
    <a:custClr name="Tropical40">
      <a:srgbClr val="5BA891"/>
    </a:custClr>
    <a:custClr name="Tropical50">
      <a:srgbClr val="368F7D"/>
    </a:custClr>
    <a:custClr name="Tropical60">
      <a:srgbClr val="00756A"/>
    </a:custClr>
    <a:custClr name="Ocean05">
      <a:srgbClr val="F7FAFF"/>
    </a:custClr>
    <a:custClr name="Ocean10">
      <a:srgbClr val="F0F6FF"/>
    </a:custClr>
    <a:custClr name="Ocean15">
      <a:srgbClr val="E6F0FF"/>
    </a:custClr>
    <a:custClr name="Ocean20">
      <a:srgbClr val="DBE9FF"/>
    </a:custClr>
    <a:custClr name="Ocean25">
      <a:srgbClr val="C4DCFF"/>
    </a:custClr>
    <a:custClr name="Ocean30">
      <a:srgbClr val="A3C8FF"/>
    </a:custClr>
    <a:custClr name="Ocean35">
      <a:srgbClr val="85B6FF"/>
    </a:custClr>
    <a:custClr name="Ocean40">
      <a:srgbClr val="5996FF"/>
    </a:custClr>
    <a:custClr name="Ocean50">
      <a:srgbClr val="2977FF"/>
    </a:custClr>
    <a:custClr name="Ocean60">
      <a:srgbClr val="1860F0"/>
    </a:custClr>
    <a:custClr name="Violet05">
      <a:srgbClr val="F8F7FF"/>
    </a:custClr>
    <a:custClr name="Violet10">
      <a:srgbClr val="F3F0FF"/>
    </a:custClr>
    <a:custClr name="Violet15">
      <a:srgbClr val="EFEBFF"/>
    </a:custClr>
    <a:custClr name="Violet20">
      <a:srgbClr val="E6E0FF"/>
    </a:custClr>
    <a:custClr name="Violet25">
      <a:srgbClr val="D9D1FF"/>
    </a:custClr>
    <a:custClr name="Violet30">
      <a:srgbClr val="C8BDFF"/>
    </a:custClr>
    <a:custClr name="Violet35">
      <a:srgbClr val="B7A8FF"/>
    </a:custClr>
    <a:custClr name="Violet40">
      <a:srgbClr val="9785FF"/>
    </a:custClr>
    <a:custClr name="Violet50">
      <a:srgbClr val="7D66FF"/>
    </a:custClr>
    <a:custClr name="Violet60">
      <a:srgbClr val="6855E0"/>
    </a:custClr>
  </a:custClrLst>
  <a:extLst>
    <a:ext uri="{05A4C25C-085E-4340-85A3-A5531E510DB2}">
      <thm15:themeFamily xmlns:thm15="http://schemas.microsoft.com/office/thememl/2012/main" name="Sinch" id="{5E1BD049-3579-4468-B154-67BB2FB7D7EE}" vid="{B445A52D-11C6-4972-B7D3-D2E4D7735332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1" ma:contentTypeDescription="Skapa ett nytt dokument." ma:contentTypeScope="" ma:versionID="68ac65ad78ed8ad72ce0b448ad40d0f1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ca91a0d67ff346b3fa6f7c80739792d8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Godk_x00e4_nd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Godk_x00e4_nd" ma:index="18" nillable="true" ma:displayName="Godkänd" ma:default="0" ma:format="Dropdown" ma:internalName="Godk_x00e4_nd">
      <xsd:simpleType>
        <xsd:restriction base="dms:Boolea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format="RadioButtons" ma:internalName="Status">
      <xsd:simpleType>
        <xsd:restriction base="dms:Choice">
          <xsd:enumeration value="Klar"/>
          <xsd:enumeration value="Gör ej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b681454-5b20-4870-936e-b523090ef0fb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  <Godk_x00e4_nd xmlns="10c3a147-0d64-46aa-a281-dc97358e8373">false</Godk_x00e4_nd>
    <Status xmlns="10c3a147-0d64-46aa-a281-dc97358e8373" xsi:nil="true"/>
  </documentManagement>
</p:properties>
</file>

<file path=customXml/itemProps1.xml><?xml version="1.0" encoding="utf-8"?>
<ds:datastoreItem xmlns:ds="http://schemas.openxmlformats.org/officeDocument/2006/customXml" ds:itemID="{119EF0B7-E069-4EA9-84EB-2283053C4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DF1D40-E57A-4407-BCD5-27A941E2D9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937A8C-8756-4670-A220-B5D1AF872B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CE1F04-932E-4FB5-AE1B-8F976B8D6091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 with examples.dotx</Template>
  <TotalTime>0</TotalTime>
  <Pages>6</Pages>
  <Words>696</Words>
  <Characters>3970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Sinch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Andersson</dc:creator>
  <cp:keywords/>
  <dc:description/>
  <cp:lastModifiedBy>Sara Andersson</cp:lastModifiedBy>
  <cp:revision>2</cp:revision>
  <dcterms:created xsi:type="dcterms:W3CDTF">2026-04-10T13:51:00Z</dcterms:created>
  <dcterms:modified xsi:type="dcterms:W3CDTF">2026-04-28T07:10:00Z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0x010100129BBCBF21362E4099AE6C2F27C58737</vt:lpwstr>
  </property>
  <property fmtid="{D5CDD505-2E9C-101B-9397-08002B2CF9AE}" pid="3" name="MediaServiceImageTags">
    <vt:lpwstr/>
  </property>
</Properties>
</file>