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Roleplay Scenario 2</w:t>
      </w:r>
    </w:p>
    <w:p>
      <w:pPr>
        <w:pStyle w:val="Subtitle"/>
      </w:pPr>
      <w:r>
        <w:t>Managing a Team Member Mistake</w:t>
      </w:r>
    </w:p>
    <w:p>
      <w:pPr>
        <w:jc w:val="center"/>
      </w:pPr>
      <w:r>
        <w:rPr>
          <w:color w:val="666666"/>
        </w:rPr>
        <w:t>Fictional Incident · TAM Team Lead · People-First Response and Client Recovery</w:t>
      </w:r>
    </w:p>
    <w:p>
      <w:pPr>
        <w:pStyle w:val="Heading1"/>
      </w:pPr>
      <w:r>
        <w:rPr/>
        <w:t>1. The scenario at a glance</w:t>
      </w:r>
    </w:p>
    <w:p>
      <w:pPr>
        <w:jc w:val="both"/>
      </w:pPr>
      <w:r>
        <w:rPr/>
        <w:t>I have chosen a fictional but realistic situation that tests the technical response and how a leader looks after someone who made an honest mistake under pressure.</w:t>
      </w:r>
    </w:p>
    <w:p>
      <w:pPr>
        <w:jc w:val="both"/>
      </w:pPr>
      <w:r>
        <w:rPr/>
        <w:t>While increasing messaging capacity for a customer (fictional name Apex Sports Media) ahead of their FIFA World Cup 2026 SMS campaign, a TAM on my team accidentally deletes the customer account, so they cannot launch when it matters most. My job is to fix it fast, protect both the customer and the colleague, and make us safer than before.</w:t>
      </w:r>
    </w:p>
    <w:p>
      <w:pPr>
        <w:pStyle w:val="Heading1"/>
      </w:pPr>
      <w:r>
        <w:rPr/>
        <w:t>2. What happened</w:t>
      </w:r>
    </w:p>
    <w:p>
      <w:pPr>
        <w:pStyle w:val="ListBullet"/>
      </w:pPr>
      <w:r>
        <w:rPr/>
        <w:t>The TAM was making a customer requested change to increase messaging capacity.</w:t>
      </w:r>
    </w:p>
    <w:p>
      <w:pPr>
        <w:pStyle w:val="ListBullet"/>
      </w:pPr>
      <w:r>
        <w:rPr/>
        <w:t>The account was deleted instead of updated, removing the campaign configuration.</w:t>
      </w:r>
    </w:p>
    <w:p>
      <w:pPr>
        <w:pStyle w:val="ListBullet"/>
      </w:pPr>
      <w:r>
        <w:rPr/>
        <w:t>The customer could not send, so a routine change became a critical, time sensitive incident.</w:t>
      </w:r>
    </w:p>
    <w:p>
      <w:pPr>
        <w:pStyle w:val="Heading1"/>
      </w:pPr>
      <w:r>
        <w:rPr/>
        <w:t>3. What was missing</w:t>
      </w:r>
    </w:p>
    <w:p>
      <w:pPr>
        <w:pStyle w:val="ListBullet"/>
      </w:pPr>
      <w:r>
        <w:rPr/>
        <w:t>The configuration was not exported before the change, so there was no quick snapshot to restore from.</w:t>
      </w:r>
    </w:p>
    <w:p>
      <w:pPr>
        <w:pStyle w:val="ListBullet"/>
      </w:pPr>
      <w:r>
        <w:rPr/>
        <w:t>Rebuilding from other sources took far longer than a simple restore.</w:t>
      </w:r>
    </w:p>
    <w:p>
      <w:pPr>
        <w:jc w:val="both"/>
      </w:pPr>
      <w:r>
        <w:rPr/>
        <w:t>So the fix is to make a pre change backup a required, enforced step, not just to ask people to be careful.</w:t>
      </w:r>
    </w:p>
    <w:p>
      <w:pPr>
        <w:pStyle w:val="Heading1"/>
      </w:pPr>
      <w:r>
        <w:rPr/>
        <w:t>4. Impact and ramifications</w:t>
      </w:r>
    </w:p>
    <w:tbl>
      <w:tblPr>
        <w:tblStyle w:val="Sinch"/>
        <w:tblW w:type="auto" w:w="0"/>
        <w:tblLook w:firstColumn="1" w:firstRow="1" w:lastColumn="0" w:lastRow="0" w:noHBand="0" w:noVBand="1" w:val="04A0"/>
      </w:tblPr>
      <w:tblGrid>
        <w:gridCol w:w="5046"/>
        <w:gridCol w:w="5046"/>
      </w:tblGrid>
      <w:tr>
        <w:tc>
          <w:tcPr>
            <w:tcW w:type="dxa" w:w="5046"/>
          </w:tcPr>
          <w:p>
            <w:r>
              <w:rPr>
                <w:b/>
              </w:rPr>
              <w:t>Affected party</w:t>
            </w:r>
          </w:p>
        </w:tc>
        <w:tc>
          <w:tcPr>
            <w:tcW w:type="dxa" w:w="5046"/>
          </w:tcPr>
          <w:p>
            <w:r>
              <w:rPr>
                <w:b/>
              </w:rPr>
              <w:t>Impact</w:t>
            </w:r>
          </w:p>
        </w:tc>
      </w:tr>
      <w:tr>
        <w:tc>
          <w:tcPr>
            <w:tcW w:type="dxa" w:w="5046"/>
          </w:tcPr>
          <w:p>
            <w:r>
              <w:t>Apex Sports Media</w:t>
            </w:r>
          </w:p>
        </w:tc>
        <w:tc>
          <w:tcPr>
            <w:tcW w:type="dxa" w:w="5046"/>
          </w:tcPr>
          <w:p>
            <w:r>
              <w:t>Cannot launch the FIFA World Cup 2026 campaign on time, and lost event sending time cannot be recovered.</w:t>
            </w:r>
          </w:p>
        </w:tc>
      </w:tr>
      <w:tr>
        <w:tc>
          <w:tcPr>
            <w:tcW w:type="dxa" w:w="5046"/>
          </w:tcPr>
          <w:p>
            <w:r>
              <w:t>Sinch (commercial)</w:t>
            </w:r>
          </w:p>
        </w:tc>
        <w:tc>
          <w:tcPr>
            <w:tcW w:type="dxa" w:w="5046"/>
          </w:tcPr>
          <w:p>
            <w:r>
              <w:t>Risk to campaign revenue, credits, and the renewal at a flagship event.</w:t>
            </w:r>
          </w:p>
        </w:tc>
      </w:tr>
      <w:tr>
        <w:tc>
          <w:tcPr>
            <w:tcW w:type="dxa" w:w="5046"/>
          </w:tcPr>
          <w:p>
            <w:r>
              <w:t>Sinch (reputation)</w:t>
            </w:r>
          </w:p>
        </w:tc>
        <w:tc>
          <w:tcPr>
            <w:tcW w:type="dxa" w:w="5046"/>
          </w:tcPr>
          <w:p>
            <w:r>
              <w:t>Reputational risk, remembered longer than the incident.</w:t>
            </w:r>
          </w:p>
        </w:tc>
      </w:tr>
      <w:tr>
        <w:tc>
          <w:tcPr>
            <w:tcW w:type="dxa" w:w="5046"/>
          </w:tcPr>
          <w:p>
            <w:r>
              <w:t>The team member</w:t>
            </w:r>
          </w:p>
        </w:tc>
        <w:tc>
          <w:tcPr>
            <w:tcW w:type="dxa" w:w="5046"/>
          </w:tcPr>
          <w:p>
            <w:r>
              <w:t>Stress and loss of confidence without support.</w:t>
            </w:r>
          </w:p>
        </w:tc>
      </w:tr>
    </w:tbl>
    <w:p>
      <w:pPr>
        <w:jc w:val="both"/>
      </w:pPr>
    </w:p>
    <w:p>
      <w:pPr>
        <w:pStyle w:val="Heading1"/>
      </w:pPr>
      <w:r>
        <w:rPr/>
        <w:t>5. How I classify and frame it internally</w:t>
      </w:r>
    </w:p>
    <w:p>
      <w:pPr>
        <w:jc w:val="both"/>
      </w:pPr>
      <w:r>
        <w:rPr/>
        <w:t>I treat this as a P1, a total loss of service at a time critical moment, caused by an internal human error during a change with a missing backup. I frame it as an "us" problem to own, never a person to blame publicly.</w:t>
      </w:r>
    </w:p>
    <w:p>
      <w:pPr>
        <w:pStyle w:val="Heading1"/>
      </w:pPr>
      <w:r>
        <w:rPr/>
        <w:t>6. My immediate response (first hour)</w:t>
      </w:r>
    </w:p>
    <w:tbl>
      <w:tblPr>
        <w:tblStyle w:val="Sinch"/>
        <w:tblW w:type="auto" w:w="0"/>
        <w:tblLook w:firstColumn="1" w:firstRow="1" w:lastColumn="0" w:lastRow="0" w:noHBand="0" w:noVBand="1" w:val="04A0"/>
      </w:tblPr>
      <w:tblGrid>
        <w:gridCol w:w="5046"/>
        <w:gridCol w:w="5046"/>
      </w:tblGrid>
      <w:tr>
        <w:tc>
          <w:tcPr>
            <w:tcW w:type="dxa" w:w="5046"/>
          </w:tcPr>
          <w:p>
            <w:r>
              <w:rPr>
                <w:b/>
              </w:rPr>
              <w:t>Immediate action</w:t>
            </w:r>
          </w:p>
        </w:tc>
        <w:tc>
          <w:tcPr>
            <w:tcW w:type="dxa" w:w="5046"/>
          </w:tcPr>
          <w:p>
            <w:r>
              <w:rPr>
                <w:b/>
              </w:rPr>
              <w:t>What I do</w:t>
            </w:r>
          </w:p>
        </w:tc>
      </w:tr>
      <w:tr>
        <w:tc>
          <w:tcPr>
            <w:tcW w:type="dxa" w:w="5046"/>
          </w:tcPr>
          <w:p>
            <w:r>
              <w:t>Stay calm</w:t>
            </w:r>
          </w:p>
        </w:tc>
        <w:tc>
          <w:tcPr>
            <w:tcW w:type="dxa" w:w="5046"/>
          </w:tcPr>
          <w:p>
            <w:r>
              <w:t>Composure and support, not blame.</w:t>
            </w:r>
          </w:p>
        </w:tc>
      </w:tr>
      <w:tr>
        <w:tc>
          <w:tcPr>
            <w:tcW w:type="dxa" w:w="5046"/>
          </w:tcPr>
          <w:p>
            <w:r>
              <w:t>Take ownership</w:t>
            </w:r>
          </w:p>
        </w:tc>
        <w:tc>
          <w:tcPr>
            <w:tcW w:type="dxa" w:w="5046"/>
          </w:tcPr>
          <w:p>
            <w:r>
              <w:t>Shift pressure onto the team and me.</w:t>
            </w:r>
          </w:p>
        </w:tc>
      </w:tr>
      <w:tr>
        <w:tc>
          <w:tcPr>
            <w:tcW w:type="dxa" w:w="5046"/>
          </w:tcPr>
          <w:p>
            <w:r>
              <w:t>Stand up a P1</w:t>
            </w:r>
          </w:p>
        </w:tc>
        <w:tc>
          <w:tcPr>
            <w:tcW w:type="dxa" w:w="5046"/>
          </w:tcPr>
          <w:p>
            <w:r>
              <w:t>Bring in platform, Service Operations, and engineering.</w:t>
            </w:r>
          </w:p>
        </w:tc>
      </w:tr>
      <w:tr>
        <w:tc>
          <w:tcPr>
            <w:tcW w:type="dxa" w:w="5046"/>
          </w:tcPr>
          <w:p>
            <w:r>
              <w:t>Protect the customer</w:t>
            </w:r>
          </w:p>
        </w:tc>
        <w:tc>
          <w:tcPr>
            <w:tcW w:type="dxa" w:w="5046"/>
          </w:tcPr>
          <w:p>
            <w:r>
              <w:t>A prompt holding message and one point of contact.</w:t>
            </w:r>
          </w:p>
        </w:tc>
      </w:tr>
      <w:tr>
        <w:tc>
          <w:tcPr>
            <w:tcW w:type="dxa" w:w="5046"/>
          </w:tcPr>
          <w:p>
            <w:r>
              <w:t>Steady the team member</w:t>
            </w:r>
          </w:p>
        </w:tc>
        <w:tc>
          <w:tcPr>
            <w:tcW w:type="dxa" w:w="5046"/>
          </w:tcPr>
          <w:p>
            <w:r>
              <w:t>Fix it together now, talk later.</w:t>
            </w:r>
          </w:p>
        </w:tc>
      </w:tr>
    </w:tbl>
    <w:p>
      <w:pPr>
        <w:jc w:val="both"/>
      </w:pPr>
    </w:p>
    <w:p>
      <w:pPr>
        <w:pStyle w:val="Heading1"/>
      </w:pPr>
      <w:r>
        <w:rPr/>
        <w:t>7. Protecting the team member</w:t>
      </w:r>
    </w:p>
    <w:tbl>
      <w:tblPr>
        <w:tblStyle w:val="Sinch"/>
        <w:tblW w:type="auto" w:w="0"/>
        <w:tblLook w:firstColumn="1" w:firstRow="1" w:lastColumn="0" w:lastRow="0" w:noHBand="0" w:noVBand="1" w:val="04A0"/>
      </w:tblPr>
      <w:tblGrid>
        <w:gridCol w:w="5046"/>
        <w:gridCol w:w="5046"/>
      </w:tblGrid>
      <w:tr>
        <w:tc>
          <w:tcPr>
            <w:tcW w:type="dxa" w:w="5046"/>
          </w:tcPr>
          <w:p>
            <w:r>
              <w:rPr>
                <w:b/>
              </w:rPr>
              <w:t>Action</w:t>
            </w:r>
          </w:p>
        </w:tc>
        <w:tc>
          <w:tcPr>
            <w:tcW w:type="dxa" w:w="5046"/>
          </w:tcPr>
          <w:p>
            <w:r>
              <w:rPr>
                <w:b/>
              </w:rPr>
              <w:t>Why it matters</w:t>
            </w:r>
          </w:p>
        </w:tc>
      </w:tr>
      <w:tr>
        <w:tc>
          <w:tcPr>
            <w:tcW w:type="dxa" w:w="5046"/>
          </w:tcPr>
          <w:p>
            <w:r>
              <w:t>Never name them externally</w:t>
            </w:r>
          </w:p>
        </w:tc>
        <w:tc>
          <w:tcPr>
            <w:tcW w:type="dxa" w:w="5046"/>
          </w:tcPr>
          <w:p>
            <w:r>
              <w:t>To the customer it is "our team" or "one of our engineers".</w:t>
            </w:r>
          </w:p>
        </w:tc>
      </w:tr>
      <w:tr>
        <w:tc>
          <w:tcPr>
            <w:tcW w:type="dxa" w:w="5046"/>
          </w:tcPr>
          <w:p>
            <w:r>
              <w:t>Protect privacy internally</w:t>
            </w:r>
          </w:p>
        </w:tc>
        <w:tc>
          <w:tcPr>
            <w:tcW w:type="dxa" w:w="5046"/>
          </w:tcPr>
          <w:p>
            <w:r>
              <w:t>Leadership gets the facts and impact, not a name.</w:t>
            </w:r>
          </w:p>
        </w:tc>
      </w:tr>
      <w:tr>
        <w:tc>
          <w:tcPr>
            <w:tcW w:type="dxa" w:w="5046"/>
          </w:tcPr>
          <w:p>
            <w:r>
              <w:t>Reassure them privately</w:t>
            </w:r>
          </w:p>
        </w:tc>
        <w:tc>
          <w:tcPr>
            <w:tcW w:type="dxa" w:w="5046"/>
          </w:tcPr>
          <w:p>
            <w:r>
              <w:t>I have their back, and one mistake does not define them.</w:t>
            </w:r>
          </w:p>
        </w:tc>
      </w:tr>
    </w:tbl>
    <w:p>
      <w:pPr>
        <w:jc w:val="both"/>
      </w:pPr>
    </w:p>
    <w:p>
      <w:pPr>
        <w:pStyle w:val="Heading1"/>
      </w:pPr>
      <w:r>
        <w:rPr/>
        <w:t>8. Leading the technical recovery</w:t>
      </w:r>
    </w:p>
    <w:tbl>
      <w:tblPr>
        <w:tblStyle w:val="Sinch"/>
        <w:tblW w:type="auto" w:w="0"/>
        <w:tblLook w:firstColumn="1" w:firstRow="1" w:lastColumn="0" w:lastRow="0" w:noHBand="0" w:noVBand="1" w:val="04A0"/>
      </w:tblPr>
      <w:tblGrid>
        <w:gridCol w:w="5046"/>
        <w:gridCol w:w="5046"/>
      </w:tblGrid>
      <w:tr>
        <w:tc>
          <w:tcPr>
            <w:tcW w:type="dxa" w:w="5046"/>
          </w:tcPr>
          <w:p>
            <w:r>
              <w:rPr>
                <w:b/>
              </w:rPr>
              <w:t>Recovery action</w:t>
            </w:r>
          </w:p>
        </w:tc>
        <w:tc>
          <w:tcPr>
            <w:tcW w:type="dxa" w:w="5046"/>
          </w:tcPr>
          <w:p>
            <w:r>
              <w:rPr>
                <w:b/>
              </w:rPr>
              <w:t>Detail</w:t>
            </w:r>
          </w:p>
        </w:tc>
      </w:tr>
      <w:tr>
        <w:tc>
          <w:tcPr>
            <w:tcW w:type="dxa" w:w="5046"/>
          </w:tcPr>
          <w:p>
            <w:r>
              <w:t>Engage every resource</w:t>
            </w:r>
          </w:p>
        </w:tc>
        <w:tc>
          <w:tcPr>
            <w:tcW w:type="dxa" w:w="5046"/>
          </w:tcPr>
          <w:p>
            <w:r>
              <w:t>Pull in the right teams and escalate fast.</w:t>
            </w:r>
          </w:p>
        </w:tc>
      </w:tr>
      <w:tr>
        <w:tc>
          <w:tcPr>
            <w:tcW w:type="dxa" w:w="5046"/>
          </w:tcPr>
          <w:p>
            <w:r>
              <w:t>Rebuild and restore</w:t>
            </w:r>
          </w:p>
        </w:tc>
        <w:tc>
          <w:tcPr>
            <w:tcW w:type="dxa" w:w="5046"/>
          </w:tcPr>
          <w:p>
            <w:r>
              <w:t>Recover the account and configuration accurately, with an interim path where possible.</w:t>
            </w:r>
          </w:p>
        </w:tc>
      </w:tr>
      <w:tr>
        <w:tc>
          <w:tcPr>
            <w:tcW w:type="dxa" w:w="5046"/>
          </w:tcPr>
          <w:p>
            <w:r>
              <w:t>Verify before handback</w:t>
            </w:r>
          </w:p>
        </w:tc>
        <w:tc>
          <w:tcPr>
            <w:tcW w:type="dxa" w:w="5046"/>
          </w:tcPr>
          <w:p>
            <w:r>
              <w:t>Check capacity, routing, and a test send.</w:t>
            </w:r>
          </w:p>
        </w:tc>
      </w:tr>
    </w:tbl>
    <w:p>
      <w:pPr>
        <w:jc w:val="both"/>
      </w:pPr>
    </w:p>
    <w:p>
      <w:pPr>
        <w:pStyle w:val="Heading1"/>
      </w:pPr>
      <w:r>
        <w:rPr/>
        <w:t>9. Communicating with the client</w:t>
      </w:r>
    </w:p>
    <w:tbl>
      <w:tblPr>
        <w:tblStyle w:val="Sinch"/>
        <w:tblW w:type="auto" w:w="0"/>
        <w:tblLook w:firstColumn="1" w:firstRow="1" w:lastColumn="0" w:lastRow="0" w:noHBand="0" w:noVBand="1" w:val="04A0"/>
      </w:tblPr>
      <w:tblGrid>
        <w:gridCol w:w="3364"/>
        <w:gridCol w:w="3364"/>
        <w:gridCol w:w="3364"/>
      </w:tblGrid>
      <w:tr>
        <w:tc>
          <w:tcPr>
            <w:tcW w:type="dxa" w:w="3364"/>
          </w:tcPr>
          <w:p>
            <w:r>
              <w:rPr>
                <w:b/>
              </w:rPr>
              <w:t>Audience</w:t>
            </w:r>
          </w:p>
        </w:tc>
        <w:tc>
          <w:tcPr>
            <w:tcW w:type="dxa" w:w="3364"/>
          </w:tcPr>
          <w:p>
            <w:r>
              <w:rPr>
                <w:b/>
              </w:rPr>
              <w:t>Cadence</w:t>
            </w:r>
          </w:p>
        </w:tc>
        <w:tc>
          <w:tcPr>
            <w:tcW w:type="dxa" w:w="3364"/>
          </w:tcPr>
          <w:p>
            <w:r>
              <w:rPr>
                <w:b/>
              </w:rPr>
              <w:t>Owner</w:t>
            </w:r>
          </w:p>
        </w:tc>
      </w:tr>
      <w:tr>
        <w:tc>
          <w:tcPr>
            <w:tcW w:type="dxa" w:w="3364"/>
          </w:tcPr>
          <w:p>
            <w:r>
              <w:t>Apex (operational)</w:t>
            </w:r>
          </w:p>
        </w:tc>
        <w:tc>
          <w:tcPr>
            <w:tcW w:type="dxa" w:w="3364"/>
          </w:tcPr>
          <w:p>
            <w:r>
              <w:t>Regular updates until restored, then at resolution.</w:t>
            </w:r>
          </w:p>
        </w:tc>
        <w:tc>
          <w:tcPr>
            <w:tcW w:type="dxa" w:w="3364"/>
          </w:tcPr>
          <w:p>
            <w:r>
              <w:t>TAM, with me in support</w:t>
            </w:r>
          </w:p>
        </w:tc>
      </w:tr>
      <w:tr>
        <w:tc>
          <w:tcPr>
            <w:tcW w:type="dxa" w:w="3364"/>
          </w:tcPr>
          <w:p>
            <w:r>
              <w:t>Apex (senior)</w:t>
            </w:r>
          </w:p>
        </w:tc>
        <w:tc>
          <w:tcPr>
            <w:tcW w:type="dxa" w:w="3364"/>
          </w:tcPr>
          <w:p>
            <w:r>
              <w:t>At milestones and after resolution.</w:t>
            </w:r>
          </w:p>
        </w:tc>
        <w:tc>
          <w:tcPr>
            <w:tcW w:type="dxa" w:w="3364"/>
          </w:tcPr>
          <w:p>
            <w:r>
              <w:t>Team Lead</w:t>
            </w:r>
          </w:p>
        </w:tc>
      </w:tr>
    </w:tbl>
    <w:p>
      <w:pPr>
        <w:jc w:val="both"/>
      </w:pPr>
    </w:p>
    <w:p>
      <w:pPr>
        <w:jc w:val="both"/>
      </w:pPr>
      <w:r>
        <w:rPr>
          <w:i/>
        </w:rPr>
        <w:t>Sample language I would use with the customer:</w:t>
      </w:r>
    </w:p>
    <w:p>
      <w:pPr>
        <w:ind w:left="540"/>
      </w:pPr>
      <w:r>
        <w:rPr>
          <w:i/>
        </w:rPr>
        <w:t>"We have identified an issue on our side affecting your account and the team is restoring service as the priority. This was an internal error during a change, we own it, and I will keep you updated until you are sending again."</w:t>
      </w:r>
    </w:p>
    <w:p>
      <w:pPr>
        <w:pStyle w:val="Heading1"/>
      </w:pPr>
      <w:r>
        <w:rPr/>
        <w:t>10. Communicating with leadership</w:t>
      </w:r>
    </w:p>
    <w:tbl>
      <w:tblPr>
        <w:tblStyle w:val="Sinch"/>
        <w:tblW w:type="auto" w:w="0"/>
        <w:tblLook w:firstColumn="1" w:firstRow="1" w:lastColumn="0" w:lastRow="0" w:noHBand="0" w:noVBand="1" w:val="04A0"/>
      </w:tblPr>
      <w:tblGrid>
        <w:gridCol w:w="5046"/>
        <w:gridCol w:w="5046"/>
      </w:tblGrid>
      <w:tr>
        <w:tc>
          <w:tcPr>
            <w:tcW w:type="dxa" w:w="5046"/>
          </w:tcPr>
          <w:p>
            <w:r>
              <w:rPr>
                <w:b/>
              </w:rPr>
              <w:t>What I do</w:t>
            </w:r>
          </w:p>
        </w:tc>
        <w:tc>
          <w:tcPr>
            <w:tcW w:type="dxa" w:w="5046"/>
          </w:tcPr>
          <w:p>
            <w:r>
              <w:rPr>
                <w:b/>
              </w:rPr>
              <w:t>Detail</w:t>
            </w:r>
          </w:p>
        </w:tc>
      </w:tr>
      <w:tr>
        <w:tc>
          <w:tcPr>
            <w:tcW w:type="dxa" w:w="5046"/>
          </w:tcPr>
          <w:p>
            <w:r>
              <w:t>Tell them promptly</w:t>
            </w:r>
          </w:p>
        </w:tc>
        <w:tc>
          <w:tcPr>
            <w:tcW w:type="dxa" w:w="5046"/>
          </w:tcPr>
          <w:p>
            <w:r>
              <w:t>An early heads up from me on a flagship P1.</w:t>
            </w:r>
          </w:p>
        </w:tc>
      </w:tr>
      <w:tr>
        <w:tc>
          <w:tcPr>
            <w:tcW w:type="dxa" w:w="5046"/>
          </w:tcPr>
          <w:p>
            <w:r>
              <w:t>Lead with impact and actions</w:t>
            </w:r>
          </w:p>
        </w:tc>
        <w:tc>
          <w:tcPr>
            <w:tcW w:type="dxa" w:w="5046"/>
          </w:tcPr>
          <w:p>
            <w:r>
              <w:t>What happened, who is affected, what we are doing, ETA, and risks.</w:t>
            </w:r>
          </w:p>
        </w:tc>
      </w:tr>
      <w:tr>
        <w:tc>
          <w:tcPr>
            <w:tcW w:type="dxa" w:w="5046"/>
          </w:tcPr>
          <w:p>
            <w:r>
              <w:t>Protect the person, plan prevention</w:t>
            </w:r>
          </w:p>
        </w:tc>
        <w:tc>
          <w:tcPr>
            <w:tcW w:type="dxa" w:w="5046"/>
          </w:tcPr>
          <w:p>
            <w:r>
              <w:t>An internal error and process gap, plus how we stop a repeat.</w:t>
            </w:r>
          </w:p>
        </w:tc>
      </w:tr>
    </w:tbl>
    <w:p>
      <w:pPr>
        <w:jc w:val="both"/>
      </w:pPr>
    </w:p>
    <w:p>
      <w:pPr>
        <w:jc w:val="both"/>
      </w:pPr>
      <w:r>
        <w:rPr>
          <w:i/>
        </w:rPr>
        <w:t>Sample leadership update:</w:t>
      </w:r>
    </w:p>
    <w:p>
      <w:pPr>
        <w:ind w:left="540"/>
      </w:pPr>
      <w:r>
        <w:rPr>
          <w:i/>
        </w:rPr>
        <w:t>"P1 affecting Apex Sports Media before their FIFA World Cup 2026 campaign. One of our team accidentally deleted the account and a missing backup is slowing restoration. Team fully engaged and the customer kept updated, with an RCA and a mandatory pre change backup to follow."</w:t>
      </w:r>
    </w:p>
    <w:p>
      <w:pPr>
        <w:pStyle w:val="Heading1"/>
      </w:pPr>
      <w:r>
        <w:rPr/>
        <w:t>11. Supporting the team member through it</w:t>
      </w:r>
    </w:p>
    <w:tbl>
      <w:tblPr>
        <w:tblStyle w:val="Sinch"/>
        <w:tblW w:type="auto" w:w="0"/>
        <w:tblLook w:firstColumn="1" w:firstRow="1" w:lastColumn="0" w:lastRow="0" w:noHBand="0" w:noVBand="1" w:val="04A0"/>
      </w:tblPr>
      <w:tblGrid>
        <w:gridCol w:w="5046"/>
        <w:gridCol w:w="5046"/>
      </w:tblGrid>
      <w:tr>
        <w:tc>
          <w:tcPr>
            <w:tcW w:type="dxa" w:w="5046"/>
          </w:tcPr>
          <w:p>
            <w:r>
              <w:rPr>
                <w:b/>
              </w:rPr>
              <w:t>Action</w:t>
            </w:r>
          </w:p>
        </w:tc>
        <w:tc>
          <w:tcPr>
            <w:tcW w:type="dxa" w:w="5046"/>
          </w:tcPr>
          <w:p>
            <w:r>
              <w:rPr>
                <w:b/>
              </w:rPr>
              <w:t>Why it matters</w:t>
            </w:r>
          </w:p>
        </w:tc>
      </w:tr>
      <w:tr>
        <w:tc>
          <w:tcPr>
            <w:tcW w:type="dxa" w:w="5046"/>
          </w:tcPr>
          <w:p>
            <w:r>
              <w:t>Protect their confidence</w:t>
            </w:r>
          </w:p>
        </w:tc>
        <w:tc>
          <w:tcPr>
            <w:tcW w:type="dxa" w:w="5046"/>
          </w:tcPr>
          <w:p>
            <w:r>
              <w:t>One mistake does not erase their value.</w:t>
            </w:r>
          </w:p>
        </w:tc>
      </w:tr>
      <w:tr>
        <w:tc>
          <w:tcPr>
            <w:tcW w:type="dxa" w:w="5046"/>
          </w:tcPr>
          <w:p>
            <w:r>
              <w:t>Give them a break</w:t>
            </w:r>
          </w:p>
        </w:tc>
        <w:tc>
          <w:tcPr>
            <w:tcW w:type="dxa" w:w="5046"/>
          </w:tcPr>
          <w:p>
            <w:r>
              <w:t>They rest once it is fixed.</w:t>
            </w:r>
          </w:p>
        </w:tc>
      </w:tr>
      <w:tr>
        <w:tc>
          <w:tcPr>
            <w:tcW w:type="dxa" w:w="5046"/>
          </w:tcPr>
          <w:p>
            <w:r>
              <w:t>Encourage them</w:t>
            </w:r>
          </w:p>
        </w:tc>
        <w:tc>
          <w:tcPr>
            <w:tcW w:type="dxa" w:w="5046"/>
          </w:tcPr>
          <w:p>
            <w:r>
              <w:t>Job and trust intact, and back to strong performance.</w:t>
            </w:r>
          </w:p>
        </w:tc>
      </w:tr>
    </w:tbl>
    <w:p>
      <w:pPr>
        <w:jc w:val="both"/>
      </w:pPr>
    </w:p>
    <w:p>
      <w:pPr>
        <w:pStyle w:val="Heading1"/>
      </w:pPr>
      <w:r>
        <w:rPr/>
        <w:t>12. The follow-up conversation</w:t>
      </w:r>
    </w:p>
    <w:p>
      <w:pPr>
        <w:jc w:val="both"/>
      </w:pPr>
      <w:r>
        <w:rPr/>
        <w:t>I would talk it through calmly the next day, once everyone has rested, focusing on process and tooling rather than the person, to understand what happened and agree what we change.</w:t>
      </w:r>
    </w:p>
    <w:p>
      <w:pPr>
        <w:pStyle w:val="Heading1"/>
      </w:pPr>
      <w:r>
        <w:rPr/>
        <w:t>13. Preventing recurrence</w:t>
      </w:r>
    </w:p>
    <w:p>
      <w:pPr>
        <w:jc w:val="both"/>
      </w:pPr>
      <w:r>
        <w:rPr/>
        <w:t>There is always a margin for human error, but the same serious mistake should not happen twice. You achieve that by improving the system.</w:t>
      </w:r>
    </w:p>
    <w:tbl>
      <w:tblPr>
        <w:tblStyle w:val="Sinch"/>
        <w:tblW w:type="auto" w:w="0"/>
        <w:tblLook w:firstColumn="1" w:firstRow="1" w:lastColumn="0" w:lastRow="0" w:noHBand="0" w:noVBand="1" w:val="04A0"/>
      </w:tblPr>
      <w:tblGrid>
        <w:gridCol w:w="5046"/>
        <w:gridCol w:w="5046"/>
      </w:tblGrid>
      <w:tr>
        <w:tc>
          <w:tcPr>
            <w:tcW w:type="dxa" w:w="5046"/>
          </w:tcPr>
          <w:p>
            <w:r>
              <w:rPr>
                <w:b/>
              </w:rPr>
              <w:t>Safeguard</w:t>
            </w:r>
          </w:p>
        </w:tc>
        <w:tc>
          <w:tcPr>
            <w:tcW w:type="dxa" w:w="5046"/>
          </w:tcPr>
          <w:p>
            <w:r>
              <w:rPr>
                <w:b/>
              </w:rPr>
              <w:t>What it prevents</w:t>
            </w:r>
          </w:p>
        </w:tc>
      </w:tr>
      <w:tr>
        <w:tc>
          <w:tcPr>
            <w:tcW w:type="dxa" w:w="5046"/>
          </w:tcPr>
          <w:p>
            <w:r>
              <w:t>Mandatory pre change backup</w:t>
            </w:r>
          </w:p>
        </w:tc>
        <w:tc>
          <w:tcPr>
            <w:tcW w:type="dxa" w:w="5046"/>
          </w:tcPr>
          <w:p>
            <w:r>
              <w:t>Slow recovery, the gap in this incident.</w:t>
            </w:r>
          </w:p>
        </w:tc>
      </w:tr>
      <w:tr>
        <w:tc>
          <w:tcPr>
            <w:tcW w:type="dxa" w:w="5046"/>
          </w:tcPr>
          <w:p>
            <w:r>
              <w:t>Four eyes approval for risky changes</w:t>
            </w:r>
          </w:p>
        </w:tc>
        <w:tc>
          <w:tcPr>
            <w:tcW w:type="dxa" w:w="5046"/>
          </w:tcPr>
          <w:p>
            <w:r>
              <w:t>One person making a high impact change unchecked.</w:t>
            </w:r>
          </w:p>
        </w:tc>
      </w:tr>
      <w:tr>
        <w:tc>
          <w:tcPr>
            <w:tcW w:type="dxa" w:w="5046"/>
          </w:tcPr>
          <w:p>
            <w:r>
              <w:t>Safer delete with a recovery window</w:t>
            </w:r>
          </w:p>
        </w:tc>
        <w:tc>
          <w:tcPr>
            <w:tcW w:type="dxa" w:w="5046"/>
          </w:tcPr>
          <w:p>
            <w:r>
              <w:t>Permanent loss from an accidental action.</w:t>
            </w:r>
          </w:p>
        </w:tc>
      </w:tr>
    </w:tbl>
    <w:p>
      <w:pPr>
        <w:jc w:val="both"/>
      </w:pPr>
    </w:p>
    <w:p>
      <w:pPr>
        <w:pStyle w:val="Heading1"/>
      </w:pPr>
      <w:r>
        <w:rPr/>
        <w:t>14. RCA, documentation, and lessons learned</w:t>
      </w:r>
    </w:p>
    <w:p>
      <w:pPr>
        <w:pStyle w:val="ListBullet"/>
      </w:pPr>
      <w:r>
        <w:rPr/>
        <w:t>Provide an RCA to the customer if required, and document the incident and lessons for training.</w:t>
      </w:r>
    </w:p>
    <w:p>
      <w:pPr>
        <w:pStyle w:val="ListBullet"/>
      </w:pPr>
      <w:r>
        <w:rPr/>
        <w:t>Share learnings blamelessly and track actions to completion.</w:t>
      </w:r>
    </w:p>
    <w:p>
      <w:pPr>
        <w:pStyle w:val="Heading1"/>
      </w:pPr>
      <w:r>
        <w:rPr/>
        <w:t>15. What good looks like</w:t>
      </w:r>
    </w:p>
    <w:p>
      <w:pPr>
        <w:pStyle w:val="ListBullet"/>
      </w:pPr>
      <w:r>
        <w:rPr/>
        <w:t>Customer restored quickly and kept honestly informed.</w:t>
      </w:r>
    </w:p>
    <w:p>
      <w:pPr>
        <w:pStyle w:val="ListBullet"/>
      </w:pPr>
      <w:r>
        <w:rPr/>
        <w:t>Team member protected, supported, and back performing.</w:t>
      </w:r>
    </w:p>
    <w:p>
      <w:pPr>
        <w:pStyle w:val="ListBullet"/>
      </w:pPr>
      <w:r>
        <w:rPr/>
        <w:t>A mandatory pre change backup means this cannot recur the same way.</w:t>
      </w:r>
    </w:p>
    <w:p>
      <w:pPr>
        <w:jc w:val="both"/>
      </w:pPr>
    </w:p>
    <w:p>
      <w:pPr>
        <w:jc w:val="both"/>
      </w:pPr>
      <w:r>
        <w:rPr>
          <w:i/>
        </w:rPr>
        <w:t>Bottom line: there is a margin for human error and people must feel safe to own it. Fix fast, protect the customer and the colleague, and improve the system.</w:t>
      </w:r>
    </w:p>
    <w:sectPr w:rsidR="00686900" w:rsidRPr="0048725A" w:rsidSect="00EE4C53">
      <w:headerReference w:type="default" r:id="rId19"/>
      <w:footerReference w:type="default" r:id="rId20"/>
      <w:headerReference w:type="first" r:id="rId21"/>
      <w:pgSz w:w="11906" w:h="16838"/>
      <w:pgMar w:top="1293" w:right="907" w:bottom="907" w:left="907" w:header="283"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10469" w14:textId="77777777" w:rsidR="00E84D79" w:rsidRDefault="00E84D79" w:rsidP="00813C78">
      <w:pPr>
        <w:spacing w:after="0"/>
      </w:pPr>
      <w:r>
        <w:separator/>
      </w:r>
    </w:p>
  </w:endnote>
  <w:endnote w:type="continuationSeparator" w:id="0">
    <w:p w14:paraId="291B335E" w14:textId="77777777" w:rsidR="00E84D79" w:rsidRDefault="00E84D79" w:rsidP="00813C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ost Grotesk">
    <w:altName w:val="Calibri"/>
    <w:panose1 w:val="020B0504030402000203"/>
    <w:charset w:val="4D"/>
    <w:family w:val="swiss"/>
    <w:pitch w:val="variable"/>
    <w:sig w:usb0="A00000FF" w:usb1="4000206B" w:usb2="00000000" w:usb3="00000000" w:csb0="00000093" w:csb1="00000000"/>
  </w:font>
  <w:font w:name="Host Grotesk SemiBold">
    <w:altName w:val="Calibri"/>
    <w:panose1 w:val="020B0504030402000203"/>
    <w:charset w:val="4D"/>
    <w:family w:val="swiss"/>
    <w:pitch w:val="variable"/>
    <w:sig w:usb0="A00000FF" w:usb1="4000206B" w:usb2="00000000" w:usb3="00000000" w:csb0="00000093"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DM Sans 14pt Medium">
    <w:altName w:val="Calibri"/>
    <w:charset w:val="4D"/>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2B43" w14:textId="77777777" w:rsidR="00813C78" w:rsidRPr="00CC6FC4" w:rsidRDefault="00890ED1" w:rsidP="00CC6FC4">
    <w:pPr>
      <w:pStyle w:val="Footer"/>
    </w:pPr>
    <w:r w:rsidRPr="00890ED1">
      <w:rPr>
        <w:color w:val="7F7F7F" w:themeColor="text1" w:themeTint="80"/>
      </w:rPr>
      <w:t>©2026 Sinch</w:t>
    </w:r>
    <w:r>
      <w:tab/>
    </w:r>
    <w:r w:rsidRPr="00CC6FC4">
      <w:fldChar w:fldCharType="begin"/>
    </w:r>
    <w:r w:rsidRPr="00CC6FC4">
      <w:instrText>PAGE   \* MERGEFORMAT</w:instrText>
    </w:r>
    <w:r w:rsidRPr="00CC6FC4">
      <w:fldChar w:fldCharType="separate"/>
    </w:r>
    <w:r>
      <w:t>1</w:t>
    </w:r>
    <w:r w:rsidRPr="00CC6FC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DF7A4" w14:textId="77777777" w:rsidR="00E84D79" w:rsidRDefault="00E84D79" w:rsidP="00813C78">
      <w:pPr>
        <w:spacing w:after="0"/>
      </w:pPr>
      <w:r>
        <w:separator/>
      </w:r>
    </w:p>
  </w:footnote>
  <w:footnote w:type="continuationSeparator" w:id="0">
    <w:p w14:paraId="5D13BBD2" w14:textId="77777777" w:rsidR="00E84D79" w:rsidRDefault="00E84D79" w:rsidP="00813C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4D00" w14:textId="77777777" w:rsidR="00813C78" w:rsidRPr="00C253E4" w:rsidRDefault="00CC6FC4" w:rsidP="00C253E4">
    <w:pPr>
      <w:pStyle w:val="Header"/>
    </w:pPr>
    <w:r>
      <w:rPr>
        <w:noProof/>
      </w:rPr>
      <w:drawing>
        <wp:inline distT="0" distB="0" distL="0" distR="0" wp14:anchorId="34CFECB5" wp14:editId="61DB8894">
          <wp:extent cx="737420" cy="154344"/>
          <wp:effectExtent l="0" t="0" r="5715" b="0"/>
          <wp:docPr id="2038863578" name="Graphic 203886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Graphic 7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37420" cy="154344"/>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4CAAF" w14:textId="77777777" w:rsidR="00EE4C53" w:rsidRDefault="00EE4C53">
    <w:pPr>
      <w:pStyle w:val="Header"/>
    </w:pPr>
    <w:r>
      <w:rPr>
        <w:noProof/>
      </w:rPr>
      <w:drawing>
        <wp:anchor distT="0" distB="0" distL="114300" distR="114300" simplePos="0" relativeHeight="251661312" behindDoc="0" locked="1" layoutInCell="1" allowOverlap="1" wp14:anchorId="18CF2CDD" wp14:editId="5870A618">
          <wp:simplePos x="0" y="0"/>
          <wp:positionH relativeFrom="page">
            <wp:posOffset>342265</wp:posOffset>
          </wp:positionH>
          <wp:positionV relativeFrom="page">
            <wp:posOffset>342265</wp:posOffset>
          </wp:positionV>
          <wp:extent cx="1594800" cy="334800"/>
          <wp:effectExtent l="0" t="0" r="5715" b="8255"/>
          <wp:wrapNone/>
          <wp:docPr id="815323481" name="Graphic 81532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Graphic 7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94800" cy="334800"/>
                  </a:xfrm>
                  <a:prstGeom prst="rect">
                    <a:avLst/>
                  </a:prstGeom>
                </pic:spPr>
              </pic:pic>
            </a:graphicData>
          </a:graphic>
          <wp14:sizeRelH relativeFrom="page">
            <wp14:pctWidth>0</wp14:pctWidth>
          </wp14:sizeRelH>
          <wp14:sizeRelV relativeFrom="page">
            <wp14:pctHeight>0</wp14:pctHeight>
          </wp14:sizeRelV>
        </wp:anchor>
      </w:drawing>
    </w:r>
    <w:r>
      <w:rPr>
        <w:rFonts w:ascii="DM Sans 14pt Medium" w:hAnsi="DM Sans 14pt Medium"/>
        <w:smallCaps/>
        <w:noProof/>
        <w:spacing w:val="10"/>
      </w:rPr>
      <mc:AlternateContent>
        <mc:Choice Requires="wps">
          <w:drawing>
            <wp:anchor distT="0" distB="0" distL="114300" distR="114300" simplePos="0" relativeHeight="251659264" behindDoc="1" locked="1" layoutInCell="1" allowOverlap="1" wp14:anchorId="04927C79" wp14:editId="55C84E6F">
              <wp:simplePos x="0" y="0"/>
              <wp:positionH relativeFrom="page">
                <wp:align>center</wp:align>
              </wp:positionH>
              <wp:positionV relativeFrom="page">
                <wp:align>center</wp:align>
              </wp:positionV>
              <wp:extent cx="7272000" cy="10404000"/>
              <wp:effectExtent l="0" t="0" r="5715" b="0"/>
              <wp:wrapNone/>
              <wp:docPr id="1986463636" name="Rounded Rectangle 4"/>
              <wp:cNvGraphicFramePr/>
              <a:graphic xmlns:a="http://schemas.openxmlformats.org/drawingml/2006/main">
                <a:graphicData uri="http://schemas.microsoft.com/office/word/2010/wordprocessingShape">
                  <wps:wsp>
                    <wps:cNvSpPr/>
                    <wps:spPr>
                      <a:xfrm>
                        <a:off x="0" y="0"/>
                        <a:ext cx="7272000" cy="10404000"/>
                      </a:xfrm>
                      <a:prstGeom prst="roundRect">
                        <a:avLst>
                          <a:gd name="adj" fmla="val 4901"/>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EEE65F" id="Rounded Rectangle 4" o:spid="_x0000_s1026" style="position:absolute;margin-left:0;margin-top:0;width:572.6pt;height:819.2pt;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arcsize="32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" fillcolor="#fff6b3 [3205]" stroked="f" strokeweight="1pt">
              <v:stroke joinstyle="miter"/>
              <w10:wrap anchorx="page" anchory="page"/>
              <w10:anchorlock/>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B2E4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2940A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5C60E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C229F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D1485D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94ACB8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A1AF7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5AA0F0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BCC4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59E97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412B46"/>
    <w:multiLevelType w:val="multilevel"/>
    <w:tmpl w:val="B8CAC588"/>
    <w:lvl w:ilvl="0">
      <w:start w:val="1"/>
      <w:numFmt w:val="decimal"/>
      <w:pStyle w:val="Noter"/>
      <w:suff w:val="space"/>
      <w:lvlText w:val="Not %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16B4260A"/>
    <w:multiLevelType w:val="multilevel"/>
    <w:tmpl w:val="85BE364E"/>
    <w:lvl w:ilvl="0">
      <w:start w:val="1"/>
      <w:numFmt w:val="bullet"/>
      <w:pStyle w:val="ListBullet"/>
      <w:lvlText w:val="•"/>
      <w:lvlJc w:val="left"/>
      <w:pPr>
        <w:ind w:left="357" w:hanging="357"/>
      </w:pPr>
      <w:rPr>
        <w:rFonts w:ascii="Calibri" w:hAnsi="Calibri" w:hint="default"/>
        <w:color w:val="auto"/>
      </w:rPr>
    </w:lvl>
    <w:lvl w:ilvl="1">
      <w:start w:val="1"/>
      <w:numFmt w:val="bullet"/>
      <w:pStyle w:val="ListBullet2"/>
      <w:lvlText w:val="•"/>
      <w:lvlJc w:val="left"/>
      <w:pPr>
        <w:ind w:left="714" w:hanging="357"/>
      </w:pPr>
      <w:rPr>
        <w:rFonts w:ascii="Calibri" w:hAnsi="Calibri" w:hint="default"/>
        <w:color w:val="auto"/>
      </w:rPr>
    </w:lvl>
    <w:lvl w:ilvl="2">
      <w:start w:val="1"/>
      <w:numFmt w:val="bullet"/>
      <w:pStyle w:val="ListBullet3"/>
      <w:lvlText w:val="•"/>
      <w:lvlJc w:val="left"/>
      <w:pPr>
        <w:ind w:left="1071" w:hanging="357"/>
      </w:pPr>
      <w:rPr>
        <w:rFonts w:ascii="Calibri" w:hAnsi="Calibri" w:hint="default"/>
        <w:color w:val="auto"/>
      </w:rPr>
    </w:lvl>
    <w:lvl w:ilvl="3">
      <w:start w:val="1"/>
      <w:numFmt w:val="bullet"/>
      <w:pStyle w:val="ListBullet4"/>
      <w:lvlText w:val="•"/>
      <w:lvlJc w:val="left"/>
      <w:pPr>
        <w:ind w:left="1428" w:hanging="357"/>
      </w:pPr>
      <w:rPr>
        <w:rFonts w:ascii="Calibri" w:hAnsi="Calibri" w:hint="default"/>
        <w:color w:val="auto"/>
      </w:rPr>
    </w:lvl>
    <w:lvl w:ilvl="4">
      <w:start w:val="1"/>
      <w:numFmt w:val="bullet"/>
      <w:pStyle w:val="ListBullet5"/>
      <w:lvlText w:val="•"/>
      <w:lvlJc w:val="left"/>
      <w:pPr>
        <w:ind w:left="1785" w:hanging="357"/>
      </w:pPr>
      <w:rPr>
        <w:rFonts w:ascii="Calibri" w:hAnsi="Calibri" w:hint="default"/>
        <w:color w:val="auto"/>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4A6A0756"/>
    <w:multiLevelType w:val="hybridMultilevel"/>
    <w:tmpl w:val="4B78BF2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5DCC16EE"/>
    <w:multiLevelType w:val="multilevel"/>
    <w:tmpl w:val="9DB227C6"/>
    <w:lvl w:ilvl="0">
      <w:start w:val="1"/>
      <w:numFmt w:val="decimal"/>
      <w:pStyle w:val="ListNumber"/>
      <w:lvlText w:val="%1."/>
      <w:lvlJc w:val="left"/>
      <w:pPr>
        <w:ind w:left="357" w:hanging="357"/>
      </w:pPr>
      <w:rPr>
        <w:rFonts w:hint="default"/>
      </w:rPr>
    </w:lvl>
    <w:lvl w:ilvl="1">
      <w:start w:val="1"/>
      <w:numFmt w:val="lowerLetter"/>
      <w:pStyle w:val="ListNumber2"/>
      <w:lvlText w:val="%2."/>
      <w:lvlJc w:val="left"/>
      <w:pPr>
        <w:ind w:left="714" w:hanging="357"/>
      </w:pPr>
      <w:rPr>
        <w:rFonts w:hint="default"/>
      </w:rPr>
    </w:lvl>
    <w:lvl w:ilvl="2">
      <w:start w:val="1"/>
      <w:numFmt w:val="lowerRoman"/>
      <w:pStyle w:val="ListNumber3"/>
      <w:lvlText w:val="%3."/>
      <w:lvlJc w:val="left"/>
      <w:pPr>
        <w:ind w:left="1071" w:hanging="357"/>
      </w:pPr>
      <w:rPr>
        <w:rFonts w:hint="default"/>
      </w:rPr>
    </w:lvl>
    <w:lvl w:ilvl="3">
      <w:start w:val="1"/>
      <w:numFmt w:val="decimal"/>
      <w:pStyle w:val="ListNumber4"/>
      <w:lvlText w:val="%4)"/>
      <w:lvlJc w:val="left"/>
      <w:pPr>
        <w:ind w:left="1428" w:hanging="357"/>
      </w:pPr>
      <w:rPr>
        <w:rFonts w:hint="default"/>
      </w:rPr>
    </w:lvl>
    <w:lvl w:ilvl="4">
      <w:start w:val="1"/>
      <w:numFmt w:val="lowerLetter"/>
      <w:pStyle w:val="ListNumber5"/>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num w:numId="1" w16cid:durableId="76637706">
    <w:abstractNumId w:val="11"/>
  </w:num>
  <w:num w:numId="2" w16cid:durableId="766777609">
    <w:abstractNumId w:val="7"/>
  </w:num>
  <w:num w:numId="3" w16cid:durableId="1532498267">
    <w:abstractNumId w:val="6"/>
  </w:num>
  <w:num w:numId="4" w16cid:durableId="320929972">
    <w:abstractNumId w:val="5"/>
  </w:num>
  <w:num w:numId="5" w16cid:durableId="1199590138">
    <w:abstractNumId w:val="4"/>
  </w:num>
  <w:num w:numId="6" w16cid:durableId="1949000127">
    <w:abstractNumId w:val="13"/>
  </w:num>
  <w:num w:numId="7" w16cid:durableId="156461084">
    <w:abstractNumId w:val="3"/>
  </w:num>
  <w:num w:numId="8" w16cid:durableId="1680738018">
    <w:abstractNumId w:val="2"/>
  </w:num>
  <w:num w:numId="9" w16cid:durableId="988361324">
    <w:abstractNumId w:val="1"/>
  </w:num>
  <w:num w:numId="10" w16cid:durableId="525868491">
    <w:abstractNumId w:val="0"/>
  </w:num>
  <w:num w:numId="11" w16cid:durableId="249076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37335946">
    <w:abstractNumId w:val="10"/>
  </w:num>
  <w:num w:numId="13" w16cid:durableId="1364133316">
    <w:abstractNumId w:val="8"/>
  </w:num>
  <w:num w:numId="14" w16cid:durableId="9959566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8678430">
    <w:abstractNumId w:val="12"/>
  </w:num>
  <w:num w:numId="16" w16cid:durableId="767848772">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0C3"/>
    <w:rsid w:val="00000EDB"/>
    <w:rsid w:val="00005105"/>
    <w:rsid w:val="00005C4C"/>
    <w:rsid w:val="00007106"/>
    <w:rsid w:val="0004686E"/>
    <w:rsid w:val="00056EF3"/>
    <w:rsid w:val="00057E72"/>
    <w:rsid w:val="00065357"/>
    <w:rsid w:val="0007640B"/>
    <w:rsid w:val="00082656"/>
    <w:rsid w:val="000906CD"/>
    <w:rsid w:val="00091F57"/>
    <w:rsid w:val="000A4A20"/>
    <w:rsid w:val="000B1DB5"/>
    <w:rsid w:val="000C399A"/>
    <w:rsid w:val="000D01A8"/>
    <w:rsid w:val="000E3A6E"/>
    <w:rsid w:val="00116FFD"/>
    <w:rsid w:val="00120B88"/>
    <w:rsid w:val="00122958"/>
    <w:rsid w:val="001237B7"/>
    <w:rsid w:val="001273FE"/>
    <w:rsid w:val="00132596"/>
    <w:rsid w:val="00161F30"/>
    <w:rsid w:val="00165BF2"/>
    <w:rsid w:val="0018660C"/>
    <w:rsid w:val="00190A59"/>
    <w:rsid w:val="001B132A"/>
    <w:rsid w:val="001B33C1"/>
    <w:rsid w:val="001C1201"/>
    <w:rsid w:val="001D27C3"/>
    <w:rsid w:val="001D555E"/>
    <w:rsid w:val="001E1678"/>
    <w:rsid w:val="001E6018"/>
    <w:rsid w:val="001F02E0"/>
    <w:rsid w:val="001F1063"/>
    <w:rsid w:val="001F3C23"/>
    <w:rsid w:val="001F4F44"/>
    <w:rsid w:val="001F538F"/>
    <w:rsid w:val="002070AA"/>
    <w:rsid w:val="00210610"/>
    <w:rsid w:val="0021177E"/>
    <w:rsid w:val="00215DF1"/>
    <w:rsid w:val="0023757D"/>
    <w:rsid w:val="0026632D"/>
    <w:rsid w:val="00266D13"/>
    <w:rsid w:val="0028326C"/>
    <w:rsid w:val="00287CDC"/>
    <w:rsid w:val="002918EE"/>
    <w:rsid w:val="002D3705"/>
    <w:rsid w:val="002F01CF"/>
    <w:rsid w:val="002F2AE6"/>
    <w:rsid w:val="0030643B"/>
    <w:rsid w:val="00307817"/>
    <w:rsid w:val="00331D76"/>
    <w:rsid w:val="00337712"/>
    <w:rsid w:val="00362CE7"/>
    <w:rsid w:val="003704AE"/>
    <w:rsid w:val="00392A8C"/>
    <w:rsid w:val="0039506D"/>
    <w:rsid w:val="0039558E"/>
    <w:rsid w:val="003B06DA"/>
    <w:rsid w:val="003B39EA"/>
    <w:rsid w:val="003E145B"/>
    <w:rsid w:val="003F1D59"/>
    <w:rsid w:val="003F763F"/>
    <w:rsid w:val="004025B2"/>
    <w:rsid w:val="00410041"/>
    <w:rsid w:val="00411BEE"/>
    <w:rsid w:val="00415525"/>
    <w:rsid w:val="004216EA"/>
    <w:rsid w:val="00423F0E"/>
    <w:rsid w:val="0042445E"/>
    <w:rsid w:val="00443F65"/>
    <w:rsid w:val="0045517A"/>
    <w:rsid w:val="0045790E"/>
    <w:rsid w:val="0047256F"/>
    <w:rsid w:val="00474955"/>
    <w:rsid w:val="004759F0"/>
    <w:rsid w:val="0048725A"/>
    <w:rsid w:val="004B0468"/>
    <w:rsid w:val="004C1AF0"/>
    <w:rsid w:val="004C2DA2"/>
    <w:rsid w:val="004E37D9"/>
    <w:rsid w:val="004E4394"/>
    <w:rsid w:val="005140B3"/>
    <w:rsid w:val="00532A26"/>
    <w:rsid w:val="00565454"/>
    <w:rsid w:val="00577867"/>
    <w:rsid w:val="0059027C"/>
    <w:rsid w:val="005A6B51"/>
    <w:rsid w:val="005B20C0"/>
    <w:rsid w:val="005C1F60"/>
    <w:rsid w:val="005D1020"/>
    <w:rsid w:val="005D1754"/>
    <w:rsid w:val="005E7931"/>
    <w:rsid w:val="00610330"/>
    <w:rsid w:val="00651E32"/>
    <w:rsid w:val="006645CE"/>
    <w:rsid w:val="00665E09"/>
    <w:rsid w:val="00672837"/>
    <w:rsid w:val="0068170C"/>
    <w:rsid w:val="00686900"/>
    <w:rsid w:val="006877D9"/>
    <w:rsid w:val="0069113E"/>
    <w:rsid w:val="006970A9"/>
    <w:rsid w:val="006970C3"/>
    <w:rsid w:val="006A2145"/>
    <w:rsid w:val="006B1A59"/>
    <w:rsid w:val="006C7054"/>
    <w:rsid w:val="006E25FB"/>
    <w:rsid w:val="00707442"/>
    <w:rsid w:val="007154D1"/>
    <w:rsid w:val="007234D4"/>
    <w:rsid w:val="00730649"/>
    <w:rsid w:val="007655AE"/>
    <w:rsid w:val="00796D7F"/>
    <w:rsid w:val="007A36E7"/>
    <w:rsid w:val="007A6DB7"/>
    <w:rsid w:val="007B28B6"/>
    <w:rsid w:val="007C51FA"/>
    <w:rsid w:val="007D3721"/>
    <w:rsid w:val="007D69F8"/>
    <w:rsid w:val="007F0BDB"/>
    <w:rsid w:val="007F19CC"/>
    <w:rsid w:val="007F73A3"/>
    <w:rsid w:val="0080294E"/>
    <w:rsid w:val="008123E2"/>
    <w:rsid w:val="0081356F"/>
    <w:rsid w:val="00813C78"/>
    <w:rsid w:val="008325A0"/>
    <w:rsid w:val="008351D1"/>
    <w:rsid w:val="0083763D"/>
    <w:rsid w:val="00837E9B"/>
    <w:rsid w:val="008409B1"/>
    <w:rsid w:val="008412F7"/>
    <w:rsid w:val="00846FA7"/>
    <w:rsid w:val="00864373"/>
    <w:rsid w:val="00890ED1"/>
    <w:rsid w:val="00897370"/>
    <w:rsid w:val="008A214B"/>
    <w:rsid w:val="008C4E7A"/>
    <w:rsid w:val="008C6F7C"/>
    <w:rsid w:val="008E09F4"/>
    <w:rsid w:val="008F1CF0"/>
    <w:rsid w:val="008F4511"/>
    <w:rsid w:val="008F4DE2"/>
    <w:rsid w:val="0090694B"/>
    <w:rsid w:val="009163BD"/>
    <w:rsid w:val="00921949"/>
    <w:rsid w:val="009305B4"/>
    <w:rsid w:val="009307FA"/>
    <w:rsid w:val="00963AEA"/>
    <w:rsid w:val="00964EB5"/>
    <w:rsid w:val="00970DD0"/>
    <w:rsid w:val="009712DF"/>
    <w:rsid w:val="00995220"/>
    <w:rsid w:val="009C460A"/>
    <w:rsid w:val="009E567D"/>
    <w:rsid w:val="00A06756"/>
    <w:rsid w:val="00A07663"/>
    <w:rsid w:val="00A17BED"/>
    <w:rsid w:val="00A23E60"/>
    <w:rsid w:val="00A26F25"/>
    <w:rsid w:val="00A30419"/>
    <w:rsid w:val="00A51E2D"/>
    <w:rsid w:val="00A51F48"/>
    <w:rsid w:val="00A60C05"/>
    <w:rsid w:val="00A67006"/>
    <w:rsid w:val="00AA0CF0"/>
    <w:rsid w:val="00AC61D2"/>
    <w:rsid w:val="00AE4EE9"/>
    <w:rsid w:val="00AE7F9A"/>
    <w:rsid w:val="00AF1B26"/>
    <w:rsid w:val="00B0401F"/>
    <w:rsid w:val="00B3204A"/>
    <w:rsid w:val="00B508DA"/>
    <w:rsid w:val="00B521C1"/>
    <w:rsid w:val="00B723E3"/>
    <w:rsid w:val="00B75B8F"/>
    <w:rsid w:val="00B77416"/>
    <w:rsid w:val="00B87236"/>
    <w:rsid w:val="00C1030C"/>
    <w:rsid w:val="00C21573"/>
    <w:rsid w:val="00C253E4"/>
    <w:rsid w:val="00C27E1D"/>
    <w:rsid w:val="00C35F11"/>
    <w:rsid w:val="00C37890"/>
    <w:rsid w:val="00C546FB"/>
    <w:rsid w:val="00C650A9"/>
    <w:rsid w:val="00C759BF"/>
    <w:rsid w:val="00C81B12"/>
    <w:rsid w:val="00C83051"/>
    <w:rsid w:val="00C86347"/>
    <w:rsid w:val="00C94893"/>
    <w:rsid w:val="00CB1DF5"/>
    <w:rsid w:val="00CC6FC4"/>
    <w:rsid w:val="00D02E79"/>
    <w:rsid w:val="00D062E2"/>
    <w:rsid w:val="00D109B4"/>
    <w:rsid w:val="00D575C0"/>
    <w:rsid w:val="00D77C15"/>
    <w:rsid w:val="00D81D4E"/>
    <w:rsid w:val="00D97A27"/>
    <w:rsid w:val="00DB5618"/>
    <w:rsid w:val="00DB5FE8"/>
    <w:rsid w:val="00DC0099"/>
    <w:rsid w:val="00DC029C"/>
    <w:rsid w:val="00DC03C5"/>
    <w:rsid w:val="00DC6916"/>
    <w:rsid w:val="00DC7A44"/>
    <w:rsid w:val="00E15D18"/>
    <w:rsid w:val="00E334DF"/>
    <w:rsid w:val="00E35AA1"/>
    <w:rsid w:val="00E51924"/>
    <w:rsid w:val="00E61AE1"/>
    <w:rsid w:val="00E84D79"/>
    <w:rsid w:val="00EA4841"/>
    <w:rsid w:val="00EB1D14"/>
    <w:rsid w:val="00EB32DC"/>
    <w:rsid w:val="00EB7B61"/>
    <w:rsid w:val="00EC1546"/>
    <w:rsid w:val="00EE4C53"/>
    <w:rsid w:val="00F00E70"/>
    <w:rsid w:val="00F15141"/>
    <w:rsid w:val="00F227CD"/>
    <w:rsid w:val="00F27CCF"/>
    <w:rsid w:val="00F53BD0"/>
    <w:rsid w:val="00F8298C"/>
    <w:rsid w:val="00FA2607"/>
    <w:rsid w:val="00FB2AA5"/>
    <w:rsid w:val="00FC7CB1"/>
    <w:rsid w:val="00FD26F0"/>
    <w:rsid w:val="00FF3441"/>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F35A6"/>
  <w15:chartTrackingRefBased/>
  <w15:docId w15:val="{B48626D2-8AB2-42A1-B937-B2C511EE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sv-SE"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annotation text" w:semiHidden="1" w:unhideWhenUsed="1"/>
    <w:lsdException w:name="index heading" w:semiHidden="1" w:unhideWhenUsed="1"/>
    <w:lsdException w:name="caption" w:uiPriority="35" w:qFormat="1"/>
    <w:lsdException w:name="table of figures" w:semiHidden="1" w:unhideWhenUsed="1"/>
    <w:lsdException w:name="envelope return" w:semiHidden="1" w:unhideWhenUsed="1"/>
    <w:lsdException w:name="annotation reference" w:semiHidden="1" w:unhideWhenUsed="1"/>
    <w:lsdException w:name="line number" w:semiHidden="1" w:unhideWhenUsed="1"/>
    <w:lsdException w:name="page number" w:semiHidden="1"/>
    <w:lsdException w:name="endnote reference" w:semiHidden="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Title" w:uiPriority="10"/>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98"/>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678"/>
  </w:style>
  <w:style w:type="paragraph" w:styleId="Heading1">
    <w:name w:val="heading 1"/>
    <w:basedOn w:val="Normal"/>
    <w:next w:val="Normal"/>
    <w:link w:val="Heading1Char"/>
    <w:uiPriority w:val="9"/>
    <w:qFormat/>
    <w:rsid w:val="008325A0"/>
    <w:pPr>
      <w:keepNext/>
      <w:keepLines/>
      <w:spacing w:before="520" w:after="260"/>
      <w:outlineLvl w:val="0"/>
    </w:pPr>
    <w:rPr>
      <w:rFonts w:asciiTheme="majorHAnsi" w:eastAsiaTheme="majorEastAsia" w:hAnsiTheme="majorHAnsi" w:cstheme="majorBidi"/>
      <w:spacing w:val="-14"/>
      <w:sz w:val="36"/>
      <w:szCs w:val="32"/>
    </w:rPr>
  </w:style>
  <w:style w:type="paragraph" w:styleId="Heading2">
    <w:name w:val="heading 2"/>
    <w:basedOn w:val="Heading1"/>
    <w:next w:val="Normal"/>
    <w:link w:val="Heading2Char"/>
    <w:uiPriority w:val="9"/>
    <w:qFormat/>
    <w:rsid w:val="008325A0"/>
    <w:pPr>
      <w:spacing w:after="220"/>
      <w:outlineLvl w:val="1"/>
    </w:pPr>
    <w:rPr>
      <w:spacing w:val="-10"/>
      <w:sz w:val="28"/>
      <w:szCs w:val="26"/>
    </w:rPr>
  </w:style>
  <w:style w:type="paragraph" w:styleId="Heading3">
    <w:name w:val="heading 3"/>
    <w:basedOn w:val="Heading2"/>
    <w:next w:val="Normal"/>
    <w:link w:val="Heading3Char"/>
    <w:uiPriority w:val="9"/>
    <w:qFormat/>
    <w:rsid w:val="008325A0"/>
    <w:pPr>
      <w:spacing w:before="460" w:after="160"/>
      <w:outlineLvl w:val="2"/>
    </w:pPr>
    <w:rPr>
      <w:spacing w:val="-6"/>
      <w:sz w:val="24"/>
      <w:szCs w:val="24"/>
    </w:rPr>
  </w:style>
  <w:style w:type="paragraph" w:styleId="Heading4">
    <w:name w:val="heading 4"/>
    <w:basedOn w:val="Heading3"/>
    <w:next w:val="Normal"/>
    <w:link w:val="Heading4Char"/>
    <w:uiPriority w:val="9"/>
    <w:qFormat/>
    <w:rsid w:val="00091F57"/>
    <w:pPr>
      <w:spacing w:before="360" w:after="80"/>
      <w:outlineLvl w:val="3"/>
    </w:pPr>
    <w:rPr>
      <w:iCs/>
      <w:spacing w:val="0"/>
      <w:sz w:val="22"/>
    </w:rPr>
  </w:style>
  <w:style w:type="paragraph" w:styleId="Heading5">
    <w:name w:val="heading 5"/>
    <w:basedOn w:val="Heading4"/>
    <w:next w:val="Normal"/>
    <w:link w:val="Heading5Char"/>
    <w:uiPriority w:val="9"/>
    <w:qFormat/>
    <w:rsid w:val="00091F57"/>
    <w:pPr>
      <w:outlineLvl w:val="4"/>
    </w:pPr>
    <w:rPr>
      <w:sz w:val="20"/>
    </w:rPr>
  </w:style>
  <w:style w:type="paragraph" w:styleId="Heading6">
    <w:name w:val="heading 6"/>
    <w:basedOn w:val="Heading5"/>
    <w:next w:val="Normal"/>
    <w:link w:val="Heading6Char"/>
    <w:uiPriority w:val="9"/>
    <w:semiHidden/>
    <w:rsid w:val="005B20C0"/>
    <w:pPr>
      <w:outlineLvl w:val="5"/>
    </w:pPr>
    <w:rPr>
      <w:i/>
    </w:rPr>
  </w:style>
  <w:style w:type="paragraph" w:styleId="Heading7">
    <w:name w:val="heading 7"/>
    <w:basedOn w:val="Heading6"/>
    <w:next w:val="Normal"/>
    <w:link w:val="Heading7Char"/>
    <w:uiPriority w:val="9"/>
    <w:semiHidden/>
    <w:rsid w:val="003B06DA"/>
    <w:pPr>
      <w:outlineLvl w:val="6"/>
    </w:pPr>
    <w:rPr>
      <w:i w:val="0"/>
      <w:iCs w:val="0"/>
      <w:sz w:val="22"/>
    </w:rPr>
  </w:style>
  <w:style w:type="paragraph" w:styleId="Heading8">
    <w:name w:val="heading 8"/>
    <w:basedOn w:val="Heading7"/>
    <w:next w:val="Normal"/>
    <w:link w:val="Heading8Char"/>
    <w:uiPriority w:val="9"/>
    <w:semiHidden/>
    <w:rsid w:val="005B20C0"/>
    <w:pPr>
      <w:outlineLvl w:val="7"/>
    </w:pPr>
    <w:rPr>
      <w:i/>
      <w:szCs w:val="21"/>
    </w:rPr>
  </w:style>
  <w:style w:type="paragraph" w:styleId="Heading9">
    <w:name w:val="heading 9"/>
    <w:basedOn w:val="Heading8"/>
    <w:next w:val="Normal"/>
    <w:link w:val="Heading9Char"/>
    <w:uiPriority w:val="9"/>
    <w:semiHidden/>
    <w:rsid w:val="003B06DA"/>
    <w:pPr>
      <w:outlineLvl w:val="8"/>
    </w:pPr>
    <w:rPr>
      <w:i w:val="0"/>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rsid w:val="008325A0"/>
    <w:pPr>
      <w:numPr>
        <w:ilvl w:val="1"/>
      </w:numPr>
      <w:spacing w:after="0"/>
    </w:pPr>
    <w:rPr>
      <w:rFonts w:eastAsiaTheme="minorEastAsia"/>
      <w:spacing w:val="-6"/>
      <w:sz w:val="28"/>
    </w:rPr>
  </w:style>
  <w:style w:type="character" w:customStyle="1" w:styleId="SubtitleChar">
    <w:name w:val="Subtitle Char"/>
    <w:basedOn w:val="DefaultParagraphFont"/>
    <w:link w:val="Subtitle"/>
    <w:uiPriority w:val="11"/>
    <w:rsid w:val="008325A0"/>
    <w:rPr>
      <w:rFonts w:eastAsiaTheme="minorEastAsia"/>
      <w:spacing w:val="-6"/>
      <w:sz w:val="30"/>
    </w:rPr>
  </w:style>
  <w:style w:type="character" w:customStyle="1" w:styleId="Heading9Char">
    <w:name w:val="Heading 9 Char"/>
    <w:basedOn w:val="DefaultParagraphFont"/>
    <w:link w:val="Heading9"/>
    <w:uiPriority w:val="9"/>
    <w:semiHidden/>
    <w:rsid w:val="00A67006"/>
    <w:rPr>
      <w:rFonts w:asciiTheme="majorHAnsi" w:eastAsiaTheme="majorEastAsia" w:hAnsiTheme="majorHAnsi" w:cstheme="majorBidi"/>
      <w:iCs/>
      <w:sz w:val="20"/>
      <w:szCs w:val="21"/>
    </w:rPr>
  </w:style>
  <w:style w:type="character" w:customStyle="1" w:styleId="Heading8Char">
    <w:name w:val="Heading 8 Char"/>
    <w:basedOn w:val="DefaultParagraphFont"/>
    <w:link w:val="Heading8"/>
    <w:uiPriority w:val="9"/>
    <w:semiHidden/>
    <w:rsid w:val="00A67006"/>
    <w:rPr>
      <w:rFonts w:asciiTheme="majorHAnsi" w:eastAsiaTheme="majorEastAsia" w:hAnsiTheme="majorHAnsi" w:cstheme="majorBidi"/>
      <w:i/>
      <w:szCs w:val="21"/>
    </w:rPr>
  </w:style>
  <w:style w:type="character" w:customStyle="1" w:styleId="Heading7Char">
    <w:name w:val="Heading 7 Char"/>
    <w:basedOn w:val="DefaultParagraphFont"/>
    <w:link w:val="Heading7"/>
    <w:uiPriority w:val="9"/>
    <w:semiHidden/>
    <w:rsid w:val="00A67006"/>
    <w:rPr>
      <w:rFonts w:asciiTheme="majorHAnsi" w:eastAsiaTheme="majorEastAsia" w:hAnsiTheme="majorHAnsi" w:cstheme="majorBidi"/>
      <w:szCs w:val="24"/>
    </w:rPr>
  </w:style>
  <w:style w:type="character" w:customStyle="1" w:styleId="Heading6Char">
    <w:name w:val="Heading 6 Char"/>
    <w:basedOn w:val="DefaultParagraphFont"/>
    <w:link w:val="Heading6"/>
    <w:uiPriority w:val="9"/>
    <w:semiHidden/>
    <w:rsid w:val="00A6700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091F57"/>
    <w:rPr>
      <w:rFonts w:asciiTheme="majorHAnsi" w:eastAsiaTheme="majorEastAsia" w:hAnsiTheme="majorHAnsi" w:cstheme="majorBidi"/>
      <w:iCs/>
      <w:spacing w:val="-6"/>
      <w:szCs w:val="24"/>
    </w:rPr>
  </w:style>
  <w:style w:type="character" w:customStyle="1" w:styleId="Heading4Char">
    <w:name w:val="Heading 4 Char"/>
    <w:basedOn w:val="DefaultParagraphFont"/>
    <w:link w:val="Heading4"/>
    <w:uiPriority w:val="9"/>
    <w:rsid w:val="00091F57"/>
    <w:rPr>
      <w:rFonts w:asciiTheme="majorHAnsi" w:eastAsiaTheme="majorEastAsia" w:hAnsiTheme="majorHAnsi" w:cstheme="majorBidi"/>
      <w:iCs/>
      <w:sz w:val="24"/>
      <w:szCs w:val="24"/>
    </w:rPr>
  </w:style>
  <w:style w:type="character" w:customStyle="1" w:styleId="Heading3Char">
    <w:name w:val="Heading 3 Char"/>
    <w:basedOn w:val="DefaultParagraphFont"/>
    <w:link w:val="Heading3"/>
    <w:uiPriority w:val="9"/>
    <w:rsid w:val="008325A0"/>
    <w:rPr>
      <w:rFonts w:asciiTheme="majorHAnsi" w:eastAsiaTheme="majorEastAsia" w:hAnsiTheme="majorHAnsi" w:cstheme="majorBidi"/>
      <w:spacing w:val="-6"/>
      <w:sz w:val="32"/>
      <w:szCs w:val="24"/>
    </w:rPr>
  </w:style>
  <w:style w:type="character" w:customStyle="1" w:styleId="Heading2Char">
    <w:name w:val="Heading 2 Char"/>
    <w:basedOn w:val="DefaultParagraphFont"/>
    <w:link w:val="Heading2"/>
    <w:uiPriority w:val="9"/>
    <w:rsid w:val="008325A0"/>
    <w:rPr>
      <w:rFonts w:asciiTheme="majorHAnsi" w:eastAsiaTheme="majorEastAsia" w:hAnsiTheme="majorHAnsi" w:cstheme="majorBidi"/>
      <w:spacing w:val="-10"/>
      <w:sz w:val="48"/>
      <w:szCs w:val="26"/>
    </w:rPr>
  </w:style>
  <w:style w:type="character" w:customStyle="1" w:styleId="Heading1Char">
    <w:name w:val="Heading 1 Char"/>
    <w:basedOn w:val="DefaultParagraphFont"/>
    <w:link w:val="Heading1"/>
    <w:uiPriority w:val="9"/>
    <w:rsid w:val="008325A0"/>
    <w:rPr>
      <w:rFonts w:asciiTheme="majorHAnsi" w:eastAsiaTheme="majorEastAsia" w:hAnsiTheme="majorHAnsi" w:cstheme="majorBidi"/>
      <w:spacing w:val="-14"/>
      <w:sz w:val="64"/>
      <w:szCs w:val="32"/>
    </w:rPr>
  </w:style>
  <w:style w:type="paragraph" w:styleId="TOCHeading">
    <w:name w:val="TOC Heading"/>
    <w:basedOn w:val="Heading1"/>
    <w:next w:val="Normal"/>
    <w:uiPriority w:val="38"/>
    <w:rsid w:val="000D01A8"/>
    <w:pPr>
      <w:outlineLvl w:val="9"/>
    </w:pPr>
  </w:style>
  <w:style w:type="paragraph" w:styleId="Title">
    <w:name w:val="Title"/>
    <w:basedOn w:val="Normal"/>
    <w:next w:val="Subtitle"/>
    <w:link w:val="TitleChar"/>
    <w:uiPriority w:val="10"/>
    <w:rsid w:val="008325A0"/>
    <w:pPr>
      <w:spacing w:after="0"/>
      <w:contextualSpacing/>
    </w:pPr>
    <w:rPr>
      <w:rFonts w:asciiTheme="majorHAnsi" w:eastAsiaTheme="majorEastAsia" w:hAnsiTheme="majorHAnsi" w:cstheme="majorBidi"/>
      <w:spacing w:val="-20"/>
      <w:kern w:val="28"/>
      <w:sz w:val="56"/>
      <w:szCs w:val="56"/>
    </w:rPr>
  </w:style>
  <w:style w:type="character" w:customStyle="1" w:styleId="TitleChar">
    <w:name w:val="Title Char"/>
    <w:basedOn w:val="DefaultParagraphFont"/>
    <w:link w:val="Title"/>
    <w:uiPriority w:val="10"/>
    <w:rsid w:val="008325A0"/>
    <w:rPr>
      <w:rFonts w:asciiTheme="majorHAnsi" w:eastAsiaTheme="majorEastAsia" w:hAnsiTheme="majorHAnsi" w:cstheme="majorBidi"/>
      <w:spacing w:val="-20"/>
      <w:kern w:val="28"/>
      <w:sz w:val="104"/>
      <w:szCs w:val="56"/>
    </w:rPr>
  </w:style>
  <w:style w:type="paragraph" w:styleId="Salutation">
    <w:name w:val="Salutation"/>
    <w:basedOn w:val="Normal"/>
    <w:next w:val="Normal"/>
    <w:link w:val="SalutationChar"/>
    <w:uiPriority w:val="99"/>
    <w:semiHidden/>
    <w:rsid w:val="005C1F60"/>
    <w:rPr>
      <w:sz w:val="24"/>
    </w:rPr>
  </w:style>
  <w:style w:type="character" w:customStyle="1" w:styleId="SalutationChar">
    <w:name w:val="Salutation Char"/>
    <w:basedOn w:val="DefaultParagraphFont"/>
    <w:link w:val="Salutation"/>
    <w:uiPriority w:val="99"/>
    <w:semiHidden/>
    <w:rsid w:val="00DB5618"/>
    <w:rPr>
      <w:sz w:val="24"/>
    </w:rPr>
  </w:style>
  <w:style w:type="paragraph" w:styleId="ListBullet">
    <w:name w:val="List Bullet"/>
    <w:basedOn w:val="Normal"/>
    <w:uiPriority w:val="23"/>
    <w:qFormat/>
    <w:rsid w:val="00A26F25"/>
    <w:pPr>
      <w:numPr>
        <w:numId w:val="1"/>
      </w:numPr>
      <w:contextualSpacing/>
    </w:pPr>
  </w:style>
  <w:style w:type="paragraph" w:styleId="ListBullet2">
    <w:name w:val="List Bullet 2"/>
    <w:basedOn w:val="Normal"/>
    <w:uiPriority w:val="23"/>
    <w:rsid w:val="00A26F25"/>
    <w:pPr>
      <w:numPr>
        <w:ilvl w:val="1"/>
        <w:numId w:val="1"/>
      </w:numPr>
      <w:contextualSpacing/>
    </w:pPr>
  </w:style>
  <w:style w:type="paragraph" w:styleId="ListBullet3">
    <w:name w:val="List Bullet 3"/>
    <w:basedOn w:val="Normal"/>
    <w:uiPriority w:val="23"/>
    <w:rsid w:val="00A26F25"/>
    <w:pPr>
      <w:numPr>
        <w:ilvl w:val="2"/>
        <w:numId w:val="1"/>
      </w:numPr>
      <w:contextualSpacing/>
    </w:pPr>
  </w:style>
  <w:style w:type="paragraph" w:styleId="ListBullet4">
    <w:name w:val="List Bullet 4"/>
    <w:basedOn w:val="Normal"/>
    <w:uiPriority w:val="99"/>
    <w:semiHidden/>
    <w:rsid w:val="00A26F25"/>
    <w:pPr>
      <w:numPr>
        <w:ilvl w:val="3"/>
        <w:numId w:val="1"/>
      </w:numPr>
      <w:contextualSpacing/>
    </w:pPr>
  </w:style>
  <w:style w:type="paragraph" w:styleId="ListBullet5">
    <w:name w:val="List Bullet 5"/>
    <w:basedOn w:val="Normal"/>
    <w:uiPriority w:val="99"/>
    <w:semiHidden/>
    <w:rsid w:val="00A26F25"/>
    <w:pPr>
      <w:numPr>
        <w:ilvl w:val="4"/>
        <w:numId w:val="1"/>
      </w:numPr>
      <w:contextualSpacing/>
    </w:pPr>
  </w:style>
  <w:style w:type="paragraph" w:styleId="ListNumber">
    <w:name w:val="List Number"/>
    <w:basedOn w:val="Normal"/>
    <w:uiPriority w:val="22"/>
    <w:qFormat/>
    <w:rsid w:val="00651E32"/>
    <w:pPr>
      <w:numPr>
        <w:numId w:val="6"/>
      </w:numPr>
      <w:contextualSpacing/>
    </w:pPr>
  </w:style>
  <w:style w:type="paragraph" w:styleId="ListNumber2">
    <w:name w:val="List Number 2"/>
    <w:basedOn w:val="Normal"/>
    <w:uiPriority w:val="22"/>
    <w:rsid w:val="00651E32"/>
    <w:pPr>
      <w:numPr>
        <w:ilvl w:val="1"/>
        <w:numId w:val="6"/>
      </w:numPr>
      <w:contextualSpacing/>
    </w:pPr>
  </w:style>
  <w:style w:type="paragraph" w:styleId="ListNumber3">
    <w:name w:val="List Number 3"/>
    <w:basedOn w:val="Normal"/>
    <w:uiPriority w:val="22"/>
    <w:rsid w:val="00651E32"/>
    <w:pPr>
      <w:numPr>
        <w:ilvl w:val="2"/>
        <w:numId w:val="6"/>
      </w:numPr>
      <w:contextualSpacing/>
    </w:pPr>
  </w:style>
  <w:style w:type="paragraph" w:styleId="ListNumber4">
    <w:name w:val="List Number 4"/>
    <w:basedOn w:val="Normal"/>
    <w:uiPriority w:val="99"/>
    <w:semiHidden/>
    <w:rsid w:val="00651E32"/>
    <w:pPr>
      <w:numPr>
        <w:ilvl w:val="3"/>
        <w:numId w:val="6"/>
      </w:numPr>
      <w:contextualSpacing/>
    </w:pPr>
  </w:style>
  <w:style w:type="paragraph" w:styleId="ListNumber5">
    <w:name w:val="List Number 5"/>
    <w:basedOn w:val="Normal"/>
    <w:uiPriority w:val="99"/>
    <w:semiHidden/>
    <w:rsid w:val="00651E32"/>
    <w:pPr>
      <w:numPr>
        <w:ilvl w:val="4"/>
        <w:numId w:val="6"/>
      </w:numPr>
      <w:contextualSpacing/>
    </w:pPr>
  </w:style>
  <w:style w:type="paragraph" w:styleId="TOC1">
    <w:name w:val="toc 1"/>
    <w:basedOn w:val="Normal"/>
    <w:next w:val="Normal"/>
    <w:autoRedefine/>
    <w:uiPriority w:val="39"/>
    <w:rsid w:val="00D109B4"/>
    <w:pPr>
      <w:tabs>
        <w:tab w:val="right" w:leader="dot" w:pos="10081"/>
      </w:tabs>
      <w:spacing w:after="100"/>
    </w:pPr>
  </w:style>
  <w:style w:type="paragraph" w:styleId="TOC2">
    <w:name w:val="toc 2"/>
    <w:basedOn w:val="Normal"/>
    <w:next w:val="Normal"/>
    <w:autoRedefine/>
    <w:uiPriority w:val="39"/>
    <w:rsid w:val="00D109B4"/>
    <w:pPr>
      <w:tabs>
        <w:tab w:val="right" w:leader="dot" w:pos="10082"/>
      </w:tabs>
      <w:spacing w:after="100"/>
      <w:ind w:left="221"/>
    </w:pPr>
  </w:style>
  <w:style w:type="paragraph" w:styleId="TOC3">
    <w:name w:val="toc 3"/>
    <w:basedOn w:val="Normal"/>
    <w:next w:val="Normal"/>
    <w:autoRedefine/>
    <w:uiPriority w:val="39"/>
    <w:rsid w:val="0007640B"/>
    <w:pPr>
      <w:tabs>
        <w:tab w:val="right" w:leader="dot" w:pos="10081"/>
      </w:tabs>
      <w:spacing w:after="100"/>
      <w:ind w:left="440"/>
    </w:pPr>
  </w:style>
  <w:style w:type="character" w:styleId="Hyperlink">
    <w:name w:val="Hyperlink"/>
    <w:basedOn w:val="DefaultParagraphFont"/>
    <w:uiPriority w:val="99"/>
    <w:unhideWhenUsed/>
    <w:rsid w:val="00362CE7"/>
    <w:rPr>
      <w:color w:val="2977FF" w:themeColor="hyperlink"/>
      <w:u w:val="single"/>
    </w:rPr>
  </w:style>
  <w:style w:type="character" w:styleId="PlaceholderText">
    <w:name w:val="Placeholder Text"/>
    <w:basedOn w:val="DefaultParagraphFont"/>
    <w:uiPriority w:val="99"/>
    <w:rsid w:val="000B1DB5"/>
    <w:rPr>
      <w:color w:val="808080"/>
      <w:bdr w:val="none" w:sz="0" w:space="0" w:color="auto"/>
      <w:shd w:val="clear" w:color="auto" w:fill="F2F2F2"/>
    </w:rPr>
  </w:style>
  <w:style w:type="paragraph" w:styleId="NoSpacing">
    <w:name w:val="No Spacing"/>
    <w:uiPriority w:val="1"/>
    <w:qFormat/>
    <w:rsid w:val="00813C78"/>
    <w:pPr>
      <w:spacing w:after="0"/>
    </w:pPr>
  </w:style>
  <w:style w:type="paragraph" w:styleId="Header">
    <w:name w:val="header"/>
    <w:basedOn w:val="Normal"/>
    <w:link w:val="HeaderChar"/>
    <w:uiPriority w:val="26"/>
    <w:rsid w:val="00890ED1"/>
    <w:pPr>
      <w:tabs>
        <w:tab w:val="center" w:pos="4536"/>
        <w:tab w:val="right" w:pos="9072"/>
      </w:tabs>
      <w:spacing w:after="0"/>
    </w:pPr>
    <w:rPr>
      <w:sz w:val="16"/>
    </w:rPr>
  </w:style>
  <w:style w:type="character" w:customStyle="1" w:styleId="HeaderChar">
    <w:name w:val="Header Char"/>
    <w:basedOn w:val="DefaultParagraphFont"/>
    <w:link w:val="Header"/>
    <w:uiPriority w:val="26"/>
    <w:rsid w:val="00890ED1"/>
    <w:rPr>
      <w:sz w:val="16"/>
    </w:rPr>
  </w:style>
  <w:style w:type="paragraph" w:styleId="Footer">
    <w:name w:val="footer"/>
    <w:basedOn w:val="Normal"/>
    <w:link w:val="FooterChar"/>
    <w:uiPriority w:val="26"/>
    <w:rsid w:val="00890ED1"/>
    <w:pPr>
      <w:tabs>
        <w:tab w:val="right" w:pos="10093"/>
      </w:tabs>
      <w:spacing w:after="0"/>
    </w:pPr>
    <w:rPr>
      <w:sz w:val="16"/>
    </w:rPr>
  </w:style>
  <w:style w:type="character" w:customStyle="1" w:styleId="FooterChar">
    <w:name w:val="Footer Char"/>
    <w:basedOn w:val="DefaultParagraphFont"/>
    <w:link w:val="Footer"/>
    <w:uiPriority w:val="26"/>
    <w:rsid w:val="00890ED1"/>
    <w:rPr>
      <w:sz w:val="16"/>
    </w:rPr>
  </w:style>
  <w:style w:type="table" w:styleId="TableGrid">
    <w:name w:val="Table Grid"/>
    <w:basedOn w:val="TableNormal"/>
    <w:uiPriority w:val="39"/>
    <w:rsid w:val="008F1CF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26632D"/>
    <w:pPr>
      <w:spacing w:before="200"/>
    </w:pPr>
    <w:rPr>
      <w:rFonts w:asciiTheme="majorHAnsi" w:hAnsiTheme="majorHAnsi"/>
      <w:iCs/>
      <w:spacing w:val="-9"/>
      <w:sz w:val="64"/>
    </w:rPr>
  </w:style>
  <w:style w:type="character" w:customStyle="1" w:styleId="QuoteChar">
    <w:name w:val="Quote Char"/>
    <w:basedOn w:val="DefaultParagraphFont"/>
    <w:link w:val="Quote"/>
    <w:uiPriority w:val="29"/>
    <w:rsid w:val="0026632D"/>
    <w:rPr>
      <w:rFonts w:asciiTheme="majorHAnsi" w:hAnsiTheme="majorHAnsi"/>
      <w:iCs/>
      <w:spacing w:val="-9"/>
      <w:sz w:val="64"/>
    </w:rPr>
  </w:style>
  <w:style w:type="paragraph" w:styleId="Closing">
    <w:name w:val="Closing"/>
    <w:basedOn w:val="Normal"/>
    <w:next w:val="NoSpacing"/>
    <w:link w:val="ClosingChar"/>
    <w:uiPriority w:val="99"/>
    <w:semiHidden/>
    <w:rsid w:val="00A51F48"/>
    <w:pPr>
      <w:spacing w:before="720" w:after="720"/>
    </w:pPr>
  </w:style>
  <w:style w:type="character" w:customStyle="1" w:styleId="ClosingChar">
    <w:name w:val="Closing Char"/>
    <w:basedOn w:val="DefaultParagraphFont"/>
    <w:link w:val="Closing"/>
    <w:uiPriority w:val="99"/>
    <w:semiHidden/>
    <w:rsid w:val="00474955"/>
  </w:style>
  <w:style w:type="paragraph" w:customStyle="1" w:styleId="Preamble">
    <w:name w:val="Preamble"/>
    <w:basedOn w:val="Normal"/>
    <w:next w:val="Normal"/>
    <w:uiPriority w:val="12"/>
    <w:qFormat/>
    <w:rsid w:val="008325A0"/>
    <w:pPr>
      <w:spacing w:before="360"/>
    </w:pPr>
    <w:rPr>
      <w:sz w:val="24"/>
    </w:rPr>
  </w:style>
  <w:style w:type="paragraph" w:styleId="EnvelopeAddress">
    <w:name w:val="envelope address"/>
    <w:basedOn w:val="NoSpacing"/>
    <w:uiPriority w:val="99"/>
    <w:semiHidden/>
    <w:rsid w:val="00B723E3"/>
    <w:pPr>
      <w:framePr w:w="5670" w:h="2268" w:hRule="exact" w:vSpace="2268" w:wrap="around" w:vAnchor="page" w:hAnchor="page" w:xAlign="right" w:yAlign="top" w:anchorLock="1"/>
    </w:pPr>
    <w:rPr>
      <w:rFonts w:eastAsiaTheme="majorEastAsia" w:cstheme="majorBidi"/>
      <w:szCs w:val="24"/>
    </w:rPr>
  </w:style>
  <w:style w:type="paragraph" w:customStyle="1" w:styleId="Noter">
    <w:name w:val="Noter"/>
    <w:basedOn w:val="Heading2"/>
    <w:next w:val="Normal"/>
    <w:uiPriority w:val="13"/>
    <w:semiHidden/>
    <w:rsid w:val="000D01A8"/>
    <w:pPr>
      <w:numPr>
        <w:numId w:val="12"/>
      </w:numPr>
      <w:outlineLvl w:val="9"/>
    </w:pPr>
  </w:style>
  <w:style w:type="paragraph" w:styleId="ListParagraph">
    <w:name w:val="List Paragraph"/>
    <w:basedOn w:val="Normal"/>
    <w:uiPriority w:val="34"/>
    <w:semiHidden/>
    <w:qFormat/>
    <w:rsid w:val="0023757D"/>
    <w:pPr>
      <w:ind w:left="720"/>
      <w:contextualSpacing/>
    </w:pPr>
  </w:style>
  <w:style w:type="character" w:styleId="CommentReference">
    <w:name w:val="annotation reference"/>
    <w:basedOn w:val="DefaultParagraphFont"/>
    <w:uiPriority w:val="99"/>
    <w:semiHidden/>
    <w:unhideWhenUsed/>
    <w:rsid w:val="00AF1B26"/>
    <w:rPr>
      <w:sz w:val="16"/>
      <w:szCs w:val="16"/>
    </w:rPr>
  </w:style>
  <w:style w:type="paragraph" w:styleId="CommentText">
    <w:name w:val="annotation text"/>
    <w:basedOn w:val="Normal"/>
    <w:link w:val="CommentTextChar"/>
    <w:uiPriority w:val="99"/>
    <w:semiHidden/>
    <w:rsid w:val="00AF1B26"/>
  </w:style>
  <w:style w:type="character" w:customStyle="1" w:styleId="CommentTextChar">
    <w:name w:val="Comment Text Char"/>
    <w:basedOn w:val="DefaultParagraphFont"/>
    <w:link w:val="CommentText"/>
    <w:uiPriority w:val="99"/>
    <w:semiHidden/>
    <w:rsid w:val="0083763D"/>
    <w:rPr>
      <w:sz w:val="20"/>
      <w:szCs w:val="20"/>
    </w:rPr>
  </w:style>
  <w:style w:type="paragraph" w:styleId="CommentSubject">
    <w:name w:val="annotation subject"/>
    <w:basedOn w:val="CommentText"/>
    <w:next w:val="CommentText"/>
    <w:link w:val="CommentSubjectChar"/>
    <w:uiPriority w:val="99"/>
    <w:semiHidden/>
    <w:unhideWhenUsed/>
    <w:rsid w:val="00AF1B26"/>
    <w:rPr>
      <w:b/>
      <w:bCs/>
    </w:rPr>
  </w:style>
  <w:style w:type="character" w:customStyle="1" w:styleId="CommentSubjectChar">
    <w:name w:val="Comment Subject Char"/>
    <w:basedOn w:val="CommentTextChar"/>
    <w:link w:val="CommentSubject"/>
    <w:uiPriority w:val="99"/>
    <w:semiHidden/>
    <w:rsid w:val="00AF1B26"/>
    <w:rPr>
      <w:b/>
      <w:bCs/>
      <w:sz w:val="20"/>
      <w:szCs w:val="20"/>
    </w:rPr>
  </w:style>
  <w:style w:type="character" w:styleId="UnresolvedMention">
    <w:name w:val="Unresolved Mention"/>
    <w:basedOn w:val="DefaultParagraphFont"/>
    <w:uiPriority w:val="99"/>
    <w:semiHidden/>
    <w:unhideWhenUsed/>
    <w:rsid w:val="00A60C05"/>
    <w:rPr>
      <w:color w:val="605E5C"/>
      <w:shd w:val="clear" w:color="auto" w:fill="E1DFDD"/>
    </w:rPr>
  </w:style>
  <w:style w:type="character" w:styleId="FollowedHyperlink">
    <w:name w:val="FollowedHyperlink"/>
    <w:basedOn w:val="DefaultParagraphFont"/>
    <w:uiPriority w:val="98"/>
    <w:rsid w:val="00897370"/>
    <w:rPr>
      <w:color w:val="2977FF" w:themeColor="followedHyperlink"/>
      <w:u w:val="single"/>
    </w:rPr>
  </w:style>
  <w:style w:type="paragraph" w:customStyle="1" w:styleId="Microtitle">
    <w:name w:val="Micro title"/>
    <w:basedOn w:val="Normal"/>
    <w:next w:val="Normal"/>
    <w:uiPriority w:val="9"/>
    <w:rsid w:val="00890ED1"/>
    <w:pPr>
      <w:spacing w:after="0"/>
    </w:pPr>
    <w:rPr>
      <w:caps/>
      <w:spacing w:val="30"/>
      <w:lang w:val="en-US"/>
    </w:rPr>
  </w:style>
  <w:style w:type="paragraph" w:styleId="Caption">
    <w:name w:val="caption"/>
    <w:basedOn w:val="Normal"/>
    <w:next w:val="Normal"/>
    <w:uiPriority w:val="35"/>
    <w:qFormat/>
    <w:rsid w:val="00DC7A44"/>
    <w:pPr>
      <w:spacing w:before="100"/>
      <w:contextualSpacing/>
    </w:pPr>
    <w:rPr>
      <w:iCs/>
      <w:sz w:val="16"/>
      <w:szCs w:val="18"/>
    </w:rPr>
  </w:style>
  <w:style w:type="paragraph" w:customStyle="1" w:styleId="Statnumber">
    <w:name w:val="Stat number"/>
    <w:basedOn w:val="Normal"/>
    <w:next w:val="Statdescription"/>
    <w:uiPriority w:val="30"/>
    <w:qFormat/>
    <w:rsid w:val="0026632D"/>
    <w:pPr>
      <w:spacing w:after="0" w:line="180" w:lineRule="auto"/>
    </w:pPr>
    <w:rPr>
      <w:rFonts w:asciiTheme="majorHAnsi" w:hAnsiTheme="majorHAnsi"/>
      <w:sz w:val="76"/>
      <w:lang w:val="en-US"/>
    </w:rPr>
  </w:style>
  <w:style w:type="paragraph" w:customStyle="1" w:styleId="Statdescription">
    <w:name w:val="Stat description"/>
    <w:basedOn w:val="Normal"/>
    <w:next w:val="Normal"/>
    <w:uiPriority w:val="31"/>
    <w:qFormat/>
    <w:rsid w:val="0026632D"/>
    <w:rPr>
      <w:sz w:val="15"/>
      <w:lang w:val="en-US"/>
    </w:rPr>
  </w:style>
  <w:style w:type="table" w:customStyle="1" w:styleId="Sinch">
    <w:name w:val="Sinch"/>
    <w:basedOn w:val="TableNormal"/>
    <w:uiPriority w:val="99"/>
    <w:rsid w:val="00FA2607"/>
    <w:pPr>
      <w:spacing w:after="0"/>
      <w:jc w:val="center"/>
    </w:pPr>
    <w:rPr>
      <w:sz w:val="16"/>
    </w:rPr>
    <w:tblPr>
      <w:tblStyleColBandSize w:val="1"/>
      <w:tblBorders>
        <w:insideH w:val="single" w:sz="6" w:space="0" w:color="BFBFBF"/>
      </w:tblBorders>
      <w:tblCellMar>
        <w:top w:w="96" w:type="dxa"/>
        <w:bottom w:w="96" w:type="dxa"/>
      </w:tblCellMar>
    </w:tblPr>
    <w:tcPr>
      <w:vAlign w:val="center"/>
    </w:tcPr>
    <w:tblStylePr w:type="firstRow">
      <w:tblPr/>
      <w:tcPr>
        <w:tcBorders>
          <w:top w:val="nil"/>
          <w:left w:val="nil"/>
          <w:bottom w:val="single" w:sz="6" w:space="0" w:color="000000" w:themeColor="text1"/>
          <w:right w:val="nil"/>
          <w:insideH w:val="nil"/>
          <w:insideV w:val="nil"/>
          <w:tl2br w:val="nil"/>
          <w:tr2bl w:val="nil"/>
        </w:tcBorders>
      </w:tcPr>
    </w:tblStylePr>
    <w:tblStylePr w:type="lastRow">
      <w:tblPr/>
      <w:tcPr>
        <w:tcBorders>
          <w:top w:val="single" w:sz="6" w:space="0" w:color="000000" w:themeColor="text1"/>
          <w:left w:val="nil"/>
          <w:bottom w:val="nil"/>
          <w:right w:val="nil"/>
          <w:insideH w:val="nil"/>
          <w:insideV w:val="nil"/>
          <w:tl2br w:val="nil"/>
          <w:tr2bl w:val="nil"/>
        </w:tcBorders>
      </w:tcPr>
    </w:tblStylePr>
    <w:tblStylePr w:type="firstCol">
      <w:pPr>
        <w:jc w:val="left"/>
      </w:pPr>
      <w:tblPr/>
      <w:tcPr>
        <w:shd w:val="clear" w:color="auto" w:fill="FFF6B3" w:themeFill="accent2"/>
      </w:tcPr>
    </w:tblStylePr>
    <w:tblStylePr w:type="band2Vert">
      <w:tblPr/>
      <w:tcPr>
        <w:shd w:val="clear" w:color="auto" w:fill="FFF6B3" w:themeFill="accent2"/>
      </w:tcPr>
    </w:tblStylePr>
  </w:style>
  <w:style w:type="paragraph" w:customStyle="1" w:styleId="Tablefootnote">
    <w:name w:val="Table footnote"/>
    <w:basedOn w:val="Normal"/>
    <w:next w:val="Normal"/>
    <w:uiPriority w:val="32"/>
    <w:qFormat/>
    <w:rsid w:val="00DC7A44"/>
    <w:pPr>
      <w:contextualSpacing/>
    </w:pPr>
    <w:rPr>
      <w:color w:val="595959"/>
      <w:sz w:val="10"/>
      <w:lang w:val="en-US"/>
    </w:rPr>
  </w:style>
  <w:style w:type="paragraph" w:styleId="FootnoteText">
    <w:name w:val="footnote text"/>
    <w:basedOn w:val="Normal"/>
    <w:link w:val="FootnoteTextChar"/>
    <w:uiPriority w:val="99"/>
    <w:rsid w:val="00AC61D2"/>
    <w:pPr>
      <w:spacing w:after="0"/>
    </w:pPr>
    <w:rPr>
      <w:sz w:val="16"/>
    </w:rPr>
  </w:style>
  <w:style w:type="character" w:customStyle="1" w:styleId="FootnoteTextChar">
    <w:name w:val="Footnote Text Char"/>
    <w:basedOn w:val="DefaultParagraphFont"/>
    <w:link w:val="FootnoteText"/>
    <w:uiPriority w:val="99"/>
    <w:rsid w:val="00AC61D2"/>
    <w:rPr>
      <w:sz w:val="16"/>
    </w:rPr>
  </w:style>
  <w:style w:type="character" w:styleId="FootnoteReference">
    <w:name w:val="footnote reference"/>
    <w:basedOn w:val="DefaultParagraphFont"/>
    <w:uiPriority w:val="99"/>
    <w:rsid w:val="00AC61D2"/>
    <w:rPr>
      <w:vertAlign w:val="superscript"/>
    </w:rPr>
  </w:style>
  <w:style w:type="paragraph" w:styleId="EndnoteText">
    <w:name w:val="endnote text"/>
    <w:basedOn w:val="Normal"/>
    <w:link w:val="EndnoteTextChar"/>
    <w:uiPriority w:val="99"/>
    <w:semiHidden/>
    <w:rsid w:val="00AC61D2"/>
    <w:pPr>
      <w:spacing w:after="0"/>
    </w:pPr>
    <w:rPr>
      <w:sz w:val="16"/>
    </w:rPr>
  </w:style>
  <w:style w:type="character" w:customStyle="1" w:styleId="EndnoteTextChar">
    <w:name w:val="Endnote Text Char"/>
    <w:basedOn w:val="DefaultParagraphFont"/>
    <w:link w:val="EndnoteText"/>
    <w:uiPriority w:val="99"/>
    <w:semiHidden/>
    <w:rsid w:val="001E1678"/>
    <w:rPr>
      <w:sz w:val="16"/>
    </w:rPr>
  </w:style>
  <w:style w:type="character" w:styleId="EndnoteReference">
    <w:name w:val="endnote reference"/>
    <w:basedOn w:val="DefaultParagraphFont"/>
    <w:uiPriority w:val="99"/>
    <w:semiHidden/>
    <w:rsid w:val="00AC61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chart" Target="charts/chart5.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4.xml"/><Relationship Id="rId2" Type="http://schemas.openxmlformats.org/officeDocument/2006/relationships/customXml" Target="../customXml/item2.xml"/><Relationship Id="rId16" Type="http://schemas.openxmlformats.org/officeDocument/2006/relationships/chart" Target="charts/chart3.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chart" Target="charts/chart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Andersson\Rehngruppen\Kunder%20-%20S%20-%20Dokument\Sinch\FIL\2603_SA%20-%20Wordmallar%20(11204)\Arbetsmapp\A4%20with%20examples.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1109727514738416E-2"/>
          <c:y val="0.12505398460816"/>
          <c:w val="0.92889027248526168"/>
          <c:h val="0.74023780313857424"/>
        </c:manualLayout>
      </c:layout>
      <c:barChart>
        <c:barDir val="col"/>
        <c:grouping val="stacked"/>
        <c:varyColors val="0"/>
        <c:ser>
          <c:idx val="0"/>
          <c:order val="0"/>
          <c:tx>
            <c:strRef>
              <c:f>Sheet1!$B$1</c:f>
              <c:strCache>
                <c:ptCount val="1"/>
                <c:pt idx="0">
                  <c:v>Series 1</c:v>
                </c:pt>
              </c:strCache>
            </c:strRef>
          </c:tx>
          <c:spPr>
            <a:solidFill>
              <a:srgbClr val="85B6FF"/>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50</c:v>
                </c:pt>
                <c:pt idx="1">
                  <c:v>75</c:v>
                </c:pt>
                <c:pt idx="2">
                  <c:v>90</c:v>
                </c:pt>
                <c:pt idx="3">
                  <c:v>150</c:v>
                </c:pt>
              </c:numCache>
            </c:numRef>
          </c:val>
          <c:extLst>
            <c:ext xmlns:c16="http://schemas.microsoft.com/office/drawing/2014/chart" uri="{C3380CC4-5D6E-409C-BE32-E72D297353CC}">
              <c16:uniqueId val="{00000000-457D-4470-B30B-71471FE5E073}"/>
            </c:ext>
          </c:extLst>
        </c:ser>
        <c:ser>
          <c:idx val="1"/>
          <c:order val="1"/>
          <c:tx>
            <c:strRef>
              <c:f>Sheet1!$C$1</c:f>
              <c:strCache>
                <c:ptCount val="1"/>
                <c:pt idx="0">
                  <c:v>Series 2</c:v>
                </c:pt>
              </c:strCache>
            </c:strRef>
          </c:tx>
          <c:spPr>
            <a:solidFill>
              <a:srgbClr val="2977FF"/>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100</c:v>
                </c:pt>
                <c:pt idx="1">
                  <c:v>200</c:v>
                </c:pt>
                <c:pt idx="2">
                  <c:v>180</c:v>
                </c:pt>
                <c:pt idx="3">
                  <c:v>250</c:v>
                </c:pt>
              </c:numCache>
            </c:numRef>
          </c:val>
          <c:extLst>
            <c:ext xmlns:c16="http://schemas.microsoft.com/office/drawing/2014/chart" uri="{C3380CC4-5D6E-409C-BE32-E72D297353CC}">
              <c16:uniqueId val="{00000001-457D-4470-B30B-71471FE5E073}"/>
            </c:ext>
          </c:extLst>
        </c:ser>
        <c:dLbls>
          <c:showLegendKey val="0"/>
          <c:showVal val="0"/>
          <c:showCatName val="0"/>
          <c:showSerName val="0"/>
          <c:showPercent val="0"/>
          <c:showBubbleSize val="0"/>
        </c:dLbls>
        <c:gapWidth val="150"/>
        <c:overlap val="100"/>
        <c:axId val="820521023"/>
        <c:axId val="820515263"/>
      </c:barChart>
      <c:lineChart>
        <c:grouping val="standard"/>
        <c:varyColors val="0"/>
        <c:ser>
          <c:idx val="2"/>
          <c:order val="2"/>
          <c:tx>
            <c:strRef>
              <c:f>Sheet1!$D$1</c:f>
              <c:strCache>
                <c:ptCount val="1"/>
                <c:pt idx="0">
                  <c:v>Line</c:v>
                </c:pt>
              </c:strCache>
            </c:strRef>
          </c:tx>
          <c:spPr>
            <a:ln w="12700" cap="rnd">
              <a:solidFill>
                <a:schemeClr val="tx2"/>
              </a:solidFill>
              <a:round/>
              <a:tailEnd type="arrow"/>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2-457D-4470-B30B-71471FE5E073}"/>
                </c:ext>
              </c:extLst>
            </c:dLbl>
            <c:dLbl>
              <c:idx val="1"/>
              <c:layout>
                <c:manualLayout>
                  <c:x val="-0.10260179016084528"/>
                  <c:y val="0"/>
                </c:manualLayout>
              </c:layout>
              <c:spPr>
                <a:solidFill>
                  <a:srgbClr val="FFE97A"/>
                </a:solid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none" lIns="180000" tIns="0" rIns="180000" bIns="0" anchor="ctr" anchorCtr="1">
                  <a:spAutoFit/>
                </a:bodyPr>
                <a:lstStyle/>
                <a:p>
                  <a:pPr>
                    <a:defRPr sz="1000" b="0" i="0" u="none" strike="noStrike" kern="1200" baseline="0">
                      <a:solidFill>
                        <a:schemeClr val="tx1"/>
                      </a:solidFill>
                      <a:latin typeface="+mj-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oundRect">
                      <a:avLst>
                        <a:gd name="adj" fmla="val 50000"/>
                      </a:avLst>
                    </a:prstGeom>
                    <a:noFill/>
                    <a:ln>
                      <a:noFill/>
                    </a:ln>
                  </c15:spPr>
                </c:ext>
                <c:ext xmlns:c16="http://schemas.microsoft.com/office/drawing/2014/chart" uri="{C3380CC4-5D6E-409C-BE32-E72D297353CC}">
                  <c16:uniqueId val="{00000003-457D-4470-B30B-71471FE5E073}"/>
                </c:ext>
              </c:extLst>
            </c:dLbl>
            <c:dLbl>
              <c:idx val="2"/>
              <c:layout>
                <c:manualLayout>
                  <c:x val="-0.11107329532526383"/>
                  <c:y val="-2.456813522533768E-2"/>
                </c:manualLayout>
              </c:layout>
              <c:spPr>
                <a:solidFill>
                  <a:srgbClr val="FFE97A"/>
                </a:solid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none" lIns="180000" tIns="0" rIns="180000" bIns="0" anchor="ctr" anchorCtr="1">
                  <a:spAutoFit/>
                </a:bodyPr>
                <a:lstStyle/>
                <a:p>
                  <a:pPr>
                    <a:defRPr sz="1000" b="0" i="0" u="none" strike="noStrike" kern="1200" baseline="0">
                      <a:solidFill>
                        <a:schemeClr val="tx1"/>
                      </a:solidFill>
                      <a:latin typeface="+mj-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oundRect">
                      <a:avLst>
                        <a:gd name="adj" fmla="val 50000"/>
                      </a:avLst>
                    </a:prstGeom>
                    <a:noFill/>
                    <a:ln>
                      <a:noFill/>
                    </a:ln>
                  </c15:spPr>
                </c:ext>
                <c:ext xmlns:c16="http://schemas.microsoft.com/office/drawing/2014/chart" uri="{C3380CC4-5D6E-409C-BE32-E72D297353CC}">
                  <c16:uniqueId val="{00000004-457D-4470-B30B-71471FE5E073}"/>
                </c:ext>
              </c:extLst>
            </c:dLbl>
            <c:dLbl>
              <c:idx val="3"/>
              <c:delete val="1"/>
              <c:extLst>
                <c:ext xmlns:c15="http://schemas.microsoft.com/office/drawing/2012/chart" uri="{CE6537A1-D6FC-4f65-9D91-7224C49458BB}"/>
                <c:ext xmlns:c16="http://schemas.microsoft.com/office/drawing/2014/chart" uri="{C3380CC4-5D6E-409C-BE32-E72D297353CC}">
                  <c16:uniqueId val="{00000005-457D-4470-B30B-71471FE5E073}"/>
                </c:ext>
              </c:extLst>
            </c:dLbl>
            <c:spPr>
              <a:solidFill>
                <a:schemeClr val="accent6"/>
              </a:solidFill>
              <a:ln>
                <a:noFill/>
              </a:ln>
              <a:effectLst/>
            </c:spPr>
            <c:txPr>
              <a:bodyPr rot="0" spcFirstLastPara="1" vertOverflow="clip" horzOverflow="clip" vert="horz" wrap="none" lIns="180000" tIns="0" rIns="180000" bIns="0" anchor="ctr" anchorCtr="1">
                <a:spAutoFit/>
              </a:bodyPr>
              <a:lstStyle/>
              <a:p>
                <a:pPr>
                  <a:defRPr sz="1000" b="0" i="0" u="none" strike="noStrike" kern="1200" baseline="0">
                    <a:solidFill>
                      <a:schemeClr val="tx1"/>
                    </a:solidFill>
                    <a:latin typeface="+mj-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showLeaderLines val="0"/>
              </c:ext>
            </c:extLst>
          </c:dLbls>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200</c:v>
                </c:pt>
                <c:pt idx="1">
                  <c:v>350</c:v>
                </c:pt>
                <c:pt idx="2">
                  <c:v>300</c:v>
                </c:pt>
                <c:pt idx="3">
                  <c:v>500</c:v>
                </c:pt>
              </c:numCache>
            </c:numRef>
          </c:val>
          <c:smooth val="0"/>
          <c:extLst>
            <c:ext xmlns:c16="http://schemas.microsoft.com/office/drawing/2014/chart" uri="{C3380CC4-5D6E-409C-BE32-E72D297353CC}">
              <c16:uniqueId val="{00000006-457D-4470-B30B-71471FE5E073}"/>
            </c:ext>
          </c:extLst>
        </c:ser>
        <c:dLbls>
          <c:showLegendKey val="0"/>
          <c:showVal val="0"/>
          <c:showCatName val="0"/>
          <c:showSerName val="0"/>
          <c:showPercent val="0"/>
          <c:showBubbleSize val="0"/>
        </c:dLbls>
        <c:marker val="1"/>
        <c:smooth val="0"/>
        <c:axId val="820521023"/>
        <c:axId val="820515263"/>
      </c:lineChart>
      <c:catAx>
        <c:axId val="8205210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crossAx val="820515263"/>
        <c:crosses val="autoZero"/>
        <c:auto val="1"/>
        <c:lblAlgn val="ctr"/>
        <c:lblOffset val="100"/>
        <c:noMultiLvlLbl val="0"/>
      </c:catAx>
      <c:valAx>
        <c:axId val="82051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crossAx val="820521023"/>
        <c:crosses val="autoZero"/>
        <c:crossBetween val="between"/>
      </c:valAx>
      <c:spPr>
        <a:noFill/>
        <a:ln>
          <a:noFill/>
        </a:ln>
        <a:effectLst/>
      </c:spPr>
    </c:plotArea>
    <c:legend>
      <c:legendPos val="t"/>
      <c:layout>
        <c:manualLayout>
          <c:xMode val="edge"/>
          <c:yMode val="edge"/>
          <c:x val="1.3694442040898878E-3"/>
          <c:y val="0"/>
          <c:w val="0.33051859896823232"/>
          <c:h val="6.6827504124109705E-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992443834428955"/>
          <c:y val="3.7931653188852062E-2"/>
          <c:w val="0.55215054540200825"/>
          <c:h val="0.92413669362229589"/>
        </c:manualLayout>
      </c:layout>
      <c:doughnutChart>
        <c:varyColors val="1"/>
        <c:ser>
          <c:idx val="0"/>
          <c:order val="0"/>
          <c:tx>
            <c:strRef>
              <c:f>Sheet1!$B$1</c:f>
              <c:strCache>
                <c:ptCount val="1"/>
                <c:pt idx="0">
                  <c:v>Sales</c:v>
                </c:pt>
              </c:strCache>
            </c:strRef>
          </c:tx>
          <c:spPr>
            <a:ln>
              <a:solidFill>
                <a:schemeClr val="bg1"/>
              </a:solidFill>
            </a:ln>
          </c:spPr>
          <c:dPt>
            <c:idx val="0"/>
            <c:bubble3D val="0"/>
            <c:spPr>
              <a:solidFill>
                <a:schemeClr val="accent4"/>
              </a:solidFill>
              <a:ln w="19050">
                <a:solidFill>
                  <a:schemeClr val="bg1"/>
                </a:solidFill>
              </a:ln>
              <a:effectLst/>
            </c:spPr>
            <c:extLst>
              <c:ext xmlns:c16="http://schemas.microsoft.com/office/drawing/2014/chart" uri="{C3380CC4-5D6E-409C-BE32-E72D297353CC}">
                <c16:uniqueId val="{00000001-8A5D-41B4-ABE9-ACB4CF7AE421}"/>
              </c:ext>
            </c:extLst>
          </c:dPt>
          <c:dPt>
            <c:idx val="1"/>
            <c:bubble3D val="0"/>
            <c:spPr>
              <a:solidFill>
                <a:srgbClr val="2977FF"/>
              </a:solidFill>
              <a:ln w="19050">
                <a:solidFill>
                  <a:schemeClr val="bg1"/>
                </a:solidFill>
              </a:ln>
              <a:effectLst/>
            </c:spPr>
            <c:extLst>
              <c:ext xmlns:c16="http://schemas.microsoft.com/office/drawing/2014/chart" uri="{C3380CC4-5D6E-409C-BE32-E72D297353CC}">
                <c16:uniqueId val="{00000003-8A5D-41B4-ABE9-ACB4CF7AE421}"/>
              </c:ext>
            </c:extLst>
          </c:dPt>
          <c:dPt>
            <c:idx val="2"/>
            <c:bubble3D val="0"/>
            <c:spPr>
              <a:solidFill>
                <a:srgbClr val="85B6FF"/>
              </a:solidFill>
              <a:ln w="19050">
                <a:solidFill>
                  <a:schemeClr val="bg1"/>
                </a:solidFill>
              </a:ln>
              <a:effectLst/>
            </c:spPr>
            <c:extLst>
              <c:ext xmlns:c16="http://schemas.microsoft.com/office/drawing/2014/chart" uri="{C3380CC4-5D6E-409C-BE32-E72D297353CC}">
                <c16:uniqueId val="{00000005-8A5D-41B4-ABE9-ACB4CF7AE421}"/>
              </c:ext>
            </c:extLst>
          </c:dPt>
          <c:dPt>
            <c:idx val="3"/>
            <c:bubble3D val="0"/>
            <c:spPr>
              <a:solidFill>
                <a:srgbClr val="C8BDFF"/>
              </a:solidFill>
              <a:ln w="19050">
                <a:solidFill>
                  <a:schemeClr val="bg1"/>
                </a:solidFill>
              </a:ln>
              <a:effectLst/>
            </c:spPr>
            <c:extLst>
              <c:ext xmlns:c16="http://schemas.microsoft.com/office/drawing/2014/chart" uri="{C3380CC4-5D6E-409C-BE32-E72D297353CC}">
                <c16:uniqueId val="{00000007-8A5D-41B4-ABE9-ACB4CF7AE421}"/>
              </c:ext>
            </c:extLst>
          </c:dPt>
          <c:dPt>
            <c:idx val="4"/>
            <c:bubble3D val="0"/>
            <c:spPr>
              <a:solidFill>
                <a:srgbClr val="97C2A3"/>
              </a:solidFill>
              <a:ln w="19050">
                <a:solidFill>
                  <a:schemeClr val="bg1"/>
                </a:solidFill>
              </a:ln>
              <a:effectLst/>
            </c:spPr>
            <c:extLst>
              <c:ext xmlns:c16="http://schemas.microsoft.com/office/drawing/2014/chart" uri="{C3380CC4-5D6E-409C-BE32-E72D297353CC}">
                <c16:uniqueId val="{00000009-8A5D-41B4-ABE9-ACB4CF7AE421}"/>
              </c:ext>
            </c:extLst>
          </c:dPt>
          <c:dPt>
            <c:idx val="5"/>
            <c:bubble3D val="0"/>
            <c:spPr>
              <a:solidFill>
                <a:srgbClr val="F03B35"/>
              </a:solidFill>
              <a:ln w="19050">
                <a:solidFill>
                  <a:schemeClr val="bg1"/>
                </a:solidFill>
              </a:ln>
              <a:effectLst/>
            </c:spPr>
            <c:extLst>
              <c:ext xmlns:c16="http://schemas.microsoft.com/office/drawing/2014/chart" uri="{C3380CC4-5D6E-409C-BE32-E72D297353CC}">
                <c16:uniqueId val="{0000000B-8A5D-41B4-ABE9-ACB4CF7AE421}"/>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j-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Email</c:v>
                </c:pt>
                <c:pt idx="1">
                  <c:v>Phone</c:v>
                </c:pt>
                <c:pt idx="2">
                  <c:v>SMS</c:v>
                </c:pt>
                <c:pt idx="3">
                  <c:v>Chat</c:v>
                </c:pt>
                <c:pt idx="4">
                  <c:v>Website form</c:v>
                </c:pt>
                <c:pt idx="5">
                  <c:v>Errors</c:v>
                </c:pt>
              </c:strCache>
            </c:strRef>
          </c:cat>
          <c:val>
            <c:numRef>
              <c:f>Sheet1!$B$2:$B$7</c:f>
              <c:numCache>
                <c:formatCode>0%</c:formatCode>
                <c:ptCount val="6"/>
                <c:pt idx="0">
                  <c:v>0.4</c:v>
                </c:pt>
                <c:pt idx="1">
                  <c:v>0.23</c:v>
                </c:pt>
                <c:pt idx="2">
                  <c:v>0.22</c:v>
                </c:pt>
                <c:pt idx="3">
                  <c:v>0.08</c:v>
                </c:pt>
                <c:pt idx="4">
                  <c:v>0.05</c:v>
                </c:pt>
                <c:pt idx="5">
                  <c:v>0.02</c:v>
                </c:pt>
              </c:numCache>
            </c:numRef>
          </c:val>
          <c:extLst>
            <c:ext xmlns:c16="http://schemas.microsoft.com/office/drawing/2014/chart" uri="{C3380CC4-5D6E-409C-BE32-E72D297353CC}">
              <c16:uniqueId val="{0000000C-8A5D-41B4-ABE9-ACB4CF7AE421}"/>
            </c:ext>
          </c:extLst>
        </c:ser>
        <c:dLbls>
          <c:showLegendKey val="0"/>
          <c:showVal val="0"/>
          <c:showCatName val="0"/>
          <c:showSerName val="0"/>
          <c:showPercent val="0"/>
          <c:showBubbleSize val="0"/>
          <c:showLeaderLines val="1"/>
        </c:dLbls>
        <c:firstSliceAng val="0"/>
        <c:holeSize val="65"/>
      </c:doughnutChart>
      <c:spPr>
        <a:noFill/>
        <a:ln>
          <a:noFill/>
        </a:ln>
        <a:effectLst/>
      </c:spPr>
    </c:plotArea>
    <c:legend>
      <c:legendPos val="r"/>
      <c:layout>
        <c:manualLayout>
          <c:xMode val="edge"/>
          <c:yMode val="edge"/>
          <c:x val="0.71328381122171047"/>
          <c:y val="0.12211232411181325"/>
          <c:w val="0.25976553572416644"/>
          <c:h val="0.759431382783780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3802053607955845"/>
          <c:y val="0.71794886205117814"/>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solidFill>
              <a:latin typeface="+mj-lt"/>
              <a:ea typeface="+mn-ea"/>
              <a:cs typeface="+mn-cs"/>
            </a:defRPr>
          </a:pPr>
          <a:endParaRPr lang="en-US"/>
        </a:p>
      </c:txPr>
    </c:title>
    <c:autoTitleDeleted val="0"/>
    <c:plotArea>
      <c:layout>
        <c:manualLayout>
          <c:layoutTarget val="inner"/>
          <c:xMode val="edge"/>
          <c:yMode val="edge"/>
          <c:x val="0.16191559609139136"/>
          <c:y val="3.8118663260737901E-2"/>
          <c:w val="0.72153783378490266"/>
          <c:h val="0.63828334167259193"/>
        </c:manualLayout>
      </c:layout>
      <c:doughnutChart>
        <c:varyColors val="1"/>
        <c:ser>
          <c:idx val="0"/>
          <c:order val="0"/>
          <c:tx>
            <c:strRef>
              <c:f>Sheet1!$B$1</c:f>
              <c:strCache>
                <c:ptCount val="1"/>
                <c:pt idx="0">
                  <c:v>Chart title</c:v>
                </c:pt>
              </c:strCache>
            </c:strRef>
          </c:tx>
          <c:spPr>
            <a:ln>
              <a:solidFill>
                <a:schemeClr val="bg1"/>
              </a:solidFill>
            </a:ln>
          </c:spPr>
          <c:dPt>
            <c:idx val="0"/>
            <c:bubble3D val="0"/>
            <c:spPr>
              <a:solidFill>
                <a:srgbClr val="C4DCFF"/>
              </a:solidFill>
              <a:ln w="19050">
                <a:solidFill>
                  <a:schemeClr val="bg1"/>
                </a:solidFill>
              </a:ln>
              <a:effectLst/>
            </c:spPr>
            <c:extLst>
              <c:ext xmlns:c16="http://schemas.microsoft.com/office/drawing/2014/chart" uri="{C3380CC4-5D6E-409C-BE32-E72D297353CC}">
                <c16:uniqueId val="{00000001-B568-4047-872A-6D24F75B216D}"/>
              </c:ext>
            </c:extLst>
          </c:dPt>
          <c:dPt>
            <c:idx val="1"/>
            <c:bubble3D val="0"/>
            <c:spPr>
              <a:solidFill>
                <a:srgbClr val="2977FF"/>
              </a:solidFill>
              <a:ln w="19050">
                <a:solidFill>
                  <a:schemeClr val="bg1"/>
                </a:solidFill>
              </a:ln>
              <a:effectLst/>
            </c:spPr>
            <c:extLst>
              <c:ext xmlns:c16="http://schemas.microsoft.com/office/drawing/2014/chart" uri="{C3380CC4-5D6E-409C-BE32-E72D297353CC}">
                <c16:uniqueId val="{00000003-B568-4047-872A-6D24F75B216D}"/>
              </c:ext>
            </c:extLst>
          </c:dPt>
          <c:dPt>
            <c:idx val="2"/>
            <c:bubble3D val="0"/>
            <c:spPr>
              <a:solidFill>
                <a:srgbClr val="85B6FF"/>
              </a:solidFill>
              <a:ln w="19050">
                <a:solidFill>
                  <a:schemeClr val="bg1"/>
                </a:solidFill>
              </a:ln>
              <a:effectLst/>
            </c:spPr>
            <c:extLst>
              <c:ext xmlns:c16="http://schemas.microsoft.com/office/drawing/2014/chart" uri="{C3380CC4-5D6E-409C-BE32-E72D297353CC}">
                <c16:uniqueId val="{00000005-B568-4047-872A-6D24F75B216D}"/>
              </c:ext>
            </c:extLst>
          </c:dPt>
          <c:dLbls>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1st Qtr</c:v>
                </c:pt>
                <c:pt idx="1">
                  <c:v>2nd Qtr</c:v>
                </c:pt>
                <c:pt idx="2">
                  <c:v>3rd Qtr</c:v>
                </c:pt>
              </c:strCache>
            </c:strRef>
          </c:cat>
          <c:val>
            <c:numRef>
              <c:f>Sheet1!$B$2:$B$4</c:f>
              <c:numCache>
                <c:formatCode>0%</c:formatCode>
                <c:ptCount val="3"/>
                <c:pt idx="0">
                  <c:v>0.4</c:v>
                </c:pt>
                <c:pt idx="1">
                  <c:v>0.3</c:v>
                </c:pt>
                <c:pt idx="2">
                  <c:v>0.3</c:v>
                </c:pt>
              </c:numCache>
            </c:numRef>
          </c:val>
          <c:extLst>
            <c:ext xmlns:c16="http://schemas.microsoft.com/office/drawing/2014/chart" uri="{C3380CC4-5D6E-409C-BE32-E72D297353CC}">
              <c16:uniqueId val="{00000006-B568-4047-872A-6D24F75B216D}"/>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layout>
        <c:manualLayout>
          <c:xMode val="edge"/>
          <c:yMode val="edge"/>
          <c:x val="4.6313312656140705E-3"/>
          <c:y val="0.82127055188335574"/>
          <c:w val="0.99073733746877202"/>
          <c:h val="0.1603033734495562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chemeClr val="tx1"/>
          </a:solidFill>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3790235008308372"/>
          <c:y val="0.71794886205117814"/>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solidFill>
              <a:latin typeface="+mj-lt"/>
              <a:ea typeface="+mn-ea"/>
              <a:cs typeface="+mn-cs"/>
            </a:defRPr>
          </a:pPr>
          <a:endParaRPr lang="en-US"/>
        </a:p>
      </c:txPr>
    </c:title>
    <c:autoTitleDeleted val="0"/>
    <c:plotArea>
      <c:layout>
        <c:manualLayout>
          <c:layoutTarget val="inner"/>
          <c:xMode val="edge"/>
          <c:yMode val="edge"/>
          <c:x val="0.14158453396351939"/>
          <c:y val="3.8118663260737894E-2"/>
          <c:w val="0.72199263238375155"/>
          <c:h val="0.63828334167259193"/>
        </c:manualLayout>
      </c:layout>
      <c:doughnutChart>
        <c:varyColors val="1"/>
        <c:ser>
          <c:idx val="0"/>
          <c:order val="0"/>
          <c:tx>
            <c:strRef>
              <c:f>Sheet1!$B$1</c:f>
              <c:strCache>
                <c:ptCount val="1"/>
                <c:pt idx="0">
                  <c:v>Chart title</c:v>
                </c:pt>
              </c:strCache>
            </c:strRef>
          </c:tx>
          <c:spPr>
            <a:ln>
              <a:solidFill>
                <a:schemeClr val="bg1"/>
              </a:solidFill>
            </a:ln>
          </c:spPr>
          <c:dPt>
            <c:idx val="0"/>
            <c:bubble3D val="0"/>
            <c:spPr>
              <a:solidFill>
                <a:srgbClr val="FFF6B3"/>
              </a:solidFill>
              <a:ln w="19050">
                <a:solidFill>
                  <a:schemeClr val="bg1"/>
                </a:solidFill>
              </a:ln>
              <a:effectLst/>
            </c:spPr>
            <c:extLst>
              <c:ext xmlns:c16="http://schemas.microsoft.com/office/drawing/2014/chart" uri="{C3380CC4-5D6E-409C-BE32-E72D297353CC}">
                <c16:uniqueId val="{00000001-515E-46A6-9D88-416346764BD5}"/>
              </c:ext>
            </c:extLst>
          </c:dPt>
          <c:dPt>
            <c:idx val="1"/>
            <c:bubble3D val="0"/>
            <c:spPr>
              <a:solidFill>
                <a:srgbClr val="FFE97A"/>
              </a:solidFill>
              <a:ln w="19050">
                <a:solidFill>
                  <a:schemeClr val="bg1"/>
                </a:solidFill>
              </a:ln>
              <a:effectLst/>
            </c:spPr>
            <c:extLst>
              <c:ext xmlns:c16="http://schemas.microsoft.com/office/drawing/2014/chart" uri="{C3380CC4-5D6E-409C-BE32-E72D297353CC}">
                <c16:uniqueId val="{00000003-515E-46A6-9D88-416346764BD5}"/>
              </c:ext>
            </c:extLst>
          </c:dPt>
          <c:dPt>
            <c:idx val="2"/>
            <c:bubble3D val="0"/>
            <c:spPr>
              <a:solidFill>
                <a:srgbClr val="FFF194"/>
              </a:solidFill>
              <a:ln w="19050">
                <a:solidFill>
                  <a:schemeClr val="bg1"/>
                </a:solidFill>
              </a:ln>
              <a:effectLst/>
            </c:spPr>
            <c:extLst>
              <c:ext xmlns:c16="http://schemas.microsoft.com/office/drawing/2014/chart" uri="{C3380CC4-5D6E-409C-BE32-E72D297353CC}">
                <c16:uniqueId val="{00000005-515E-46A6-9D88-416346764BD5}"/>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ln w="2540">
                      <a:noFill/>
                    </a:ln>
                    <a:solidFill>
                      <a:schemeClr val="tx1"/>
                    </a:solidFill>
                    <a:latin typeface="+mj-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1st Qtr</c:v>
                </c:pt>
                <c:pt idx="1">
                  <c:v>2nd Qtr</c:v>
                </c:pt>
                <c:pt idx="2">
                  <c:v>3rd Qtr</c:v>
                </c:pt>
              </c:strCache>
            </c:strRef>
          </c:cat>
          <c:val>
            <c:numRef>
              <c:f>Sheet1!$B$2:$B$4</c:f>
              <c:numCache>
                <c:formatCode>0%</c:formatCode>
                <c:ptCount val="3"/>
                <c:pt idx="0">
                  <c:v>0.4</c:v>
                </c:pt>
                <c:pt idx="1">
                  <c:v>0.3</c:v>
                </c:pt>
                <c:pt idx="2">
                  <c:v>0.3</c:v>
                </c:pt>
              </c:numCache>
            </c:numRef>
          </c:val>
          <c:extLst>
            <c:ext xmlns:c16="http://schemas.microsoft.com/office/drawing/2014/chart" uri="{C3380CC4-5D6E-409C-BE32-E72D297353CC}">
              <c16:uniqueId val="{00000006-515E-46A6-9D88-416346764BD5}"/>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layout>
        <c:manualLayout>
          <c:xMode val="edge"/>
          <c:yMode val="edge"/>
          <c:x val="4.4436059616129167E-3"/>
          <c:y val="0.83018916949762556"/>
          <c:w val="0.99111199372461778"/>
          <c:h val="0.1513847558352864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solidFill>
            <a:schemeClr val="tx1"/>
          </a:solidFill>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4431671826781762"/>
          <c:y val="0.71794886205117814"/>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solidFill>
              <a:latin typeface="+mj-lt"/>
              <a:ea typeface="+mn-ea"/>
              <a:cs typeface="+mn-cs"/>
            </a:defRPr>
          </a:pPr>
          <a:endParaRPr lang="en-US"/>
        </a:p>
      </c:txPr>
    </c:title>
    <c:autoTitleDeleted val="0"/>
    <c:plotArea>
      <c:layout>
        <c:manualLayout>
          <c:layoutTarget val="inner"/>
          <c:xMode val="edge"/>
          <c:yMode val="edge"/>
          <c:x val="0.14152416319965047"/>
          <c:y val="3.3659354453602998E-2"/>
          <c:w val="0.72703676857542876"/>
          <c:h val="0.6427426504797269"/>
        </c:manualLayout>
      </c:layout>
      <c:doughnutChart>
        <c:varyColors val="1"/>
        <c:ser>
          <c:idx val="0"/>
          <c:order val="0"/>
          <c:tx>
            <c:strRef>
              <c:f>Sheet1!$B$1</c:f>
              <c:strCache>
                <c:ptCount val="1"/>
                <c:pt idx="0">
                  <c:v>Chart title</c:v>
                </c:pt>
              </c:strCache>
            </c:strRef>
          </c:tx>
          <c:spPr>
            <a:ln>
              <a:solidFill>
                <a:schemeClr val="bg1"/>
              </a:solidFill>
            </a:ln>
          </c:spPr>
          <c:dPt>
            <c:idx val="0"/>
            <c:bubble3D val="0"/>
            <c:spPr>
              <a:solidFill>
                <a:srgbClr val="E1F2E6"/>
              </a:solidFill>
              <a:ln w="19050">
                <a:solidFill>
                  <a:schemeClr val="bg1"/>
                </a:solidFill>
              </a:ln>
              <a:effectLst/>
            </c:spPr>
            <c:extLst>
              <c:ext xmlns:c16="http://schemas.microsoft.com/office/drawing/2014/chart" uri="{C3380CC4-5D6E-409C-BE32-E72D297353CC}">
                <c16:uniqueId val="{00000001-AD07-4E9D-B341-09710D01AC0F}"/>
              </c:ext>
            </c:extLst>
          </c:dPt>
          <c:dPt>
            <c:idx val="1"/>
            <c:bubble3D val="0"/>
            <c:spPr>
              <a:solidFill>
                <a:srgbClr val="97C2A3"/>
              </a:solidFill>
              <a:ln w="19050">
                <a:solidFill>
                  <a:schemeClr val="bg1"/>
                </a:solidFill>
              </a:ln>
              <a:effectLst/>
            </c:spPr>
            <c:extLst>
              <c:ext xmlns:c16="http://schemas.microsoft.com/office/drawing/2014/chart" uri="{C3380CC4-5D6E-409C-BE32-E72D297353CC}">
                <c16:uniqueId val="{00000003-AD07-4E9D-B341-09710D01AC0F}"/>
              </c:ext>
            </c:extLst>
          </c:dPt>
          <c:dPt>
            <c:idx val="2"/>
            <c:bubble3D val="0"/>
            <c:spPr>
              <a:solidFill>
                <a:srgbClr val="C3E3CE"/>
              </a:solidFill>
              <a:ln w="19050">
                <a:solidFill>
                  <a:schemeClr val="bg1"/>
                </a:solidFill>
              </a:ln>
              <a:effectLst/>
            </c:spPr>
            <c:extLst>
              <c:ext xmlns:c16="http://schemas.microsoft.com/office/drawing/2014/chart" uri="{C3380CC4-5D6E-409C-BE32-E72D297353CC}">
                <c16:uniqueId val="{00000005-AD07-4E9D-B341-09710D01AC0F}"/>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ln w="2540">
                      <a:noFill/>
                    </a:ln>
                    <a:solidFill>
                      <a:schemeClr val="tx1"/>
                    </a:solidFill>
                    <a:latin typeface="+mj-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1st Qtr</c:v>
                </c:pt>
                <c:pt idx="1">
                  <c:v>2nd Qtr</c:v>
                </c:pt>
                <c:pt idx="2">
                  <c:v>3rd Qtr</c:v>
                </c:pt>
              </c:strCache>
            </c:strRef>
          </c:cat>
          <c:val>
            <c:numRef>
              <c:f>Sheet1!$B$2:$B$4</c:f>
              <c:numCache>
                <c:formatCode>0%</c:formatCode>
                <c:ptCount val="3"/>
                <c:pt idx="0">
                  <c:v>0.4</c:v>
                </c:pt>
                <c:pt idx="1">
                  <c:v>0.3</c:v>
                </c:pt>
                <c:pt idx="2">
                  <c:v>0.3</c:v>
                </c:pt>
              </c:numCache>
            </c:numRef>
          </c:val>
          <c:extLst>
            <c:ext xmlns:c16="http://schemas.microsoft.com/office/drawing/2014/chart" uri="{C3380CC4-5D6E-409C-BE32-E72D297353CC}">
              <c16:uniqueId val="{00000006-AD07-4E9D-B341-09710D01AC0F}"/>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layout>
        <c:manualLayout>
          <c:xMode val="edge"/>
          <c:yMode val="edge"/>
          <c:x val="9.4877421532900911E-3"/>
          <c:y val="0.82127055188335574"/>
          <c:w val="0.98102372134126348"/>
          <c:h val="0.1603033734495562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Sinch">
  <a:themeElements>
    <a:clrScheme name="Custom 3">
      <a:dk1>
        <a:srgbClr val="000000"/>
      </a:dk1>
      <a:lt1>
        <a:srgbClr val="FFFFFF"/>
      </a:lt1>
      <a:dk2>
        <a:srgbClr val="000000"/>
      </a:dk2>
      <a:lt2>
        <a:srgbClr val="1860F0"/>
      </a:lt2>
      <a:accent1>
        <a:srgbClr val="F7F9FA"/>
      </a:accent1>
      <a:accent2>
        <a:srgbClr val="FFF6B3"/>
      </a:accent2>
      <a:accent3>
        <a:srgbClr val="FFF194"/>
      </a:accent3>
      <a:accent4>
        <a:srgbClr val="FFE97A"/>
      </a:accent4>
      <a:accent5>
        <a:srgbClr val="F0F3F5"/>
      </a:accent5>
      <a:accent6>
        <a:srgbClr val="EBE6E1"/>
      </a:accent6>
      <a:hlink>
        <a:srgbClr val="2977FF"/>
      </a:hlink>
      <a:folHlink>
        <a:srgbClr val="2977FF"/>
      </a:folHlink>
    </a:clrScheme>
    <a:fontScheme name="Sinch 2025">
      <a:majorFont>
        <a:latin typeface="Host Grotesk SemiBold"/>
        <a:ea typeface=""/>
        <a:cs typeface=""/>
      </a:majorFont>
      <a:minorFont>
        <a:latin typeface="Host Grotes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6"/>
        </a:solidFill>
        <a:ln>
          <a:noFill/>
        </a:ln>
      </a:spPr>
      <a:bodyPr rtlCol="0" anchor="ctr"/>
      <a:lstStyle>
        <a:defPPr algn="ctr">
          <a:lnSpc>
            <a:spcPct val="110000"/>
          </a:lnSpc>
          <a:defRPr sz="1500">
            <a:solidFill>
              <a:schemeClr val="tx1"/>
            </a:solidFill>
            <a:cs typeface="Arial" panose="020B0604020202020204" pitchFamily="34"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lnSpc>
            <a:spcPct val="110000"/>
          </a:lnSpc>
          <a:spcBef>
            <a:spcPts val="225"/>
          </a:spcBef>
          <a:spcAft>
            <a:spcPts val="225"/>
          </a:spcAft>
          <a:defRPr sz="1500" dirty="0">
            <a:solidFill>
              <a:schemeClr val="tx2"/>
            </a:solidFill>
            <a:cs typeface="Arial" panose="020B0604020202020204" pitchFamily="34" charset="0"/>
          </a:defRPr>
        </a:defPPr>
      </a:lstStyle>
    </a:txDef>
  </a:objectDefaults>
  <a:extraClrSchemeLst/>
  <a:custClrLst>
    <a:custClr name="Neutral05">
      <a:srgbClr val="F7F9FA"/>
    </a:custClr>
    <a:custClr name="Neutral10">
      <a:srgbClr val="F0F3F5"/>
    </a:custClr>
    <a:custClr name="Neutral15">
      <a:srgbClr val="E6EBED"/>
    </a:custClr>
    <a:custClr name="Neutral20">
      <a:srgbClr val="DCE2E5"/>
    </a:custClr>
    <a:custClr name="Neutral25">
      <a:srgbClr val="D3D9DE"/>
    </a:custClr>
    <a:custClr name="Neutral30">
      <a:srgbClr val="C4CCD1"/>
    </a:custClr>
    <a:custClr name="Neutral35">
      <a:srgbClr val="AEB7BD"/>
    </a:custClr>
    <a:custClr name="Neutral40">
      <a:srgbClr val="8F9AA1"/>
    </a:custClr>
    <a:custClr name="Neutral50">
      <a:srgbClr val="78828A"/>
    </a:custClr>
    <a:custClr name="Neutral60">
      <a:srgbClr val="626C73"/>
    </a:custClr>
    <a:custClr name="Sand15">
      <a:srgbClr val="F2EEE8"/>
    </a:custClr>
    <a:custClr name="Sand20">
      <a:srgbClr val="EBE6E1"/>
    </a:custClr>
    <a:custClr name="Sand25">
      <a:srgbClr val="DBD7D3"/>
    </a:custClr>
    <a:custClr name="Sand30">
      <a:srgbClr val="C9C5C1"/>
    </a:custClr>
    <a:custClr name="Sand35">
      <a:srgbClr val="B8B3B0"/>
    </a:custClr>
    <a:custClr name="Honey10">
      <a:srgbClr val="FFF6B3"/>
    </a:custClr>
    <a:custClr name="Honey15">
      <a:srgbClr val="FFF194"/>
    </a:custClr>
    <a:custClr name="Honey20">
      <a:srgbClr val="FFE97A"/>
    </a:custClr>
    <a:custClr name="Honey25">
      <a:srgbClr val="FADA5A"/>
    </a:custClr>
    <a:custClr name="Honey30">
      <a:srgbClr val="F0C243"/>
    </a:custClr>
    <a:custClr name="Tropical05">
      <a:srgbClr val="F0FAF3"/>
    </a:custClr>
    <a:custClr name="Tropical10">
      <a:srgbClr val="E8F7ED"/>
    </a:custClr>
    <a:custClr name="Tropical15">
      <a:srgbClr val="DFF2E5"/>
    </a:custClr>
    <a:custClr name="Tropical20">
      <a:srgbClr val="D1EDDB"/>
    </a:custClr>
    <a:custClr name="Tropical25">
      <a:srgbClr val="BCE5CD"/>
    </a:custClr>
    <a:custClr name="Tropical30">
      <a:srgbClr val="9ADBC3"/>
    </a:custClr>
    <a:custClr name="Tropical35">
      <a:srgbClr val="7FC7AF"/>
    </a:custClr>
    <a:custClr name="Tropical40">
      <a:srgbClr val="5BA891"/>
    </a:custClr>
    <a:custClr name="Tropical50">
      <a:srgbClr val="368F7D"/>
    </a:custClr>
    <a:custClr name="Tropical60">
      <a:srgbClr val="00756A"/>
    </a:custClr>
    <a:custClr name="Ocean05">
      <a:srgbClr val="F7FAFF"/>
    </a:custClr>
    <a:custClr name="Ocean10">
      <a:srgbClr val="F0F6FF"/>
    </a:custClr>
    <a:custClr name="Ocean15">
      <a:srgbClr val="E6F0FF"/>
    </a:custClr>
    <a:custClr name="Ocean20">
      <a:srgbClr val="DBE9FF"/>
    </a:custClr>
    <a:custClr name="Ocean25">
      <a:srgbClr val="C4DCFF"/>
    </a:custClr>
    <a:custClr name="Ocean30">
      <a:srgbClr val="A3C8FF"/>
    </a:custClr>
    <a:custClr name="Ocean35">
      <a:srgbClr val="85B6FF"/>
    </a:custClr>
    <a:custClr name="Ocean40">
      <a:srgbClr val="5996FF"/>
    </a:custClr>
    <a:custClr name="Ocean50">
      <a:srgbClr val="2977FF"/>
    </a:custClr>
    <a:custClr name="Ocean60">
      <a:srgbClr val="1860F0"/>
    </a:custClr>
    <a:custClr name="Violet05">
      <a:srgbClr val="F8F7FF"/>
    </a:custClr>
    <a:custClr name="Violet10">
      <a:srgbClr val="F3F0FF"/>
    </a:custClr>
    <a:custClr name="Violet15">
      <a:srgbClr val="EFEBFF"/>
    </a:custClr>
    <a:custClr name="Violet20">
      <a:srgbClr val="E6E0FF"/>
    </a:custClr>
    <a:custClr name="Violet25">
      <a:srgbClr val="D9D1FF"/>
    </a:custClr>
    <a:custClr name="Violet30">
      <a:srgbClr val="C8BDFF"/>
    </a:custClr>
    <a:custClr name="Violet35">
      <a:srgbClr val="B7A8FF"/>
    </a:custClr>
    <a:custClr name="Violet40">
      <a:srgbClr val="9785FF"/>
    </a:custClr>
    <a:custClr name="Violet50">
      <a:srgbClr val="7D66FF"/>
    </a:custClr>
    <a:custClr name="Violet60">
      <a:srgbClr val="6855E0"/>
    </a:custClr>
  </a:custClrLst>
  <a:extLst>
    <a:ext uri="{05A4C25C-085E-4340-85A3-A5531E510DB2}">
      <thm15:themeFamily xmlns:thm15="http://schemas.microsoft.com/office/thememl/2012/main" name="Sinch" id="{5E1BD049-3579-4468-B154-67BB2FB7D7EE}" vid="{B445A52D-11C6-4972-B7D3-D2E4D773533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21" ma:contentTypeDescription="Skapa ett nytt dokument." ma:contentTypeScope="" ma:versionID="68ac65ad78ed8ad72ce0b448ad40d0f1">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ca91a0d67ff346b3fa6f7c80739792d8"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Godk_x00e4_nd"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Godk_x00e4_nd" ma:index="18" nillable="true" ma:displayName="Godkänd" ma:default="0" ma:format="Dropdown" ma:internalName="Godk_x00e4_nd">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Status" ma:index="27" nillable="true" ma:displayName="Status" ma:format="RadioButtons" ma:internalName="Status">
      <xsd:simpleType>
        <xsd:restriction base="dms:Choice">
          <xsd:enumeration value="Klar"/>
          <xsd:enumeration value="Gör ej"/>
        </xsd:restrictio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element name="TaxCatchAll" ma:index="24" nillable="true" ma:displayName="Taxonomy Catch All Column" ma:hidden="true" ma:list="{bb681454-5b20-4870-936e-b523090ef0fb}"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7532cd0-e888-47d6-8f58-db0210f25002" xsi:nil="true"/>
    <lcf76f155ced4ddcb4097134ff3c332f xmlns="10c3a147-0d64-46aa-a281-dc97358e8373">
      <Terms xmlns="http://schemas.microsoft.com/office/infopath/2007/PartnerControls"/>
    </lcf76f155ced4ddcb4097134ff3c332f>
    <Godk_x00e4_nd xmlns="10c3a147-0d64-46aa-a281-dc97358e8373">false</Godk_x00e4_nd>
    <Status xmlns="10c3a147-0d64-46aa-a281-dc97358e8373" xsi:nil="true"/>
  </documentManagement>
</p:properties>
</file>

<file path=customXml/itemProps1.xml><?xml version="1.0" encoding="utf-8"?>
<ds:datastoreItem xmlns:ds="http://schemas.openxmlformats.org/officeDocument/2006/customXml" ds:itemID="{119EF0B7-E069-4EA9-84EB-2283053C4ACD}">
  <ds:schemaRefs>
    <ds:schemaRef ds:uri="http://schemas.openxmlformats.org/officeDocument/2006/bibliography"/>
  </ds:schemaRefs>
</ds:datastoreItem>
</file>

<file path=customXml/itemProps2.xml><?xml version="1.0" encoding="utf-8"?>
<ds:datastoreItem xmlns:ds="http://schemas.openxmlformats.org/officeDocument/2006/customXml" ds:itemID="{78DF1D40-E57A-4407-BCD5-27A941E2D9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937A8C-8756-4670-A220-B5D1AF872B9F}">
  <ds:schemaRefs>
    <ds:schemaRef ds:uri="http://schemas.microsoft.com/sharepoint/v3/contenttype/forms"/>
  </ds:schemaRefs>
</ds:datastoreItem>
</file>

<file path=customXml/itemProps4.xml><?xml version="1.0" encoding="utf-8"?>
<ds:datastoreItem xmlns:ds="http://schemas.openxmlformats.org/officeDocument/2006/customXml" ds:itemID="{7DCE1F04-932E-4FB5-AE1B-8F976B8D6091}">
  <ds:schemaRefs>
    <ds:schemaRef ds:uri="http://schemas.microsoft.com/office/2006/metadata/properties"/>
    <ds:schemaRef ds:uri="http://schemas.microsoft.com/office/infopath/2007/PartnerControls"/>
    <ds:schemaRef ds:uri="d7532cd0-e888-47d6-8f58-db0210f25002"/>
    <ds:schemaRef ds:uri="10c3a147-0d64-46aa-a281-dc97358e8373"/>
  </ds:schemaRefs>
</ds:datastoreItem>
</file>

<file path=docProps/app.xml><?xml version="1.0" encoding="utf-8"?>
<Properties xmlns="http://schemas.openxmlformats.org/officeDocument/2006/extended-properties" xmlns:vt="http://schemas.openxmlformats.org/officeDocument/2006/docPropsVTypes">
  <Template>A4 with examples.dotx</Template>
  <TotalTime>0</TotalTime>
  <Pages>6</Pages>
  <Words>696</Words>
  <Characters>3970</Characters>
  <Application>Microsoft Office Word</Application>
  <DocSecurity>0</DocSecurity>
  <Lines>33</Lines>
  <Paragraphs>9</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Sinch</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Andersson</dc:creator>
  <cp:keywords/>
  <dc:description/>
  <cp:lastModifiedBy>Sara Andersson</cp:lastModifiedBy>
  <cp:revision>2</cp:revision>
  <dcterms:created xsi:type="dcterms:W3CDTF">2026-04-10T13:51:00Z</dcterms:created>
  <dcterms:modified xsi:type="dcterms:W3CDTF">2026-04-28T07:10:00Z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0x010100129BBCBF21362E4099AE6C2F27C58737</vt:lpwstr>
  </property>
  <property fmtid="{D5CDD505-2E9C-101B-9397-08002B2CF9AE}" pid="3" name="MediaServiceImageTags">
    <vt:lpwstr/>
  </property>
</Properties>
</file>