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43480341"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B0126E" w:rsidRPr="00B0126E">
        <w:t xml:space="preserve">When modeling chromatographic retention time data for heterogeneous analytes, a common assumption is that the retention behavior of individual analytes is independent (controlling for the effect of various descriptors). However, in practice, analytes often share structural similarities that introduce dependencies, which can improve predictive accuracy when leveraged. In this study, I present a multilevel modeling approach that incorporates a </w:t>
      </w:r>
      <w:proofErr w:type="spellStart"/>
      <w:r w:rsidR="00B0126E" w:rsidRPr="00B0126E">
        <w:t>Tanimoto</w:t>
      </w:r>
      <w:proofErr w:type="spellEnd"/>
      <w:r w:rsidR="00B0126E" w:rsidRPr="00B0126E">
        <w:t xml:space="preserve"> similarity matrix to address these relationships. I evaluate the proposed model using a publicly available dataset of isocratic reversed-phase high-performance liquid chromatography retention time measurements for 1,026 analytes. Many of these analytes exhibit high structural similarity, making them ideal for investigating the advantages of incorporating similarity into models. A central component of the model is its use of a matrix normal distribution parameterized by a mean matrix and two covariance matrices, one capturing covariance across analytes and the other capturing covariance across chromatographic parameters. The mean matrix includes molecular predictors, such as </w:t>
      </w:r>
      <w:proofErr w:type="spellStart"/>
      <w:r w:rsidR="00B0126E" w:rsidRPr="00A44285">
        <w:rPr>
          <w:i/>
          <w:iCs/>
        </w:rPr>
        <w:t>logP</w:t>
      </w:r>
      <w:proofErr w:type="spellEnd"/>
      <w:r w:rsidR="00B0126E" w:rsidRPr="00B0126E">
        <w:t xml:space="preserve"> values and the number of functional groups. The row covariance matrix is structured according to the </w:t>
      </w:r>
      <w:proofErr w:type="spellStart"/>
      <w:r w:rsidR="00B0126E" w:rsidRPr="00B0126E">
        <w:t>Tanimoto</w:t>
      </w:r>
      <w:proofErr w:type="spellEnd"/>
      <w:r w:rsidR="00B0126E" w:rsidRPr="00B0126E">
        <w:t xml:space="preserve"> similarity matrix, which enables structural similarities among analytes to inform retention predictions. The column covariance matrix captures dependencies among model parameters. This study demonstrates that structural similarity can be seamlessly integrated into the retention time model to offer improved predictive performance, especially when experimental data from structurally related analytes is available.</w:t>
      </w:r>
    </w:p>
    <w:p w14:paraId="2B1B9A31" w14:textId="60EB9F7E" w:rsidR="007A70CD" w:rsidRDefault="00B0126E" w:rsidP="00E86063">
      <w:pPr>
        <w:pStyle w:val="TAMainText"/>
      </w:pPr>
      <w:r w:rsidRPr="00B0126E">
        <w:t xml:space="preserve">Intuitively, it is clear that knowing the retention time of imipramine, a tricyclic antidepressant, can help predict the retention time of desipramine, another structurally similar tricyclic compound. However, imipramine's retention time offers little predictive value for </w:t>
      </w:r>
      <w:proofErr w:type="spellStart"/>
      <w:r w:rsidRPr="00B0126E">
        <w:t>ribitol</w:t>
      </w:r>
      <w:proofErr w:type="spellEnd"/>
      <w:r w:rsidRPr="00B0126E">
        <w:t>, a sugar alcohol with no structural resemblance. One strategy to improve prediction accuracy in this setting is to use the localized QSRR approach</w:t>
      </w:r>
      <w:r w:rsidR="00241270">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00241270">
        <w:fldChar w:fldCharType="separate"/>
      </w:r>
      <w:r w:rsidR="000812CB" w:rsidRPr="000812CB">
        <w:rPr>
          <w:szCs w:val="24"/>
          <w:vertAlign w:val="superscript"/>
        </w:rPr>
        <w:t>1,2</w:t>
      </w:r>
      <w:r w:rsidR="00241270">
        <w:fldChar w:fldCharType="end"/>
      </w:r>
      <w:r w:rsidR="00241270">
        <w:t>,</w:t>
      </w:r>
      <w:r w:rsidR="00241270" w:rsidRPr="00241270">
        <w:t xml:space="preserve"> </w:t>
      </w:r>
      <w:r w:rsidRPr="00B0126E">
        <w:t xml:space="preserve">which focuses only on structurally similar compounds while excluding dissimilar ones, such as </w:t>
      </w:r>
      <w:proofErr w:type="spellStart"/>
      <w:r w:rsidRPr="00B0126E">
        <w:t>ribitol</w:t>
      </w:r>
      <w:proofErr w:type="spellEnd"/>
      <w:r w:rsidR="00241270" w:rsidRPr="00241270">
        <w:t xml:space="preserve">. </w:t>
      </w:r>
      <w:r w:rsidRPr="00B0126E">
        <w:t>However, this method sacrifices generalizability because it underutilizes the full dataset</w:t>
      </w:r>
      <w:r w:rsidR="00C502BE">
        <w:t>, as</w:t>
      </w:r>
      <w:r w:rsidRPr="00B0126E">
        <w:t xml:space="preserve"> even dissimilar compounds can inform model parameters</w:t>
      </w:r>
      <w:r w:rsidR="00241270" w:rsidRPr="00241270">
        <w:t xml:space="preserve">. </w:t>
      </w:r>
      <w:r w:rsidRPr="00B0126E">
        <w:t>From a multilevel modeling perspective</w:t>
      </w:r>
      <w:r>
        <w:fldChar w:fldCharType="begin"/>
      </w:r>
      <w:r>
        <w:instrText xml:space="preserve"> ADDIN ZOTERO_ITEM CSL_CITATION {"citationID":"h5R9pTPM","properties":{"formattedCitation":"\\super 3\\uc0\\u8211{}9\\nosupersub{}","plainCitation":"3</w:instrText>
      </w:r>
      <w:r>
        <w:rPr>
          <w:rFonts w:hint="eastAsia"/>
        </w:rPr>
        <w:instrText>–</w:instrText>
      </w:r>
      <w:r>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Pr>
          <w:rFonts w:hint="eastAsia"/>
        </w:rPr>
        <w:instrText>ł</w:instrText>
      </w:r>
      <w:r>
        <w:instrText>"},{"family":"Kamedulska","given":"Agnieszka"},{"family":"Kubik","given":"</w:instrText>
      </w:r>
      <w:r>
        <w:rPr>
          <w:rFonts w:hint="eastAsia"/>
        </w:rPr>
        <w:instrText>Ł</w:instrText>
      </w:r>
      <w:r>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Pr>
          <w:rFonts w:hint="eastAsia"/>
        </w:rPr>
        <w:instrText>Ł</w:instrText>
      </w:r>
      <w:r>
        <w:instrText>ukasz"},{"family":"Wiczling","given":"Pawe</w:instrText>
      </w:r>
      <w:r>
        <w:rPr>
          <w:rFonts w:hint="eastAsia"/>
        </w:rPr>
        <w:instrText>ł</w:instrText>
      </w:r>
      <w:r>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Pr>
          <w:rFonts w:hint="eastAsia"/>
        </w:rPr>
        <w:instrText>Ł</w:instrText>
      </w:r>
      <w:r>
        <w:instrText>ukasz"},{"family":"Jacyna","given":"Julia"},{"family":"Struck-Lewicka","given":"Wiktoria"},{"family":"Markuszewski","given":"Micha</w:instrText>
      </w:r>
      <w:r>
        <w:rPr>
          <w:rFonts w:hint="eastAsia"/>
        </w:rPr>
        <w:instrText>ł</w:instrText>
      </w:r>
      <w:r>
        <w:instrText xml:space="preserve"> J."},{"family":"Wiczling","given":"Pawe</w:instrText>
      </w:r>
      <w:r>
        <w:rPr>
          <w:rFonts w:hint="eastAsia"/>
        </w:rPr>
        <w:instrText>ł</w:instrText>
      </w:r>
      <w:r>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Pr>
          <w:rFonts w:hint="eastAsia"/>
        </w:rPr>
        <w:instrText>ł</w:instrText>
      </w:r>
      <w:r>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Pr>
          <w:rFonts w:hint="eastAsia"/>
        </w:rPr>
        <w:instrText>ł</w:instrText>
      </w:r>
      <w:r>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Pr>
          <w:rFonts w:hint="eastAsia"/>
        </w:rPr>
        <w:instrText>Ł</w:instrText>
      </w:r>
      <w:r>
        <w:instrText>ukasz"},{"family":"Kaliszan","given":"Roman"},{"family":"Wiczling","given":"Pawe</w:instrText>
      </w:r>
      <w:r>
        <w:rPr>
          <w:rFonts w:hint="eastAsia"/>
        </w:rPr>
        <w:instrText>ł</w:instrText>
      </w:r>
      <w:r>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Pr>
          <w:rFonts w:hint="eastAsia"/>
        </w:rPr>
        <w:instrText>ł</w:instrText>
      </w:r>
      <w:r>
        <w:instrText>"},{"family":"Kubik","given":"</w:instrText>
      </w:r>
      <w:r>
        <w:rPr>
          <w:rFonts w:hint="eastAsia"/>
        </w:rPr>
        <w:instrText>Ł</w:instrText>
      </w:r>
      <w:r>
        <w:instrText xml:space="preserve">ukasz"},{"family":"Kaliszan","given":"Roman"}],"issued":{"date-parts":[["2015",7,21]]}}}],"schema":"https://github.com/citation-style-language/schema/raw/master/csl-citation.json"} </w:instrText>
      </w:r>
      <w:r>
        <w:fldChar w:fldCharType="separate"/>
      </w:r>
      <w:r w:rsidRPr="000812CB">
        <w:rPr>
          <w:szCs w:val="24"/>
          <w:vertAlign w:val="superscript"/>
        </w:rPr>
        <w:t>3–9</w:t>
      </w:r>
      <w:r>
        <w:fldChar w:fldCharType="end"/>
      </w:r>
      <w:r w:rsidRPr="00B0126E">
        <w:t>, each analyte retention is predicted based on population-level parameters shared across all analytes and individual-level observations</w:t>
      </w:r>
      <w:r w:rsidR="00241270" w:rsidRPr="00241270">
        <w:t>.</w:t>
      </w:r>
      <w:r>
        <w:t xml:space="preserve"> </w:t>
      </w:r>
      <w:r w:rsidRPr="00B0126E">
        <w:t>Ideally, a retention time prediction model would incorporate all available analytes and weight each according to structural similarity. This hierarchical framework would enable effective information sharing across compounds and improve predictive accuracy by balancing individual- and population-level information. A multiple output Gaussian process model using a matrix normal distribution is a convenient way to extend standard multilevel models to handle analyte similarity</w:t>
      </w:r>
      <w:r w:rsidR="000812CB">
        <w:t xml:space="preserve">. </w:t>
      </w:r>
    </w:p>
    <w:p w14:paraId="2D6C4326" w14:textId="04172D87" w:rsidR="001254DF" w:rsidRPr="00CC6387" w:rsidRDefault="00B0126E" w:rsidP="00E86063">
      <w:pPr>
        <w:pStyle w:val="TAMainText"/>
      </w:pPr>
      <w:r w:rsidRPr="00B0126E">
        <w:t xml:space="preserve">Building on previous efforts to model a publicly available </w:t>
      </w:r>
      <w:r w:rsidR="004679FA" w:rsidRPr="004679FA">
        <w:t xml:space="preserve"> dataset</w:t>
      </w:r>
      <w:r w:rsidR="004679FA">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rsidR="004679FA">
        <w:fldChar w:fldCharType="separate"/>
      </w:r>
      <w:r w:rsidR="000812CB" w:rsidRPr="000812CB">
        <w:rPr>
          <w:szCs w:val="24"/>
          <w:vertAlign w:val="superscript"/>
        </w:rPr>
        <w:t>3,4</w:t>
      </w:r>
      <w:r w:rsidR="004679FA">
        <w:fldChar w:fldCharType="end"/>
      </w:r>
      <w:r w:rsidR="004679FA" w:rsidRPr="004679FA">
        <w:t>,</w:t>
      </w:r>
      <w:r>
        <w:t xml:space="preserve"> </w:t>
      </w:r>
      <w:r w:rsidRPr="00B0126E">
        <w:t xml:space="preserve">this study focuses specifically on assessing the benefit of incorporating </w:t>
      </w:r>
      <w:proofErr w:type="spellStart"/>
      <w:r w:rsidRPr="00B0126E">
        <w:t>Tanimoto</w:t>
      </w:r>
      <w:proofErr w:type="spellEnd"/>
      <w:r w:rsidRPr="00B0126E">
        <w:t xml:space="preserve"> structural similarity as a predictor of covariance between analyte pairs</w:t>
      </w:r>
      <w:r w:rsidR="004679FA">
        <w:t xml:space="preserve">. </w:t>
      </w:r>
      <w:r w:rsidRPr="00B0126E">
        <w:t xml:space="preserve">The data were analyzed using a multilevel approach with a normal matrix distribution. This distribution was parameterized by a mean matrix and two covariance matrices. The first matrix captured covariation across analytes, and the second matrix captured covariation across chromatographic parameters. The mean matrix incorporates predictors such as log P values and the number of functional groups. The column covariance matrix </w:t>
      </w:r>
      <w:r w:rsidRPr="00B0126E">
        <w:t>modeled the dependency between</w:t>
      </w:r>
      <w:r>
        <w:t xml:space="preserve"> </w:t>
      </w:r>
      <w:proofErr w:type="spellStart"/>
      <w:r w:rsidRPr="00B0126E">
        <w:rPr>
          <w:i/>
          <w:iCs/>
        </w:rPr>
        <w:t>logk</w:t>
      </w:r>
      <w:r w:rsidRPr="00B0126E">
        <w:rPr>
          <w:i/>
          <w:iCs/>
        </w:rPr>
        <w:softHyphen/>
      </w:r>
      <w:r w:rsidRPr="00B0126E">
        <w:rPr>
          <w:i/>
          <w:iCs/>
          <w:vertAlign w:val="subscript"/>
        </w:rPr>
        <w:t>w</w:t>
      </w:r>
      <w:proofErr w:type="spellEnd"/>
      <w:r w:rsidRPr="00B0126E">
        <w:t xml:space="preserve"> and</w:t>
      </w:r>
      <w:r>
        <w:t xml:space="preserve"> </w:t>
      </w:r>
      <w:r w:rsidRPr="00C502BE">
        <w:rPr>
          <w:i/>
          <w:iCs/>
        </w:rPr>
        <w:t>S</w:t>
      </w:r>
      <w:r w:rsidRPr="00C502BE">
        <w:rPr>
          <w:i/>
          <w:iCs/>
          <w:vertAlign w:val="subscript"/>
        </w:rPr>
        <w:t>1</w:t>
      </w:r>
      <w:r>
        <w:t xml:space="preserve"> </w:t>
      </w:r>
      <w:r w:rsidRPr="00B0126E">
        <w:t xml:space="preserve">of the Neue equation, and the row covariance matrix was correlated with the </w:t>
      </w:r>
      <w:proofErr w:type="spellStart"/>
      <w:r w:rsidRPr="00B0126E">
        <w:t>Tanimoto</w:t>
      </w:r>
      <w:proofErr w:type="spellEnd"/>
      <w:r w:rsidRPr="00B0126E">
        <w:t xml:space="preserve"> similarity matrix. This allowed structural similarities between analytes to inform </w:t>
      </w:r>
      <w:r w:rsidR="00C502BE">
        <w:t>model based predictions</w:t>
      </w:r>
      <w:r w:rsidRPr="00B0126E">
        <w:t>. This methodology's benefit is evaluated by quantifying how much uncertainty the similarity matrix explains and how this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2680053C"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0812CB">
        <w:instrText xml:space="preserve"> ADDIN ZOTERO_ITEM CSL_CITATION {"citationID":"AhIbGCzh","properties":{"formattedCitation":"\\super 10\\nosupersub{}","plainCitation":"10","noteIndex":0},"citationItems":[{"id":629,"uris":["http://zotero.org/users/local/cIlVeWgC/items/PQW2DEKP"],"itemData":{"id":629,"type":"webpage","title":"retentionprediction.org/hplc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0812CB" w:rsidRPr="000812CB">
        <w:rPr>
          <w:szCs w:val="24"/>
          <w:vertAlign w:val="superscript"/>
        </w:rPr>
        <w:t>10</w:t>
      </w:r>
      <w:r w:rsidR="008A7774">
        <w:fldChar w:fldCharType="end"/>
      </w:r>
      <w:r w:rsidR="008A7774" w:rsidRPr="008A7774">
        <w:t xml:space="preserve"> that comprises the measurements of </w:t>
      </w:r>
      <w:r w:rsidR="0076092D" w:rsidRPr="00B0126E">
        <w:t xml:space="preserve">reversed-phase high-performance liquid chromatography </w:t>
      </w:r>
      <w:r w:rsidR="0076092D">
        <w:t xml:space="preserve"> (</w:t>
      </w:r>
      <w:r w:rsidR="008A7774" w:rsidRPr="008A7774">
        <w:t>RP-HPLC</w:t>
      </w:r>
      <w:r w:rsidR="0076092D">
        <w:t>)</w:t>
      </w:r>
      <w:r w:rsidR="008A7774" w:rsidRPr="008A7774">
        <w:t xml:space="preserve">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0812CB">
        <w:instrText xml:space="preserve"> ADDIN ZOTERO_ITEM CSL_CITATION {"citationID":"EI6ucpPj","properties":{"formattedCitation":"\\super 11,12\\nosupersub{}","plainCitation":"11,12","noteIndex":0},"citationItems":[{"id":626,"uris":["http://zotero.org/users/local/cIlVeWgC/items/H2XWAUS5"],"itemData":{"id":626,"type":"article-journal","container-title":"Journal of Chromatography A","DOI":"https://doi.org/10.1016/j.chroma.2011.07.105","ISSN":"0021-9673","issue":"38","page":"6732-6741","title":"A study on retention </w:instrText>
      </w:r>
      <w:r w:rsidR="000812CB">
        <w:rPr>
          <w:rFonts w:hint="eastAsia"/>
        </w:rPr>
        <w:instrText>“</w:instrText>
      </w:r>
      <w:r w:rsidR="000812CB">
        <w:instrText>projection</w:instrText>
      </w:r>
      <w:r w:rsidR="000812CB">
        <w:rPr>
          <w:rFonts w:hint="eastAsia"/>
        </w:rPr>
        <w:instrText>”</w:instrText>
      </w:r>
      <w:r w:rsidR="000812CB">
        <w:instrText xml:space="preserve"> as a supplementary means for compound identification by liquid chromatography</w:instrText>
      </w:r>
      <w:r w:rsidR="000812CB">
        <w:rPr>
          <w:rFonts w:hint="eastAsia"/>
        </w:rPr>
        <w:instrText>–</w:instrText>
      </w:r>
      <w:r w:rsidR="000812CB">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0812CB" w:rsidRPr="000812CB">
        <w:rPr>
          <w:szCs w:val="24"/>
          <w:vertAlign w:val="superscript"/>
        </w:rPr>
        <w:t>11,12</w:t>
      </w:r>
      <w:r w:rsidR="008A7774">
        <w:fldChar w:fldCharType="end"/>
      </w:r>
    </w:p>
    <w:p w14:paraId="6457123E" w14:textId="7B322631" w:rsidR="00681A67" w:rsidRPr="00CC6387" w:rsidRDefault="008A7774" w:rsidP="00E86063">
      <w:pPr>
        <w:pStyle w:val="TAMainText"/>
        <w:rPr>
          <w:color w:val="FF0000"/>
        </w:rPr>
      </w:pPr>
      <w:r w:rsidRPr="008A7774">
        <w:t xml:space="preserve">The </w:t>
      </w:r>
      <w:r w:rsidR="00C502BE" w:rsidRPr="00C502BE">
        <w:t>two-dimensional</w:t>
      </w:r>
      <w:r w:rsidR="00C502BE">
        <w:t xml:space="preserve"> (</w:t>
      </w:r>
      <w:r w:rsidRPr="008A7774">
        <w:t>2D</w:t>
      </w:r>
      <w:r w:rsidR="00C502BE">
        <w:t>)</w:t>
      </w:r>
      <w:r w:rsidRPr="008A7774">
        <w:t xml:space="preserve"> structures of </w:t>
      </w:r>
      <w:r w:rsidR="00C502BE">
        <w:t xml:space="preserve">the </w:t>
      </w:r>
      <w:r w:rsidRPr="008A7774">
        <w:t xml:space="preserve">analytes, </w:t>
      </w:r>
      <w:r w:rsidR="00C502BE">
        <w:t xml:space="preserve">the </w:t>
      </w:r>
      <w:proofErr w:type="spellStart"/>
      <w:r w:rsidRPr="008A7774">
        <w:t>Tanimoto</w:t>
      </w:r>
      <w:proofErr w:type="spellEnd"/>
      <w:r w:rsidRPr="008A7774">
        <w:t xml:space="preserve"> similarity matrix, </w:t>
      </w:r>
      <w:r w:rsidR="00C502BE">
        <w:t xml:space="preserve">the </w:t>
      </w:r>
      <w:r w:rsidRPr="008A7774">
        <w:t xml:space="preserve">log P and the number of functional groups </w:t>
      </w:r>
      <w:r w:rsidR="004772E2">
        <w:t>(</w:t>
      </w:r>
      <w:r w:rsidR="004772E2" w:rsidRPr="004772E2">
        <w:rPr>
          <w:i/>
          <w:iCs/>
        </w:rPr>
        <w:t>X</w:t>
      </w:r>
      <w:r w:rsidR="004772E2">
        <w:t xml:space="preserve">) </w:t>
      </w:r>
      <w:r w:rsidRPr="008A7774">
        <w:t xml:space="preserve">were calculated using </w:t>
      </w:r>
      <w:r w:rsidR="00C502BE">
        <w:t xml:space="preserve">the </w:t>
      </w:r>
      <w:proofErr w:type="spellStart"/>
      <w:r w:rsidRPr="008A7774">
        <w:t>RDkit</w:t>
      </w:r>
      <w:proofErr w:type="spellEnd"/>
      <w:r w:rsidRPr="008A7774">
        <w:t xml:space="preserve"> toolkit</w:t>
      </w:r>
      <w:r>
        <w:fldChar w:fldCharType="begin"/>
      </w:r>
      <w:r w:rsidR="000812CB">
        <w:instrText xml:space="preserve"> ADDIN ZOTERO_ITEM CSL_CITATION {"citationID":"BG6JqUHe","properties":{"formattedCitation":"\\super 13\\nosupersub{}","plainCitation":"13","noteIndex":0},"citationItems":[{"id":628,"uris":["http://zotero.org/users/local/cIlVeWgC/items/UQP99F4Y"],"itemData":{"id":628,"type":"software","note":"DOI: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0812CB">
        <w:rPr>
          <w:rFonts w:hint="eastAsia"/>
        </w:rPr>
        <w:instrText>ó</w:instrText>
      </w:r>
      <w:r w:rsidR="000812CB">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0812CB" w:rsidRPr="000812CB">
        <w:rPr>
          <w:szCs w:val="24"/>
          <w:vertAlign w:val="superscript"/>
        </w:rPr>
        <w:t>13</w:t>
      </w:r>
      <w:r>
        <w:fldChar w:fldCharType="end"/>
      </w:r>
      <w:r w:rsidRPr="008A7774">
        <w:t xml:space="preserve">: </w:t>
      </w:r>
      <w:r w:rsidR="00681A67" w:rsidRPr="008A7774">
        <w:t xml:space="preserve">based on the </w:t>
      </w:r>
      <w:r w:rsidR="00C502BE">
        <w:t xml:space="preserve">analytes </w:t>
      </w:r>
      <w:r w:rsidR="00681A67" w:rsidRPr="008A7774">
        <w:t xml:space="preserve">structures generated from SMILES strings. </w:t>
      </w:r>
      <w:r w:rsidR="004772E2">
        <w:t xml:space="preserve">The </w:t>
      </w:r>
      <w:r w:rsidR="004772E2" w:rsidRPr="004772E2">
        <w:rPr>
          <w:i/>
          <w:iCs/>
        </w:rPr>
        <w:t>X</w:t>
      </w:r>
      <w:r w:rsidR="004772E2">
        <w:t xml:space="preserve"> was </w:t>
      </w:r>
      <w:r w:rsidR="00C502BE">
        <w:t>then</w:t>
      </w:r>
      <w:r w:rsidR="004772E2">
        <w:t xml:space="preserve"> divided into non-</w:t>
      </w:r>
      <w:r w:rsidR="004772E2" w:rsidRPr="00F80DA9">
        <w:t>dissociated (</w:t>
      </w:r>
      <w:r w:rsidR="004772E2" w:rsidRPr="00F80DA9">
        <w:rPr>
          <w:i/>
          <w:iCs/>
        </w:rPr>
        <w:t>X1</w:t>
      </w:r>
      <w:r w:rsidR="004772E2" w:rsidRPr="00F80DA9">
        <w:t>) and dissociated (</w:t>
      </w:r>
      <w:r w:rsidR="004772E2" w:rsidRPr="00F80DA9">
        <w:rPr>
          <w:i/>
          <w:iCs/>
        </w:rPr>
        <w:t>X2</w:t>
      </w:r>
      <w:r w:rsidR="004772E2" w:rsidRPr="00F80DA9">
        <w:t>) functional groups</w:t>
      </w:r>
      <w:r w:rsidR="004772E2">
        <w:t xml:space="preserve"> at the experimental </w:t>
      </w:r>
      <w:proofErr w:type="spellStart"/>
      <w:r w:rsidR="004772E2">
        <w:t>pH.</w:t>
      </w:r>
      <w:proofErr w:type="spellEnd"/>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083A57C9" w:rsidR="0056090D" w:rsidRPr="00C502BE" w:rsidRDefault="0056090D" w:rsidP="00E86063">
      <w:pPr>
        <w:pStyle w:val="Nagwek2"/>
        <w:rPr>
          <w:b w:val="0"/>
          <w:bCs w:val="0"/>
        </w:rPr>
      </w:pPr>
      <w:r w:rsidRPr="00E86063">
        <w:rPr>
          <w:b w:val="0"/>
          <w:bCs w:val="0"/>
        </w:rPr>
        <w:lastRenderedPageBreak/>
        <w:t>The l</w:t>
      </w:r>
      <w:r w:rsidRPr="00F80DA9">
        <w:rPr>
          <w:b w:val="0"/>
          <w:bCs w:val="0"/>
        </w:rPr>
        <w:t>ogarithm of retention factor (</w:t>
      </w:r>
      <w:proofErr w:type="spellStart"/>
      <w:r w:rsidR="00F929FB" w:rsidRPr="00F80DA9">
        <w:rPr>
          <w:b w:val="0"/>
          <w:bCs w:val="0"/>
          <w:i/>
          <w:iCs/>
        </w:rPr>
        <w:t>logk</w:t>
      </w:r>
      <w:r w:rsidR="00F929FB" w:rsidRPr="00F80DA9">
        <w:rPr>
          <w:b w:val="0"/>
          <w:bCs w:val="0"/>
          <w:i/>
          <w:iCs/>
          <w:vertAlign w:val="subscript"/>
        </w:rPr>
        <w:t>i,j</w:t>
      </w:r>
      <w:proofErr w:type="spellEnd"/>
      <w:r w:rsidRPr="00F80DA9">
        <w:rPr>
          <w:b w:val="0"/>
          <w:bCs w:val="0"/>
        </w:rPr>
        <w:t>) was modeled using the Neue model</w:t>
      </w:r>
      <w:r w:rsidR="003268F4" w:rsidRPr="00F80DA9">
        <w:rPr>
          <w:b w:val="0"/>
          <w:bCs w:val="0"/>
        </w:rPr>
        <w:t>:</w:t>
      </w:r>
      <w:r w:rsidR="008A7774" w:rsidRPr="00C502BE">
        <w:rPr>
          <w:b w:val="0"/>
          <w:bCs w:val="0"/>
        </w:rPr>
        <w:fldChar w:fldCharType="begin"/>
      </w:r>
      <w:r w:rsidR="000812CB" w:rsidRPr="00C502BE">
        <w:rPr>
          <w:b w:val="0"/>
          <w:bCs w:val="0"/>
        </w:rPr>
        <w:instrText xml:space="preserve"> ADDIN ZOTERO_ITEM CSL_CITATION {"citationID":"8OSZ7ynD","properties":{"formattedCitation":"\\super 14\\nosupersub{}","plainCitation":"14","noteIndex":0},"citationItems":[{"id":168,"uris":["http://zotero.org/users/local/cIlVeWgC/items/8PXJZ6C3"],"itemData":{"id":168,"type":"article-journal","abstract":"One-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C502BE">
        <w:rPr>
          <w:b w:val="0"/>
          <w:bCs w:val="0"/>
        </w:rPr>
        <w:fldChar w:fldCharType="separate"/>
      </w:r>
      <w:r w:rsidR="000812CB" w:rsidRPr="00C502BE">
        <w:rPr>
          <w:b w:val="0"/>
          <w:bCs w:val="0"/>
          <w:szCs w:val="24"/>
          <w:vertAlign w:val="superscript"/>
        </w:rPr>
        <w:t>14</w:t>
      </w:r>
      <w:r w:rsidR="008A7774" w:rsidRPr="00C502BE">
        <w:rPr>
          <w:b w:val="0"/>
          <w:bCs w:val="0"/>
        </w:rPr>
        <w:fldChar w:fldCharType="end"/>
      </w:r>
    </w:p>
    <w:p w14:paraId="60850A69" w14:textId="3BDD72D2" w:rsidR="0056090D" w:rsidRPr="00F80DA9" w:rsidRDefault="00C502BE" w:rsidP="00E86063">
      <w:pPr>
        <w:pStyle w:val="Nagwek2"/>
        <w:rPr>
          <w:b w:val="0"/>
          <w:bCs w:val="0"/>
        </w:rPr>
      </w:pPr>
      <m:oMathPara>
        <m:oMath>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logk</m:t>
              </m:r>
            </m:e>
            <m:sub>
              <m:r>
                <w:rPr>
                  <w:rFonts w:ascii="Cambria Math" w:hAnsi="Cambria Math"/>
                </w:rPr>
                <m:t>w</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2,i</m:t>
                      </m:r>
                    </m:sub>
                  </m:sSub>
                </m:e>
              </m:d>
              <m:r>
                <m:rPr>
                  <m:sty m:val="p"/>
                </m:rPr>
                <w:rPr>
                  <w:rFonts w:ascii="Cambria Math" w:hAnsi="Cambria Math"/>
                </w:rPr>
                <m:t>∙</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num>
            <m:den>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e>
              </m:d>
            </m:den>
          </m:f>
        </m:oMath>
      </m:oMathPara>
    </w:p>
    <w:p w14:paraId="6AED435F" w14:textId="0257F9CF" w:rsidR="0056090D" w:rsidRPr="00C502BE" w:rsidRDefault="0056090D" w:rsidP="00E86063">
      <w:pPr>
        <w:pStyle w:val="Nagwek2"/>
        <w:rPr>
          <w:b w:val="0"/>
          <w:bCs w:val="0"/>
        </w:rPr>
      </w:pPr>
      <w:r w:rsidRPr="00C502BE">
        <w:rPr>
          <w:b w:val="0"/>
          <w:bCs w:val="0"/>
        </w:rPr>
        <w:t xml:space="preserve">where </w:t>
      </w:r>
      <w:r w:rsidRPr="00C502BE">
        <w:rPr>
          <w:b w:val="0"/>
          <w:bCs w:val="0"/>
          <w:i/>
          <w:iCs/>
        </w:rPr>
        <w:t>j</w:t>
      </w:r>
      <w:r w:rsidRPr="00C502BE">
        <w:rPr>
          <w:b w:val="0"/>
          <w:bCs w:val="0"/>
        </w:rPr>
        <w:t xml:space="preserve"> denotes observation, </w:t>
      </w:r>
      <w:proofErr w:type="spellStart"/>
      <w:r w:rsidRPr="00C502BE">
        <w:rPr>
          <w:b w:val="0"/>
          <w:bCs w:val="0"/>
          <w:i/>
          <w:iCs/>
        </w:rPr>
        <w:t>i</w:t>
      </w:r>
      <w:proofErr w:type="spellEnd"/>
      <w:r w:rsidRPr="00C502BE">
        <w:rPr>
          <w:b w:val="0"/>
          <w:bCs w:val="0"/>
        </w:rPr>
        <w:t xml:space="preserve"> denotes analyte,</w:t>
      </w:r>
      <w:r w:rsidR="00F929FB" w:rsidRPr="00C502BE">
        <w:rPr>
          <w:b w:val="0"/>
          <w:bCs w:val="0"/>
        </w:rPr>
        <w:t xml:space="preserve">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C502BE">
        <w:rPr>
          <w:b w:val="0"/>
          <w:bCs w:val="0"/>
        </w:rPr>
        <w:t xml:space="preserve">represents the logarithm of retention factors extrapolated to 0% of organic modifier content,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oMath>
      <w:r w:rsidRPr="00C502BE">
        <w:rPr>
          <w:b w:val="0"/>
          <w:bCs w:val="0"/>
        </w:rPr>
        <w:t xml:space="preserve"> and </w:t>
      </w:r>
      <m:oMath>
        <m:sSub>
          <m:sSubPr>
            <m:ctrlPr>
              <w:rPr>
                <w:rFonts w:ascii="Cambria Math" w:hAnsi="Cambria Math"/>
                <w:b w:val="0"/>
                <w:bCs w:val="0"/>
                <w:i/>
              </w:rPr>
            </m:ctrlPr>
          </m:sSubPr>
          <m:e>
            <m:r>
              <w:rPr>
                <w:rFonts w:ascii="Cambria Math" w:hAnsi="Cambria Math"/>
              </w:rPr>
              <m:t>S</m:t>
            </m:r>
          </m:e>
          <m:sub>
            <m:r>
              <m:rPr>
                <m:sty m:val="p"/>
              </m:rPr>
              <w:rPr>
                <w:rFonts w:ascii="Cambria Math" w:hAnsi="Cambria Math"/>
              </w:rPr>
              <m:t>2,i</m:t>
            </m:r>
          </m:sub>
        </m:sSub>
        <m:r>
          <w:rPr>
            <w:rFonts w:ascii="Cambria Math" w:hAnsi="Cambria Math"/>
          </w:rPr>
          <m:t xml:space="preserve"> </m:t>
        </m:r>
      </m:oMath>
      <w:r w:rsidRPr="00C502BE">
        <w:rPr>
          <w:b w:val="0"/>
          <w:bCs w:val="0"/>
        </w:rPr>
        <w:t xml:space="preserve">are the slopes in the Neue equation. In this parametrization of the Neue equation,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C502BE">
        <w:rPr>
          <w:b w:val="0"/>
          <w:bCs w:val="0"/>
        </w:rPr>
        <w:t>reflects the difference between logarithms of retention factors corresponding to water (0% organic modifier) and 100% organic modifier content as eluents.</w:t>
      </w:r>
      <w:r w:rsidR="004772E2" w:rsidRPr="00C502BE">
        <w:rPr>
          <w:b w:val="0"/>
          <w:bCs w:val="0"/>
        </w:rPr>
        <w:t xml:space="preserve"> For simplicity the </w:t>
      </w:r>
      <w:r w:rsidR="004772E2" w:rsidRPr="00C502BE">
        <w:rPr>
          <w:b w:val="0"/>
          <w:bCs w:val="0"/>
          <w:i/>
          <w:iCs/>
        </w:rPr>
        <w:t>S</w:t>
      </w:r>
      <w:r w:rsidR="004772E2" w:rsidRPr="00C502BE">
        <w:rPr>
          <w:b w:val="0"/>
          <w:bCs w:val="0"/>
          <w:i/>
          <w:iCs/>
          <w:vertAlign w:val="subscript"/>
        </w:rPr>
        <w:t>2</w:t>
      </w:r>
      <w:r w:rsidR="004772E2" w:rsidRPr="00C502BE">
        <w:rPr>
          <w:b w:val="0"/>
          <w:bCs w:val="0"/>
        </w:rPr>
        <w:t xml:space="preserve"> parameter was assumed identical for all the analytes (</w:t>
      </w:r>
      <w:r w:rsidR="004772E2" w:rsidRPr="00C502BE">
        <w:rPr>
          <w:b w:val="0"/>
          <w:bCs w:val="0"/>
          <w:i/>
          <w:iCs/>
        </w:rPr>
        <w:t>S</w:t>
      </w:r>
      <w:r w:rsidR="004772E2" w:rsidRPr="00C502BE">
        <w:rPr>
          <w:b w:val="0"/>
          <w:bCs w:val="0"/>
          <w:i/>
          <w:iCs/>
          <w:vertAlign w:val="subscript"/>
        </w:rPr>
        <w:t>2,i</w:t>
      </w:r>
      <w:r w:rsidR="004772E2" w:rsidRPr="00C502BE">
        <w:rPr>
          <w:b w:val="0"/>
          <w:bCs w:val="0"/>
        </w:rPr>
        <w:t xml:space="preserve"> = </w:t>
      </w:r>
      <m:oMath>
        <m:sSub>
          <m:sSubPr>
            <m:ctrlPr>
              <w:rPr>
                <w:rFonts w:ascii="Cambria Math" w:hAnsi="Cambria Math"/>
                <w:b w:val="0"/>
                <w:bCs w:val="0"/>
              </w:rPr>
            </m:ctrlPr>
          </m:sSubPr>
          <m:e>
            <m:r>
              <m:rPr>
                <m:sty m:val="p"/>
              </m:rPr>
              <w:rPr>
                <w:rFonts w:ascii="Cambria Math" w:hAnsi="Cambria Math"/>
              </w:rPr>
              <m:t>θ</m:t>
            </m:r>
          </m:e>
          <m:sub>
            <m:r>
              <w:rPr>
                <w:rFonts w:ascii="Cambria Math" w:hAnsi="Cambria Math"/>
              </w:rPr>
              <m:t>S2</m:t>
            </m:r>
          </m:sub>
        </m:sSub>
        <m:r>
          <w:rPr>
            <w:rFonts w:ascii="Cambria Math" w:hAnsi="Cambria Math"/>
          </w:rPr>
          <m:t>)</m:t>
        </m:r>
      </m:oMath>
      <w:r w:rsidR="004772E2" w:rsidRPr="00C502BE">
        <w:rPr>
          <w:b w:val="0"/>
          <w:bCs w:val="0"/>
        </w:rPr>
        <w:t>.</w:t>
      </w:r>
    </w:p>
    <w:p w14:paraId="2B3E7C90" w14:textId="77777777" w:rsidR="0056090D" w:rsidRPr="00F80DA9" w:rsidRDefault="0056090D" w:rsidP="00E86063">
      <w:pPr>
        <w:pStyle w:val="Nagwek2"/>
        <w:rPr>
          <w:b w:val="0"/>
          <w:bCs w:val="0"/>
        </w:rPr>
      </w:pPr>
      <w:r w:rsidRPr="00F80DA9">
        <w:rPr>
          <w:b w:val="0"/>
          <w:bCs w:val="0"/>
        </w:rPr>
        <w:t>The statistical model has the following hierarchical structure:</w:t>
      </w:r>
    </w:p>
    <w:p w14:paraId="173D6D44" w14:textId="39B82582" w:rsidR="0056090D" w:rsidRPr="00C502BE" w:rsidRDefault="006F1E27"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logk</m:t>
              </m:r>
            </m:e>
            <m:sub>
              <m:r>
                <w:rPr>
                  <w:rFonts w:ascii="Cambria Math" w:hAnsi="Cambria Math"/>
                </w:rPr>
                <m:t>obs,</m:t>
              </m:r>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Studen</m:t>
          </m:r>
          <m:sSub>
            <m:sSubPr>
              <m:ctrlPr>
                <w:rPr>
                  <w:rFonts w:ascii="Cambria Math" w:hAnsi="Cambria Math"/>
                  <w:b w:val="0"/>
                  <w:bCs w:val="0"/>
                </w:rPr>
              </m:ctrlPr>
            </m:sSubPr>
            <m:e>
              <m:r>
                <w:rPr>
                  <w:rFonts w:ascii="Cambria Math" w:hAnsi="Cambria Math"/>
                </w:rPr>
                <m:t>t</m:t>
              </m:r>
            </m:e>
            <m:sub>
              <m: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ν</m:t>
                  </m:r>
                </m:e>
                <m:sub>
                  <m:r>
                    <w:rPr>
                      <w:rFonts w:ascii="Cambria Math" w:hAnsi="Cambria Math"/>
                    </w:rPr>
                    <m:t>obs</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,σ</m:t>
              </m:r>
            </m:e>
          </m:d>
        </m:oMath>
      </m:oMathPara>
    </w:p>
    <w:p w14:paraId="2A959216" w14:textId="243035C2" w:rsidR="0056090D" w:rsidRPr="00C502BE" w:rsidRDefault="006F1E27"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β</m:t>
                  </m:r>
                </m:e>
                <m:sub>
                  <m:r>
                    <w:rPr>
                      <w:rFonts w:ascii="Cambria Math" w:hAnsi="Cambria Math"/>
                    </w:rPr>
                    <m:t>R</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P</m:t>
                  </m:r>
                </m:e>
                <m:sub>
                  <m:r>
                    <w:rPr>
                      <w:rFonts w:ascii="Cambria Math" w:hAnsi="Cambria Math"/>
                    </w:rPr>
                    <m:t>i</m:t>
                  </m:r>
                </m:sub>
              </m:sSub>
              <m:r>
                <m:rPr>
                  <m:sty m:val="p"/>
                </m:rPr>
                <w:rPr>
                  <w:rFonts w:ascii="Cambria Math" w:hAnsi="Cambria Math"/>
                </w:rPr>
                <m:t>-2.2)+</m:t>
              </m:r>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X1</m:t>
                  </m:r>
                </m:e>
                <m:sub>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X2</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m:rPr>
                  <m:nor/>
                </m:rPr>
                <w:rPr>
                  <w:b w:val="0"/>
                  <w:bCs w:val="0"/>
                </w:rPr>
                <m:t>Ω</m:t>
              </m:r>
            </m:e>
          </m:d>
        </m:oMath>
      </m:oMathPara>
    </w:p>
    <w:p w14:paraId="47121B4D" w14:textId="50E80D69" w:rsidR="0056090D" w:rsidRPr="00C502BE" w:rsidRDefault="006F1E27"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r>
                <m:rPr>
                  <m:sty m:val="p"/>
                </m:rPr>
                <w:rPr>
                  <w:rFonts w:ascii="Cambria Math" w:hAnsi="Cambria Math"/>
                </w:rPr>
                <m:t>0,</m:t>
              </m:r>
              <m:sSub>
                <m:sSubPr>
                  <m:ctrlPr>
                    <w:rPr>
                      <w:rFonts w:ascii="Cambria Math" w:hAnsi="Cambria Math"/>
                      <w:b w:val="0"/>
                      <w:bCs w:val="0"/>
                    </w:rPr>
                  </m:ctrlPr>
                </m:sSubPr>
                <m:e>
                  <m:r>
                    <m:rPr>
                      <m:sty m:val="p"/>
                    </m:rPr>
                    <w:rPr>
                      <w:rFonts w:ascii="Cambria Math" w:hAnsi="Cambria Math"/>
                    </w:rPr>
                    <m:t>κ1</m:t>
                  </m:r>
                </m:e>
                <m:sub>
                  <m:r>
                    <w:rPr>
                      <w:rFonts w:ascii="Cambria Math" w:hAnsi="Cambria Math"/>
                    </w:rPr>
                    <m:t>R,</m:t>
                  </m:r>
                </m:sub>
              </m:sSub>
            </m:e>
          </m:d>
        </m:oMath>
      </m:oMathPara>
    </w:p>
    <w:p w14:paraId="1CAE337D" w14:textId="488FB313" w:rsidR="0056090D" w:rsidRPr="00C502BE" w:rsidRDefault="006F1E27"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dR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κ2</m:t>
                  </m:r>
                </m:e>
                <m:sub>
                  <m:r>
                    <w:rPr>
                      <w:rFonts w:ascii="Cambria Math" w:hAnsi="Cambria Math"/>
                    </w:rPr>
                    <m:t>R</m:t>
                  </m:r>
                </m:sub>
              </m:sSub>
            </m:e>
          </m:d>
        </m:oMath>
      </m:oMathPara>
    </w:p>
    <w:p w14:paraId="4FC7BB34" w14:textId="265C379A" w:rsidR="0056090D" w:rsidRPr="00F80DA9" w:rsidRDefault="0056090D" w:rsidP="00E86063">
      <w:pPr>
        <w:pStyle w:val="Nagwek2"/>
        <w:rPr>
          <w:b w:val="0"/>
          <w:bCs w:val="0"/>
        </w:rPr>
      </w:pPr>
      <w:r w:rsidRPr="00F80DA9">
        <w:rPr>
          <w:b w:val="0"/>
          <w:bCs w:val="0"/>
        </w:rPr>
        <w:t xml:space="preserve">where </w:t>
      </w:r>
      <w:r w:rsidR="00F929FB" w:rsidRPr="00F80DA9">
        <w:rPr>
          <w:b w:val="0"/>
          <w:bCs w:val="0"/>
          <w:i/>
          <w:iCs/>
        </w:rPr>
        <w:t>R</w:t>
      </w:r>
      <w:r w:rsidR="00F929FB" w:rsidRPr="00F80DA9">
        <w:rPr>
          <w:b w:val="0"/>
          <w:bCs w:val="0"/>
          <w:i/>
          <w:iCs/>
          <w:vertAlign w:val="subscript"/>
        </w:rPr>
        <w:t>i</w:t>
      </w:r>
      <w:r w:rsidR="00F929FB" w:rsidRPr="00F80DA9">
        <w:rPr>
          <w:b w:val="0"/>
          <w:bCs w:val="0"/>
        </w:rPr>
        <w:t xml:space="preserve"> = </w:t>
      </w:r>
      <w:r w:rsidR="00F929FB" w:rsidRPr="00C502BE">
        <w:rPr>
          <w:b w:val="0"/>
          <w:bCs w:val="0"/>
        </w:rPr>
        <w:t>(</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m:t>
        </m:r>
        <m:sSub>
          <m:sSubPr>
            <m:ctrlPr>
              <w:rPr>
                <w:rFonts w:ascii="Cambria Math" w:hAnsi="Cambria Math"/>
                <w:b w:val="0"/>
                <w:bCs w:val="0"/>
                <w:i/>
              </w:rPr>
            </m:ctrlPr>
          </m:sSubPr>
          <m:e>
            <m:r>
              <w:rPr>
                <w:rFonts w:ascii="Cambria Math" w:hAnsi="Cambria Math"/>
              </w:rPr>
              <m:t xml:space="preserve"> S</m:t>
            </m:r>
          </m:e>
          <m:sub>
            <m:r>
              <w:rPr>
                <w:rFonts w:ascii="Cambria Math" w:hAnsi="Cambria Math"/>
              </w:rPr>
              <m:t>1,i</m:t>
            </m:r>
          </m:sub>
        </m:sSub>
      </m:oMath>
      <w:r w:rsidR="00F929FB" w:rsidRPr="00C502BE">
        <w:rPr>
          <w:b w:val="0"/>
          <w:bCs w:val="0"/>
        </w:rPr>
        <w:t>)</w:t>
      </w:r>
      <w:r w:rsidRPr="00C502BE">
        <w:rPr>
          <w:b w:val="0"/>
          <w:bCs w:val="0"/>
        </w:rPr>
        <w:t xml:space="preserve"> is a vector of analyte-specific parameters, </w:t>
      </w:r>
      <m:oMath>
        <m:r>
          <w:rPr>
            <w:rFonts w:ascii="Cambria Math" w:hAnsi="Cambria Math"/>
          </w:rPr>
          <m:t>log</m:t>
        </m:r>
        <m:sSub>
          <m:sSubPr>
            <m:ctrlPr>
              <w:rPr>
                <w:rFonts w:ascii="Cambria Math" w:hAnsi="Cambria Math"/>
                <w:b w:val="0"/>
                <w:bCs w:val="0"/>
                <w:i/>
              </w:rPr>
            </m:ctrlPr>
          </m:sSubPr>
          <m:e>
            <m:r>
              <w:rPr>
                <w:rFonts w:ascii="Cambria Math" w:hAnsi="Cambria Math"/>
              </w:rPr>
              <m:t>k</m:t>
            </m:r>
          </m:e>
          <m:sub>
            <m:r>
              <w:rPr>
                <w:rFonts w:ascii="Cambria Math" w:hAnsi="Cambria Math"/>
              </w:rPr>
              <m:t>i,j</m:t>
            </m:r>
          </m:sub>
        </m:sSub>
      </m:oMath>
      <w:r w:rsidRPr="00C502BE">
        <w:rPr>
          <w:b w:val="0"/>
          <w:bCs w:val="0"/>
        </w:rPr>
        <w:t xml:space="preserve"> corr</w:t>
      </w:r>
      <w:r w:rsidRPr="00F80DA9">
        <w:rPr>
          <w:b w:val="0"/>
          <w:bCs w:val="0"/>
        </w:rPr>
        <w:t xml:space="preserve">esponds to the Neue equation above, MN denotes a matrix normal distribution, </w:t>
      </w:r>
      <w:proofErr w:type="spellStart"/>
      <w:r w:rsidRPr="00F80DA9">
        <w:rPr>
          <w:rFonts w:hint="eastAsia"/>
          <w:b w:val="0"/>
          <w:bCs w:val="0"/>
          <w:i/>
          <w:iCs/>
        </w:rPr>
        <w:t>θ</w:t>
      </w:r>
      <w:r w:rsidRPr="00F80DA9">
        <w:rPr>
          <w:b w:val="0"/>
          <w:bCs w:val="0"/>
          <w:i/>
          <w:iCs/>
          <w:vertAlign w:val="subscript"/>
        </w:rPr>
        <w:t>R</w:t>
      </w:r>
      <w:proofErr w:type="spellEnd"/>
      <w:r w:rsidRPr="00F80DA9">
        <w:rPr>
          <w:b w:val="0"/>
          <w:bCs w:val="0"/>
        </w:rPr>
        <w:t xml:space="preserve"> is a vector of typical values of </w:t>
      </w:r>
      <w:r w:rsidR="00F929FB" w:rsidRPr="00F80DA9">
        <w:rPr>
          <w:b w:val="0"/>
          <w:bCs w:val="0"/>
          <w:i/>
          <w:iCs/>
        </w:rPr>
        <w:t>R</w:t>
      </w:r>
      <w:r w:rsidRPr="00F80DA9">
        <w:rPr>
          <w:b w:val="0"/>
          <w:bCs w:val="0"/>
          <w:i/>
          <w:iCs/>
          <w:vertAlign w:val="subscript"/>
        </w:rPr>
        <w:t>i</w:t>
      </w:r>
      <w:r w:rsidR="00796AFC" w:rsidRPr="00F80DA9">
        <w:rPr>
          <w:b w:val="0"/>
          <w:bCs w:val="0"/>
          <w:i/>
          <w:iCs/>
          <w:vertAlign w:val="subscript"/>
        </w:rPr>
        <w:t xml:space="preserve"> </w:t>
      </w:r>
      <w:r w:rsidR="00796AFC" w:rsidRPr="00F80DA9">
        <w:rPr>
          <w:b w:val="0"/>
          <w:bCs w:val="0"/>
        </w:rPr>
        <w:t>(</w:t>
      </w:r>
      <w:proofErr w:type="spellStart"/>
      <w:r w:rsidR="00796AFC" w:rsidRPr="00F80DA9">
        <w:rPr>
          <w:rFonts w:hint="eastAsia"/>
          <w:b w:val="0"/>
          <w:bCs w:val="0"/>
          <w:i/>
          <w:iCs/>
        </w:rPr>
        <w:t>θ</w:t>
      </w:r>
      <w:r w:rsidR="00796AFC" w:rsidRPr="00F80DA9">
        <w:rPr>
          <w:b w:val="0"/>
          <w:bCs w:val="0"/>
          <w:i/>
          <w:iCs/>
          <w:vertAlign w:val="subscript"/>
        </w:rPr>
        <w:t>logkw</w:t>
      </w:r>
      <w:proofErr w:type="spellEnd"/>
      <w:r w:rsidR="00796AFC" w:rsidRPr="00F80DA9">
        <w:rPr>
          <w:b w:val="0"/>
          <w:bCs w:val="0"/>
          <w:i/>
          <w:iCs/>
          <w:vertAlign w:val="subscript"/>
        </w:rPr>
        <w:t xml:space="preserve">, </w:t>
      </w:r>
      <w:r w:rsidR="00796AFC" w:rsidRPr="00F80DA9">
        <w:rPr>
          <w:rFonts w:hint="eastAsia"/>
          <w:b w:val="0"/>
          <w:bCs w:val="0"/>
          <w:i/>
          <w:iCs/>
        </w:rPr>
        <w:t>θ</w:t>
      </w:r>
      <w:r w:rsidR="00796AFC" w:rsidRPr="00F80DA9">
        <w:rPr>
          <w:b w:val="0"/>
          <w:bCs w:val="0"/>
          <w:i/>
          <w:iCs/>
          <w:vertAlign w:val="subscript"/>
        </w:rPr>
        <w:t>S1</w:t>
      </w:r>
      <w:r w:rsidR="00796AFC" w:rsidRPr="00F80DA9">
        <w:rPr>
          <w:b w:val="0"/>
          <w:bCs w:val="0"/>
        </w:rPr>
        <w:t>)</w:t>
      </w:r>
      <w:r w:rsidR="00A53DA0">
        <w:rPr>
          <w:b w:val="0"/>
          <w:bCs w:val="0"/>
        </w:rPr>
        <w:t xml:space="preserve"> for</w:t>
      </w:r>
      <w:r w:rsidR="00A53DA0" w:rsidRPr="00A53DA0">
        <w:t xml:space="preserve"> </w:t>
      </w:r>
      <w:r w:rsidR="00A53DA0" w:rsidRPr="00A53DA0">
        <w:rPr>
          <w:b w:val="0"/>
          <w:bCs w:val="0"/>
        </w:rPr>
        <w:t xml:space="preserve">an analyte with </w:t>
      </w:r>
      <w:proofErr w:type="spellStart"/>
      <w:r w:rsidR="00A53DA0" w:rsidRPr="00A53DA0">
        <w:rPr>
          <w:b w:val="0"/>
          <w:bCs w:val="0"/>
          <w:i/>
          <w:iCs/>
        </w:rPr>
        <w:t>logP</w:t>
      </w:r>
      <w:proofErr w:type="spellEnd"/>
      <w:r w:rsidR="00A53DA0" w:rsidRPr="00A53DA0">
        <w:rPr>
          <w:b w:val="0"/>
          <w:bCs w:val="0"/>
        </w:rPr>
        <w:t xml:space="preserve"> </w:t>
      </w:r>
      <w:r w:rsidR="00A44285">
        <w:rPr>
          <w:b w:val="0"/>
          <w:bCs w:val="0"/>
        </w:rPr>
        <w:t>equal</w:t>
      </w:r>
      <w:r w:rsidR="00A53DA0" w:rsidRPr="00A53DA0">
        <w:rPr>
          <w:b w:val="0"/>
          <w:bCs w:val="0"/>
        </w:rPr>
        <w:t xml:space="preserve"> 2.2 and no functional groups</w:t>
      </w:r>
      <w:r w:rsidRPr="00F80DA9">
        <w:rPr>
          <w:b w:val="0"/>
          <w:bCs w:val="0"/>
        </w:rPr>
        <w:t xml:space="preserve">, </w:t>
      </w:r>
      <w:proofErr w:type="spellStart"/>
      <w:r w:rsidR="007329C0" w:rsidRPr="00F80DA9">
        <w:rPr>
          <w:rFonts w:hint="eastAsia"/>
          <w:b w:val="0"/>
          <w:bCs w:val="0"/>
          <w:i/>
          <w:iCs/>
        </w:rPr>
        <w:t>θ</w:t>
      </w:r>
      <w:r w:rsidR="00915E83" w:rsidRPr="00F80DA9">
        <w:rPr>
          <w:b w:val="0"/>
          <w:bCs w:val="0"/>
          <w:i/>
          <w:iCs/>
          <w:vertAlign w:val="subscript"/>
        </w:rPr>
        <w:t>dR</w:t>
      </w:r>
      <w:proofErr w:type="spellEnd"/>
      <w:r w:rsidR="007329C0" w:rsidRPr="00F80DA9">
        <w:rPr>
          <w:b w:val="0"/>
          <w:bCs w:val="0"/>
        </w:rPr>
        <w:t xml:space="preserve"> is a vector </w:t>
      </w:r>
      <w:r w:rsidR="00A53DA0">
        <w:rPr>
          <w:b w:val="0"/>
          <w:bCs w:val="0"/>
        </w:rPr>
        <w:t xml:space="preserve">denoting the effect of dissociating functional group on </w:t>
      </w:r>
      <w:r w:rsidR="00A53DA0" w:rsidRPr="00A53DA0">
        <w:rPr>
          <w:b w:val="0"/>
          <w:bCs w:val="0"/>
          <w:i/>
          <w:iCs/>
        </w:rPr>
        <w:t>R</w:t>
      </w:r>
      <w:r w:rsidR="00A53DA0" w:rsidRPr="00A53DA0">
        <w:rPr>
          <w:b w:val="0"/>
          <w:bCs w:val="0"/>
          <w:i/>
          <w:iCs/>
          <w:vertAlign w:val="subscript"/>
        </w:rPr>
        <w:t>i</w:t>
      </w:r>
      <w:r w:rsidR="007329C0" w:rsidRPr="00F80DA9">
        <w:rPr>
          <w:b w:val="0"/>
          <w:bCs w:val="0"/>
        </w:rPr>
        <w:t xml:space="preserve">, </w:t>
      </w:r>
      <w:r w:rsidRPr="00F80DA9">
        <w:rPr>
          <w:rFonts w:hint="eastAsia"/>
          <w:b w:val="0"/>
          <w:bCs w:val="0"/>
          <w:i/>
          <w:iCs/>
        </w:rPr>
        <w:t>β</w:t>
      </w:r>
      <w:r w:rsidR="003268F4" w:rsidRPr="00F80DA9">
        <w:rPr>
          <w:b w:val="0"/>
          <w:bCs w:val="0"/>
          <w:i/>
          <w:iCs/>
          <w:vertAlign w:val="subscript"/>
        </w:rPr>
        <w:t>R</w:t>
      </w:r>
      <w:r w:rsidRPr="00F80DA9">
        <w:rPr>
          <w:b w:val="0"/>
          <w:bCs w:val="0"/>
        </w:rPr>
        <w:t xml:space="preserve"> is a vector of slopes with respect to </w:t>
      </w:r>
      <w:proofErr w:type="spellStart"/>
      <w:r w:rsidRPr="00F80DA9">
        <w:rPr>
          <w:b w:val="0"/>
          <w:bCs w:val="0"/>
          <w:i/>
          <w:iCs/>
        </w:rPr>
        <w:t>logP</w:t>
      </w:r>
      <w:r w:rsidRPr="00F80DA9">
        <w:rPr>
          <w:b w:val="0"/>
          <w:bCs w:val="0"/>
          <w:i/>
          <w:iCs/>
          <w:vertAlign w:val="subscript"/>
        </w:rPr>
        <w:t>i</w:t>
      </w:r>
      <w:proofErr w:type="spellEnd"/>
      <w:r w:rsidRPr="00F80DA9">
        <w:rPr>
          <w:b w:val="0"/>
          <w:bCs w:val="0"/>
        </w:rPr>
        <w:t xml:space="preserve">, </w:t>
      </w:r>
      <w:r w:rsidRPr="00F80DA9">
        <w:rPr>
          <w:rFonts w:hint="eastAsia"/>
          <w:b w:val="0"/>
          <w:bCs w:val="0"/>
        </w:rPr>
        <w:t>π</w:t>
      </w:r>
      <w:r w:rsidR="00796AFC" w:rsidRPr="00F80DA9">
        <w:rPr>
          <w:b w:val="0"/>
          <w:bCs w:val="0"/>
        </w:rPr>
        <w:t>1</w:t>
      </w:r>
      <w:r w:rsidR="003268F4" w:rsidRPr="00F80DA9">
        <w:rPr>
          <w:b w:val="0"/>
          <w:bCs w:val="0"/>
          <w:vertAlign w:val="subscript"/>
        </w:rPr>
        <w:t>R</w:t>
      </w:r>
      <w:r w:rsidRPr="00F80DA9">
        <w:rPr>
          <w:b w:val="0"/>
          <w:bCs w:val="0"/>
        </w:rPr>
        <w:t xml:space="preserve"> and </w:t>
      </w:r>
      <w:r w:rsidRPr="00F80DA9">
        <w:rPr>
          <w:rFonts w:hint="eastAsia"/>
          <w:b w:val="0"/>
          <w:bCs w:val="0"/>
        </w:rPr>
        <w:t>π</w:t>
      </w:r>
      <w:r w:rsidR="00796AFC" w:rsidRPr="00F80DA9">
        <w:rPr>
          <w:b w:val="0"/>
          <w:bCs w:val="0"/>
        </w:rPr>
        <w:t>2</w:t>
      </w:r>
      <w:r w:rsidR="003268F4" w:rsidRPr="00F80DA9">
        <w:rPr>
          <w:b w:val="0"/>
          <w:bCs w:val="0"/>
          <w:vertAlign w:val="subscript"/>
        </w:rPr>
        <w:t>R</w:t>
      </w:r>
      <w:r w:rsidRPr="00F80DA9">
        <w:rPr>
          <w:b w:val="0"/>
          <w:bCs w:val="0"/>
        </w:rPr>
        <w:t xml:space="preserve"> are vectors of slopes </w:t>
      </w:r>
      <w:r w:rsidR="00A53DA0">
        <w:rPr>
          <w:b w:val="0"/>
          <w:bCs w:val="0"/>
        </w:rPr>
        <w:t>for</w:t>
      </w:r>
      <w:r w:rsidRPr="00F80DA9">
        <w:rPr>
          <w:b w:val="0"/>
          <w:bCs w:val="0"/>
        </w:rPr>
        <w:t xml:space="preserve"> t</w:t>
      </w:r>
      <w:r w:rsidR="00A53DA0">
        <w:rPr>
          <w:b w:val="0"/>
          <w:bCs w:val="0"/>
        </w:rPr>
        <w:t>he</w:t>
      </w:r>
      <w:r w:rsidRPr="00F80DA9">
        <w:rPr>
          <w:b w:val="0"/>
          <w:bCs w:val="0"/>
        </w:rPr>
        <w:t xml:space="preserve"> non-dissociated and dissociated functional groups</w:t>
      </w:r>
      <w:r w:rsidR="008A7774" w:rsidRPr="00F80DA9">
        <w:rPr>
          <w:b w:val="0"/>
          <w:bCs w:val="0"/>
        </w:rPr>
        <w:t>.</w:t>
      </w:r>
      <w:r w:rsidR="00A53DA0">
        <w:rPr>
          <w:b w:val="0"/>
          <w:bCs w:val="0"/>
        </w:rPr>
        <w:t xml:space="preserve"> </w:t>
      </w:r>
      <w:r w:rsidR="00A53DA0" w:rsidRPr="00F80DA9">
        <w:rPr>
          <w:b w:val="0"/>
          <w:bCs w:val="0"/>
        </w:rPr>
        <w:t xml:space="preserve">Parameters </w:t>
      </w:r>
      <w:proofErr w:type="spellStart"/>
      <w:r w:rsidR="00A53DA0" w:rsidRPr="00F80DA9">
        <w:rPr>
          <w:rFonts w:hint="eastAsia"/>
          <w:b w:val="0"/>
          <w:bCs w:val="0"/>
          <w:i/>
          <w:iCs/>
        </w:rPr>
        <w:t>ν</w:t>
      </w:r>
      <w:r w:rsidR="00A53DA0" w:rsidRPr="00F80DA9">
        <w:rPr>
          <w:b w:val="0"/>
          <w:bCs w:val="0"/>
          <w:i/>
          <w:iCs/>
          <w:vertAlign w:val="subscript"/>
        </w:rPr>
        <w:t>obs</w:t>
      </w:r>
      <w:proofErr w:type="spellEnd"/>
      <w:r w:rsidR="00A53DA0" w:rsidRPr="00F80DA9">
        <w:rPr>
          <w:b w:val="0"/>
          <w:bCs w:val="0"/>
        </w:rPr>
        <w:t xml:space="preserve">=7 and </w:t>
      </w:r>
      <w:r w:rsidR="00A53DA0" w:rsidRPr="00F80DA9">
        <w:rPr>
          <w:rFonts w:hint="eastAsia"/>
          <w:b w:val="0"/>
          <w:bCs w:val="0"/>
        </w:rPr>
        <w:t>σ</w:t>
      </w:r>
      <w:r w:rsidR="00A53DA0" w:rsidRPr="00F80DA9">
        <w:rPr>
          <w:b w:val="0"/>
          <w:bCs w:val="0"/>
        </w:rPr>
        <w:t xml:space="preserve"> denote the normality and scale of residuals, respectively</w:t>
      </w:r>
      <w:r w:rsidR="00C502BE">
        <w:rPr>
          <w:b w:val="0"/>
          <w:bCs w:val="0"/>
        </w:rPr>
        <w:t>.</w:t>
      </w:r>
    </w:p>
    <w:p w14:paraId="1EA50CD5" w14:textId="13F36902" w:rsidR="0056090D" w:rsidRPr="00F80DA9" w:rsidRDefault="0056090D" w:rsidP="00E86063">
      <w:pPr>
        <w:pStyle w:val="Nagwek2"/>
        <w:rPr>
          <w:b w:val="0"/>
          <w:bCs w:val="0"/>
        </w:rPr>
      </w:pPr>
      <w:r w:rsidRPr="00F80DA9">
        <w:rPr>
          <w:b w:val="0"/>
          <w:bCs w:val="0"/>
          <w:i/>
          <w:iCs/>
        </w:rPr>
        <w:t>K</w:t>
      </w:r>
      <w:r w:rsidRPr="00F80DA9">
        <w:rPr>
          <w:b w:val="0"/>
          <w:bCs w:val="0"/>
        </w:rPr>
        <w:t xml:space="preserve"> and </w:t>
      </w:r>
      <m:oMath>
        <m:r>
          <m:rPr>
            <m:nor/>
          </m:rPr>
          <w:rPr>
            <w:rFonts w:ascii="Cambria Math" w:hAnsi="Cambria Math"/>
            <w:b w:val="0"/>
            <w:bCs w:val="0"/>
          </w:rPr>
          <m:t>Ω</m:t>
        </m:r>
      </m:oMath>
      <w:r w:rsidRPr="00F80DA9">
        <w:rPr>
          <w:b w:val="0"/>
          <w:bCs w:val="0"/>
        </w:rPr>
        <w:t xml:space="preserve"> are the scale matrices for the row and column covariance structures</w:t>
      </w:r>
      <w:r w:rsidR="00A53DA0">
        <w:rPr>
          <w:b w:val="0"/>
          <w:bCs w:val="0"/>
        </w:rPr>
        <w:t xml:space="preserve"> of the matrix normal distribution</w:t>
      </w:r>
      <w:r w:rsidRPr="00F80DA9">
        <w:rPr>
          <w:b w:val="0"/>
          <w:bCs w:val="0"/>
        </w:rPr>
        <w:t>, decomposed as:</w:t>
      </w:r>
    </w:p>
    <w:p w14:paraId="3CEA19BA" w14:textId="735866F4" w:rsidR="0056090D" w:rsidRPr="00C502BE" w:rsidRDefault="00F929FB" w:rsidP="00E86063">
      <w:pPr>
        <w:pStyle w:val="Nagwek2"/>
        <w:rPr>
          <w:rFonts w:ascii="Cambria Math" w:hAnsi="Cambria Math"/>
          <w:oMath/>
        </w:rPr>
      </w:pPr>
      <m:oMathPara>
        <m:oMath>
          <m:r>
            <m:rPr>
              <m:nor/>
            </m:rPr>
            <w:rPr>
              <w:b w:val="0"/>
              <w:bCs w:val="0"/>
            </w:rPr>
            <m:t>Ω</m:t>
          </m:r>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r>
            <m:rPr>
              <m:sty m:val="p"/>
            </m:rPr>
            <w:rPr>
              <w:rFonts w:ascii="Cambria Math" w:hAnsi="Cambria Math"/>
            </w:rPr>
            <m:t>∙</m:t>
          </m:r>
          <m:r>
            <w:rPr>
              <w:rFonts w:ascii="Cambria Math" w:hAnsi="Cambria Math"/>
            </w:rPr>
            <m:t>L</m:t>
          </m:r>
          <m:sSup>
            <m:sSupPr>
              <m:ctrlPr>
                <w:rPr>
                  <w:rFonts w:ascii="Cambria Math" w:hAnsi="Cambria Math"/>
                  <w:b w:val="0"/>
                  <w:bCs w:val="0"/>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oMath>
      </m:oMathPara>
    </w:p>
    <w:p w14:paraId="51759CC7" w14:textId="63F49E6E" w:rsidR="0056090D" w:rsidRPr="00C502BE" w:rsidRDefault="00C502BE" w:rsidP="00E86063">
      <w:pPr>
        <w:pStyle w:val="Nagwek2"/>
        <w:rPr>
          <w:rFonts w:ascii="Cambria Math" w:hAnsi="Cambria Math"/>
          <w:oMath/>
        </w:rPr>
      </w:pPr>
      <m:oMathPara>
        <m:oMath>
          <m:r>
            <w:rPr>
              <w:rFonts w:ascii="Cambria Math" w:hAnsi="Cambria Math"/>
            </w:rPr>
            <m:t>K</m:t>
          </m:r>
          <m:r>
            <m:rPr>
              <m:sty m:val="p"/>
            </m:rPr>
            <w:rPr>
              <w:rFonts w:ascii="Cambria Math" w:hAnsi="Cambria Math"/>
            </w:rPr>
            <m:t>=2</m:t>
          </m:r>
          <m:r>
            <m:rPr>
              <m:sty m:val="p"/>
            </m:rPr>
            <w:rPr>
              <w:rFonts w:ascii="Cambria Math" w:hAnsi="Cambria Math"/>
            </w:rPr>
            <m:t>∙</m:t>
          </m:r>
          <m:r>
            <m:rPr>
              <m:sty m:val="p"/>
            </m:rPr>
            <w:rPr>
              <w:rFonts w:ascii="Cambria Math" w:hAnsi="Cambria Math"/>
            </w:rPr>
            <m:t>α</m:t>
          </m:r>
          <m:r>
            <m:rPr>
              <m:sty m:val="p"/>
            </m:rPr>
            <w:rPr>
              <w:rFonts w:ascii="Cambria Math" w:hAnsi="Cambria Math"/>
            </w:rPr>
            <m:t>∙</m:t>
          </m:r>
          <m:d>
            <m:dPr>
              <m:ctrlPr>
                <w:rPr>
                  <w:rFonts w:ascii="Cambria Math" w:hAnsi="Cambria Math"/>
                  <w:b w:val="0"/>
                  <w:bCs w:val="0"/>
                </w:rPr>
              </m:ctrlPr>
            </m:dPr>
            <m:e>
              <m:r>
                <w:rPr>
                  <w:rFonts w:ascii="Cambria Math" w:hAnsi="Cambria Math"/>
                </w:rPr>
                <m:t>S</m:t>
              </m:r>
              <m:r>
                <m:rPr>
                  <m:sty m:val="p"/>
                </m:rPr>
                <w:rPr>
                  <w:rFonts w:ascii="Cambria Math" w:hAnsi="Cambria Math"/>
                </w:rPr>
                <m:t>-0.5</m:t>
              </m:r>
            </m:e>
          </m:d>
          <m:r>
            <m:rPr>
              <m:sty m:val="p"/>
            </m:rPr>
            <w:rPr>
              <w:rFonts w:ascii="Cambria Math" w:hAnsi="Cambria Math"/>
            </w:rPr>
            <m:t>+</m:t>
          </m:r>
          <m:d>
            <m:dPr>
              <m:ctrlPr>
                <w:rPr>
                  <w:rFonts w:ascii="Cambria Math" w:hAnsi="Cambria Math"/>
                  <w:b w:val="0"/>
                  <w:bCs w:val="0"/>
                </w:rPr>
              </m:ctrlPr>
            </m:dPr>
            <m:e>
              <m:r>
                <m:rPr>
                  <m:sty m:val="p"/>
                </m:rPr>
                <w:rPr>
                  <w:rFonts w:ascii="Cambria Math" w:hAnsi="Cambria Math"/>
                </w:rPr>
                <m:t>1-α</m:t>
              </m:r>
            </m:e>
          </m:d>
          <m:r>
            <m:rPr>
              <m:sty m:val="p"/>
            </m:rPr>
            <w:rPr>
              <w:rFonts w:ascii="Cambria Math" w:hAnsi="Cambria Math"/>
            </w:rPr>
            <m:t>∙</m:t>
          </m:r>
          <m:r>
            <w:rPr>
              <w:rFonts w:ascii="Cambria Math" w:hAnsi="Cambria Math"/>
            </w:rPr>
            <m:t>I</m:t>
          </m:r>
        </m:oMath>
      </m:oMathPara>
    </w:p>
    <w:p w14:paraId="7EC9CB27" w14:textId="1D856EE4" w:rsidR="00796AFC" w:rsidRPr="00F80DA9" w:rsidRDefault="0056090D" w:rsidP="00796AFC">
      <w:pPr>
        <w:pStyle w:val="Nagwek2"/>
        <w:rPr>
          <w:b w:val="0"/>
          <w:bCs w:val="0"/>
        </w:rPr>
      </w:pPr>
      <w:r w:rsidRPr="00F80DA9">
        <w:rPr>
          <w:b w:val="0"/>
          <w:bCs w:val="0"/>
        </w:rPr>
        <w:t xml:space="preserve">where </w:t>
      </w:r>
      <w:r w:rsidRPr="00F80DA9">
        <w:rPr>
          <w:b w:val="0"/>
          <w:bCs w:val="0"/>
          <w:i/>
          <w:iCs/>
        </w:rPr>
        <w:t>LL'</w:t>
      </w:r>
      <w:r w:rsidRPr="00F80DA9">
        <w:rPr>
          <w:b w:val="0"/>
          <w:bCs w:val="0"/>
        </w:rPr>
        <w:t xml:space="preserve"> is a correlation matrix</w:t>
      </w:r>
      <w:r w:rsidR="000872B8">
        <w:rPr>
          <w:b w:val="0"/>
          <w:bCs w:val="0"/>
        </w:rPr>
        <w:t xml:space="preserve">, and </w:t>
      </w:r>
      <w:r w:rsidR="000872B8" w:rsidRPr="00A44285">
        <w:rPr>
          <w:b w:val="0"/>
          <w:bCs w:val="0"/>
          <w:i/>
          <w:iCs/>
        </w:rPr>
        <w:t>L</w:t>
      </w:r>
      <w:r w:rsidR="000872B8">
        <w:rPr>
          <w:b w:val="0"/>
          <w:bCs w:val="0"/>
        </w:rPr>
        <w:t xml:space="preserve"> is a Cholesky of </w:t>
      </w:r>
      <w:r w:rsidR="00A44285">
        <w:rPr>
          <w:b w:val="0"/>
          <w:bCs w:val="0"/>
        </w:rPr>
        <w:t>the correlation</w:t>
      </w:r>
      <w:r w:rsidR="000872B8">
        <w:rPr>
          <w:b w:val="0"/>
          <w:bCs w:val="0"/>
        </w:rPr>
        <w:t xml:space="preserve"> matrix</w:t>
      </w:r>
      <w:r w:rsidRPr="00F80DA9">
        <w:rPr>
          <w:b w:val="0"/>
          <w:bCs w:val="0"/>
        </w:rPr>
        <w:t xml:space="preserve">, </w:t>
      </w:r>
      <w:r w:rsidRPr="00F80DA9">
        <w:rPr>
          <w:rFonts w:hint="eastAsia"/>
          <w:b w:val="0"/>
          <w:bCs w:val="0"/>
          <w:i/>
          <w:iCs/>
        </w:rPr>
        <w:t>ω</w:t>
      </w:r>
      <w:r w:rsidRPr="00F80DA9">
        <w:rPr>
          <w:b w:val="0"/>
          <w:bCs w:val="0"/>
        </w:rPr>
        <w:t xml:space="preserve"> is a vector of standard deviations </w:t>
      </w:r>
      <w:r w:rsidR="00A53DA0">
        <w:rPr>
          <w:b w:val="0"/>
          <w:bCs w:val="0"/>
        </w:rPr>
        <w:t xml:space="preserve">for between analyte variability of </w:t>
      </w:r>
      <w:proofErr w:type="spellStart"/>
      <w:r w:rsidR="00A53DA0" w:rsidRPr="00A53DA0">
        <w:rPr>
          <w:b w:val="0"/>
          <w:bCs w:val="0"/>
          <w:i/>
          <w:iCs/>
        </w:rPr>
        <w:t>logk</w:t>
      </w:r>
      <w:r w:rsidR="00A53DA0" w:rsidRPr="002F06A6">
        <w:rPr>
          <w:b w:val="0"/>
          <w:bCs w:val="0"/>
          <w:i/>
          <w:iCs/>
          <w:vertAlign w:val="subscript"/>
        </w:rPr>
        <w:t>w</w:t>
      </w:r>
      <w:proofErr w:type="spellEnd"/>
      <w:r w:rsidR="00A53DA0">
        <w:rPr>
          <w:b w:val="0"/>
          <w:bCs w:val="0"/>
        </w:rPr>
        <w:t xml:space="preserve"> and </w:t>
      </w:r>
      <w:r w:rsidR="00A53DA0" w:rsidRPr="00A53DA0">
        <w:rPr>
          <w:b w:val="0"/>
          <w:bCs w:val="0"/>
          <w:i/>
          <w:iCs/>
        </w:rPr>
        <w:t>S</w:t>
      </w:r>
      <w:r w:rsidR="00A53DA0" w:rsidRPr="00A53DA0">
        <w:rPr>
          <w:b w:val="0"/>
          <w:bCs w:val="0"/>
          <w:i/>
          <w:iCs/>
          <w:vertAlign w:val="subscript"/>
        </w:rPr>
        <w:t>1</w:t>
      </w:r>
      <w:r w:rsidR="00A53DA0">
        <w:rPr>
          <w:b w:val="0"/>
          <w:bCs w:val="0"/>
        </w:rPr>
        <w:t xml:space="preserve"> values</w:t>
      </w:r>
      <w:r w:rsidRPr="00F80DA9">
        <w:rPr>
          <w:b w:val="0"/>
          <w:bCs w:val="0"/>
        </w:rPr>
        <w:t xml:space="preserve">, </w:t>
      </w:r>
      <w:r w:rsidRPr="00F80DA9">
        <w:rPr>
          <w:b w:val="0"/>
          <w:bCs w:val="0"/>
          <w:i/>
          <w:iCs/>
        </w:rPr>
        <w:t>S</w:t>
      </w:r>
      <w:r w:rsidRPr="00F80DA9">
        <w:rPr>
          <w:b w:val="0"/>
          <w:bCs w:val="0"/>
        </w:rPr>
        <w:t xml:space="preserve"> is a </w:t>
      </w:r>
      <w:proofErr w:type="spellStart"/>
      <w:r w:rsidR="00DF3E1B" w:rsidRPr="00DF3E1B">
        <w:rPr>
          <w:b w:val="0"/>
          <w:bCs w:val="0"/>
        </w:rPr>
        <w:t>Tanimoto</w:t>
      </w:r>
      <w:proofErr w:type="spellEnd"/>
      <w:r w:rsidR="00DF3E1B" w:rsidRPr="00DF3E1B">
        <w:rPr>
          <w:b w:val="0"/>
          <w:bCs w:val="0"/>
        </w:rPr>
        <w:t xml:space="preserve"> </w:t>
      </w:r>
      <w:r w:rsidRPr="00F80DA9">
        <w:rPr>
          <w:b w:val="0"/>
          <w:bCs w:val="0"/>
        </w:rPr>
        <w:t xml:space="preserve">similarity matrix, and </w:t>
      </w:r>
      <w:r w:rsidRPr="00F80DA9">
        <w:rPr>
          <w:b w:val="0"/>
          <w:bCs w:val="0"/>
          <w:i/>
          <w:iCs/>
        </w:rPr>
        <w:t>I</w:t>
      </w:r>
      <w:r w:rsidRPr="00F80DA9">
        <w:rPr>
          <w:b w:val="0"/>
          <w:bCs w:val="0"/>
        </w:rPr>
        <w:t xml:space="preserve"> is the identity matrix. The similarity matrix was simplified by setting </w:t>
      </w:r>
      <w:r w:rsidRPr="00F80DA9">
        <w:rPr>
          <w:b w:val="0"/>
          <w:bCs w:val="0"/>
          <w:i/>
          <w:iCs/>
        </w:rPr>
        <w:t xml:space="preserve">S </w:t>
      </w:r>
      <w:r w:rsidRPr="00F80DA9">
        <w:rPr>
          <w:b w:val="0"/>
          <w:bCs w:val="0"/>
        </w:rPr>
        <w:t xml:space="preserve">= 0 for S &lt; 0.5, treating those analytes as uncorrelated, and scaling values </w:t>
      </w:r>
      <w:r w:rsidRPr="00F80DA9">
        <w:rPr>
          <w:b w:val="0"/>
          <w:bCs w:val="0"/>
          <w:i/>
          <w:iCs/>
        </w:rPr>
        <w:t>S</w:t>
      </w:r>
      <w:r w:rsidRPr="00F80DA9">
        <w:rPr>
          <w:b w:val="0"/>
          <w:bCs w:val="0"/>
        </w:rPr>
        <w:t xml:space="preserve"> ≥ 0.5 by </w:t>
      </w:r>
      <w:r w:rsidRPr="00F80DA9">
        <w:rPr>
          <w:rFonts w:hint="eastAsia"/>
          <w:b w:val="0"/>
          <w:bCs w:val="0"/>
        </w:rPr>
        <w:t>α</w:t>
      </w:r>
      <w:r w:rsidRPr="00F80DA9">
        <w:rPr>
          <w:b w:val="0"/>
          <w:bCs w:val="0"/>
        </w:rPr>
        <w:t xml:space="preserve"> using the above formula.</w:t>
      </w:r>
      <w:r w:rsidR="001254DF" w:rsidRPr="00F80DA9">
        <w:rPr>
          <w:b w:val="0"/>
          <w:bCs w:val="0"/>
        </w:rPr>
        <w:t xml:space="preserve"> Value of 0.5 was </w:t>
      </w:r>
      <w:r w:rsidR="007329C0" w:rsidRPr="00F80DA9">
        <w:rPr>
          <w:b w:val="0"/>
          <w:bCs w:val="0"/>
        </w:rPr>
        <w:t>selected arbitrary as a similarity cut-off.</w:t>
      </w:r>
    </w:p>
    <w:p w14:paraId="444B2974" w14:textId="6B1FB014"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DF3E1B">
        <w:rPr>
          <w:b w:val="0"/>
          <w:bCs w:val="0"/>
          <w:i/>
          <w:iCs/>
        </w:rPr>
        <w:t>i</w:t>
      </w:r>
      <w:proofErr w:type="spellEnd"/>
      <w:r w:rsidR="001254DF" w:rsidRPr="00F80DA9">
        <w:rPr>
          <w:b w:val="0"/>
          <w:bCs w:val="0"/>
        </w:rPr>
        <w:t>)</w:t>
      </w:r>
      <w:r w:rsidRPr="00F80DA9">
        <w:rPr>
          <w:b w:val="0"/>
          <w:bCs w:val="0"/>
        </w:rPr>
        <w:t xml:space="preserve"> one for rows (analytes) and </w:t>
      </w:r>
      <w:r w:rsidR="001254DF" w:rsidRPr="00DF3E1B">
        <w:rPr>
          <w:b w:val="0"/>
          <w:bCs w:val="0"/>
          <w:i/>
          <w:iCs/>
        </w:rPr>
        <w:t>ii</w:t>
      </w:r>
      <w:r w:rsidR="001254DF" w:rsidRPr="00F80DA9">
        <w:rPr>
          <w:b w:val="0"/>
          <w:bCs w:val="0"/>
        </w:rPr>
        <w:t xml:space="preserve">) </w:t>
      </w:r>
      <w:r w:rsidRPr="00F80DA9">
        <w:rPr>
          <w:b w:val="0"/>
          <w:bCs w:val="0"/>
        </w:rPr>
        <w:t xml:space="preserve">one for columns (for </w:t>
      </w:r>
      <w:proofErr w:type="spellStart"/>
      <w:r w:rsidRPr="00F80DA9">
        <w:rPr>
          <w:b w:val="0"/>
          <w:bCs w:val="0"/>
          <w:i/>
          <w:iCs/>
        </w:rPr>
        <w:t>logk</w:t>
      </w:r>
      <w:r w:rsidRPr="00F80DA9">
        <w:rPr>
          <w:b w:val="0"/>
          <w:bCs w:val="0"/>
          <w:i/>
          <w:iCs/>
          <w:vertAlign w:val="subscript"/>
        </w:rPr>
        <w:t>w</w:t>
      </w:r>
      <w:proofErr w:type="spellEnd"/>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w:t>
      </w:r>
      <w:r w:rsidRPr="00A44285">
        <w:rPr>
          <w:b w:val="0"/>
          <w:bCs w:val="0"/>
          <w:i/>
          <w:iCs/>
        </w:rPr>
        <w:t>K</w:t>
      </w:r>
      <w:r w:rsidRPr="00F80DA9">
        <w:rPr>
          <w:b w:val="0"/>
          <w:bCs w:val="0"/>
        </w:rPr>
        <w:t xml:space="preserve"> (row) and </w:t>
      </w:r>
      <w:r w:rsidRPr="00A44285">
        <w:rPr>
          <w:rFonts w:hint="eastAsia"/>
          <w:b w:val="0"/>
          <w:bCs w:val="0"/>
          <w:i/>
          <w:iCs/>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F06A6" w:rsidRPr="00F80DA9">
        <w:rPr>
          <w:b w:val="0"/>
          <w:bCs w:val="0"/>
          <w:i/>
          <w:iCs/>
        </w:rPr>
        <w:t>logk</w:t>
      </w:r>
      <w:r w:rsidR="002F06A6" w:rsidRPr="00F80DA9">
        <w:rPr>
          <w:b w:val="0"/>
          <w:bCs w:val="0"/>
          <w:i/>
          <w:iCs/>
          <w:vertAlign w:val="subscript"/>
        </w:rPr>
        <w:t>w</w:t>
      </w:r>
      <w:proofErr w:type="spellEnd"/>
      <w:r w:rsidR="002F06A6" w:rsidRPr="00F80DA9">
        <w:rPr>
          <w:b w:val="0"/>
          <w:bCs w:val="0"/>
        </w:rPr>
        <w:t xml:space="preserve"> </w:t>
      </w:r>
      <w:r w:rsidR="00252612" w:rsidRPr="00252612">
        <w:rPr>
          <w:b w:val="0"/>
          <w:bCs w:val="0"/>
        </w:rPr>
        <w:t xml:space="preserve">and </w:t>
      </w:r>
      <w:r w:rsidR="00252612" w:rsidRPr="002F06A6">
        <w:rPr>
          <w:b w:val="0"/>
          <w:bCs w:val="0"/>
          <w:i/>
          <w:iCs/>
        </w:rPr>
        <w:t>S</w:t>
      </w:r>
      <w:r w:rsidR="00252612" w:rsidRPr="002F06A6">
        <w:rPr>
          <w:b w:val="0"/>
          <w:bCs w:val="0"/>
          <w:i/>
          <w:iCs/>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5DFE7C2C" w:rsidR="00D079B4" w:rsidRPr="00D079B4" w:rsidRDefault="000872B8" w:rsidP="00D079B4">
      <w:r>
        <w:t>Further, t</w:t>
      </w:r>
      <w:r w:rsidR="00D079B4" w:rsidRPr="00D079B4">
        <w:t xml:space="preserve">o simplify computation, analytes were grouped based on </w:t>
      </w:r>
      <w:proofErr w:type="spellStart"/>
      <w:r w:rsidR="00DF3E1B" w:rsidRPr="008A7774">
        <w:t>Tanimoto</w:t>
      </w:r>
      <w:proofErr w:type="spellEnd"/>
      <w:r w:rsidR="00DF3E1B" w:rsidRPr="008A7774">
        <w:t xml:space="preserve"> </w:t>
      </w:r>
      <w:r w:rsidR="00DF3E1B">
        <w:t>similarity</w:t>
      </w:r>
      <w:r w:rsidR="00D079B4" w:rsidRPr="00D079B4">
        <w:t xml:space="preserve"> using community detection (</w:t>
      </w:r>
      <w:proofErr w:type="spellStart"/>
      <w:r w:rsidR="00D079B4" w:rsidRPr="00D079B4">
        <w:t>cluster_louvain</w:t>
      </w:r>
      <w:proofErr w:type="spellEnd"/>
      <w:r w:rsidR="00D079B4">
        <w:t>(</w:t>
      </w:r>
      <w:r w:rsidR="00D079B4" w:rsidRPr="00D079B4">
        <w:t>)</w:t>
      </w:r>
      <w:r w:rsidR="00D079B4">
        <w:t>)</w:t>
      </w:r>
      <w:r w:rsidR="00D079B4" w:rsidRPr="00D079B4">
        <w:t>, resulting in clusters of structurally similar compounds. This enabled the partitioning of analytes into blocks, allowing operations on smaller submatrices. The approach significantly reduced computational burden, as Cholesky decompositions of large matrices (</w:t>
      </w:r>
      <w:r w:rsidR="00D079B4" w:rsidRPr="002F06A6">
        <w:rPr>
          <w:i/>
          <w:iCs/>
        </w:rPr>
        <w:t>n</w:t>
      </w:r>
      <w:r w:rsidR="00D079B4" w:rsidRPr="00D079B4">
        <w:t xml:space="preserve"> &gt; 1000) are typically slow and resource-intensive</w:t>
      </w:r>
      <w:r w:rsidR="00D079B4">
        <w:t>.</w:t>
      </w:r>
    </w:p>
    <w:p w14:paraId="1F6E52ED" w14:textId="77777777" w:rsidR="00681A67" w:rsidRPr="009D6785" w:rsidRDefault="00681A67" w:rsidP="00E86063">
      <w:pPr>
        <w:pStyle w:val="Nagwek2"/>
      </w:pPr>
      <w:r w:rsidRPr="009D6785">
        <w:t>Priors</w:t>
      </w:r>
    </w:p>
    <w:p w14:paraId="312043B1" w14:textId="5DECAA8E"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r w:rsidR="004772E2">
        <w:t>:</w:t>
      </w:r>
    </w:p>
    <w:p w14:paraId="59647917" w14:textId="1C48D88F" w:rsidR="009D6785" w:rsidRPr="000872B8" w:rsidRDefault="006F1E27"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7034FBE1" w14:textId="423617B4" w:rsidR="00350F5F" w:rsidRPr="009D6785" w:rsidRDefault="006F1E27"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6F1E27"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6F1E27"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48CB3D82" w14:textId="373C8A19" w:rsidR="009D6785" w:rsidRPr="009D6785" w:rsidRDefault="006F1E27"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6F1E27"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419E6052"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b"/>
            </m:rPr>
            <w:rPr>
              <w:rFonts w:ascii="Cambria Math" w:hAnsi="Cambria Math"/>
            </w:rPr>
            <m:t>∙</m:t>
          </m:r>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1FDA9C08" w14:textId="2CB4C7DA" w:rsidR="00715D79" w:rsidRDefault="00E12B84" w:rsidP="00715D79">
      <w:pPr>
        <w:pStyle w:val="TAMainText"/>
      </w:pPr>
      <w:r w:rsidRPr="0076092D">
        <w:rPr>
          <w:i/>
          <w:iCs/>
        </w:rPr>
        <w:t>LN</w:t>
      </w:r>
      <w:r>
        <w:t xml:space="preserve">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rsidR="000872B8" w:rsidRPr="0076092D">
        <w:rPr>
          <w:i/>
          <w:iCs/>
        </w:rPr>
        <w:t>T</w:t>
      </w:r>
      <w:r w:rsidR="000872B8">
        <w:t>[0,1]</w:t>
      </w:r>
      <w:r w:rsidR="000872B8" w:rsidRPr="000872B8">
        <w:t xml:space="preserve"> indicates that the distribution is truncated to the interval [0, 1]</w:t>
      </w:r>
      <w:r w:rsidR="000872B8">
        <w:t xml:space="preserve">, </w:t>
      </w:r>
      <w:r>
        <w:t xml:space="preserve">and </w:t>
      </w:r>
      <w:r w:rsidR="008A7774" w:rsidRPr="0076092D">
        <w:rPr>
          <w:i/>
          <w:iCs/>
        </w:rPr>
        <w:t>LKJ</w:t>
      </w:r>
      <w:r w:rsidR="008A7774" w:rsidRPr="008A7774">
        <w:t>(2) ensure that the density is uniform over correlation matrices of order 2</w:t>
      </w:r>
      <w:r w:rsidR="00715D79">
        <w:t>.</w:t>
      </w:r>
      <w:r w:rsidR="004772E2">
        <w:t xml:space="preserve"> These priors are weakly informative ensuring regularization of model parameters.</w:t>
      </w:r>
    </w:p>
    <w:p w14:paraId="764D73B9" w14:textId="42F082E6" w:rsidR="00681A67" w:rsidRPr="00715D79" w:rsidRDefault="00681A67" w:rsidP="00715D79">
      <w:pPr>
        <w:pStyle w:val="TAMainText"/>
        <w:rPr>
          <w:b/>
          <w:bCs/>
        </w:rPr>
      </w:pPr>
      <w:r w:rsidRPr="00715D79">
        <w:rPr>
          <w:b/>
          <w:bCs/>
        </w:rPr>
        <w:t>Bayesian Inference</w:t>
      </w:r>
    </w:p>
    <w:p w14:paraId="145D837C" w14:textId="5BF03AE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0812CB">
        <w:instrText xml:space="preserve"> ADDIN ZOTERO_ITEM CSL_CITATION {"citationID":"NG1Oh44P","properties":{"formattedCitation":"\\super 15\\nosupersub{}","plainCitation":"15","noteIndex":0},"citationItems":[{"id":518,"uris":["http://zotero.org/users/local/cIlVeWgC/items/FE8KVIP5"],"itemData":{"id":518,"type":"article-journal","container-title":"Journal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0812CB" w:rsidRPr="000812CB">
        <w:rPr>
          <w:szCs w:val="24"/>
          <w:vertAlign w:val="superscript"/>
        </w:rPr>
        <w:t>15</w:t>
      </w:r>
      <w:r w:rsidR="008A7774">
        <w:fldChar w:fldCharType="end"/>
      </w:r>
      <w:r w:rsidR="008A7774">
        <w:t xml:space="preserve"> </w:t>
      </w:r>
      <w:r w:rsidRPr="008A7774">
        <w:t>software linked with Rstudio</w:t>
      </w:r>
      <w:r w:rsidR="008A7774">
        <w:fldChar w:fldCharType="begin"/>
      </w:r>
      <w:r w:rsidR="000812CB">
        <w:instrText xml:space="preserve"> ADDIN ZOTERO_ITEM CSL_CITATION {"citationID":"ew2rFNv1","properties":{"formattedCitation":"\\super 16\\nosupersub{}","plainCitation":"16","noteIndex":0},"citationItems":[{"id":433,"uris":["http://zotero.org/users/local/cIlVeWgC/items/6P5F3CZ2"],"itemData":{"id":433,"type":"book","event-place":"Boston,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0812CB" w:rsidRPr="000812CB">
        <w:rPr>
          <w:szCs w:val="24"/>
          <w:vertAlign w:val="superscript"/>
        </w:rPr>
        <w:t>16</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27A7E1AA"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4A54D734"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20CB2B76" w14:textId="77777777" w:rsidR="00DF3E1B" w:rsidRDefault="00681A67" w:rsidP="00DF3E1B">
      <w:pPr>
        <w:pStyle w:val="TAMainText"/>
      </w:pPr>
      <w:r w:rsidRPr="008A7774">
        <w:rPr>
          <w:b/>
        </w:rPr>
        <w:t>Predictions.</w:t>
      </w:r>
      <w:r w:rsidR="00AD3413" w:rsidRPr="008A7774">
        <w:rPr>
          <w:b/>
        </w:rPr>
        <w:t xml:space="preserve"> </w:t>
      </w:r>
      <w:r w:rsidR="00DF3E1B">
        <w:t xml:space="preserve">The applicability of the proposed model was demonstrated through the prediction of analyte retention conditional on the retention of structurally similar compounds. A cross-validation procedure was employed to evaluate its performance, with cross-validation folds constructed so that at least one similar analyte remained in the training set for each held-out analyte. Analytes that did not belong to any correlated group (i.e., </w:t>
      </w:r>
      <w:proofErr w:type="spellStart"/>
      <w:r w:rsidR="00DF3E1B">
        <w:t>unclustered</w:t>
      </w:r>
      <w:proofErr w:type="spellEnd"/>
      <w:r w:rsidR="00DF3E1B">
        <w:t xml:space="preserve"> analytes) were always included in the training set.</w:t>
      </w:r>
    </w:p>
    <w:p w14:paraId="49896A8D" w14:textId="2D4F2310" w:rsidR="00DF3E1B" w:rsidRPr="008A7774" w:rsidRDefault="00DF3E1B" w:rsidP="00DF3E1B">
      <w:pPr>
        <w:pStyle w:val="TAMainText"/>
      </w:pPr>
      <w:r>
        <w:t>A similar cross-validation strategy was used to assess predictive uncertainty under the assumption that only one observation was available for each held-out analyte, reflecting a realistic scenario in which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6883CC6F"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a model for analyte-specific chromatographic parameters</w:t>
      </w:r>
      <w:r w:rsidR="007329C0" w:rsidRPr="007329C0">
        <w:t xml:space="preserve"> (</w:t>
      </w:r>
      <w:proofErr w:type="spellStart"/>
      <w:r w:rsidR="007329C0" w:rsidRPr="007329C0">
        <w:rPr>
          <w:i/>
          <w:iCs/>
        </w:rPr>
        <w:t>logP</w:t>
      </w:r>
      <w:proofErr w:type="spellEnd"/>
      <w:r w:rsidR="007329C0" w:rsidRPr="007329C0">
        <w:t xml:space="preserve"> and functional groups </w:t>
      </w:r>
      <w:r w:rsidR="00164575">
        <w:t>further divided into</w:t>
      </w:r>
      <w:r w:rsidR="007329C0" w:rsidRPr="007329C0">
        <w:t xml:space="preserve"> dissociated and non-dissociated</w:t>
      </w:r>
      <w:r w:rsidR="00164575">
        <w:t xml:space="preserve"> groups</w:t>
      </w:r>
      <w:r w:rsidR="007329C0" w:rsidRPr="007329C0">
        <w:t>)</w:t>
      </w:r>
      <w:r w:rsidR="007D1043" w:rsidRPr="007329C0">
        <w:t xml:space="preserve">, </w:t>
      </w:r>
      <w:r w:rsidR="00D079B4">
        <w:t xml:space="preserve">and </w:t>
      </w:r>
      <w:r w:rsidR="007D1043" w:rsidRPr="007329C0">
        <w:t>(</w:t>
      </w:r>
      <w:r w:rsidR="007D1043" w:rsidRPr="00141F4E">
        <w:rPr>
          <w:i/>
          <w:iCs/>
        </w:rPr>
        <w:t>iii</w:t>
      </w:r>
      <w:r w:rsidR="007D1043" w:rsidRPr="007329C0">
        <w:t xml:space="preserve">) a model for functional group effects (regression </w:t>
      </w:r>
      <w:r w:rsidR="007D1043" w:rsidRPr="007329C0">
        <w:lastRenderedPageBreak/>
        <w:t>coefficients for functional group effects)</w:t>
      </w:r>
      <w:r w:rsidR="00F80DA9">
        <w:t xml:space="preserve">. The </w:t>
      </w:r>
      <w:r w:rsidR="00524308">
        <w:t>new</w:t>
      </w:r>
      <w:r w:rsidR="00F80DA9">
        <w:t xml:space="preserve"> component </w:t>
      </w:r>
      <w:r w:rsidR="00715D79">
        <w:t xml:space="preserve">comprise a </w:t>
      </w:r>
      <w:r w:rsidR="00524308">
        <w:t xml:space="preserve">more detailed modeling of analyte parameters covariances and their relationship </w:t>
      </w:r>
      <w:r w:rsidR="00715D79">
        <w:t xml:space="preserve">to </w:t>
      </w:r>
      <w:r w:rsidR="007329C0" w:rsidRPr="007329C0">
        <w:t>similarity matrix.</w:t>
      </w:r>
      <w:r w:rsidR="00164575">
        <w:t xml:space="preserve"> </w:t>
      </w:r>
    </w:p>
    <w:p w14:paraId="17C14B50" w14:textId="0A07F0A7" w:rsidR="00B23B47" w:rsidRPr="005B7D7D" w:rsidRDefault="004D0F23" w:rsidP="00D46423">
      <w:r w:rsidRPr="005B7D7D">
        <w:t xml:space="preserve">The </w:t>
      </w:r>
      <w:r w:rsidR="007329C0">
        <w:t xml:space="preserve">key </w:t>
      </w:r>
      <w:r w:rsidR="008B0E42">
        <w:t xml:space="preserve">population level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42A2B737" w14:textId="57052BC1" w:rsidR="0076092D" w:rsidRDefault="0076092D" w:rsidP="0076092D">
      <w:pPr>
        <w:pStyle w:val="TAMainText"/>
      </w:pPr>
      <w:r>
        <w:t xml:space="preserve">Typical estimates of the </w:t>
      </w:r>
      <w:proofErr w:type="spellStart"/>
      <w:r w:rsidRPr="0076092D">
        <w:rPr>
          <w:i/>
          <w:iCs/>
        </w:rPr>
        <w:t>logk</w:t>
      </w:r>
      <w:r w:rsidRPr="0076092D">
        <w:rPr>
          <w:i/>
          <w:iCs/>
          <w:vertAlign w:val="subscript"/>
        </w:rPr>
        <w:t>w</w:t>
      </w:r>
      <w:proofErr w:type="spellEnd"/>
      <w:r>
        <w:t xml:space="preserve"> and </w:t>
      </w:r>
      <w:r w:rsidRPr="0076092D">
        <w:rPr>
          <w:i/>
          <w:iCs/>
        </w:rPr>
        <w:t>S</w:t>
      </w:r>
      <w:r w:rsidRPr="0076092D">
        <w:rPr>
          <w:i/>
          <w:iCs/>
          <w:vertAlign w:val="subscript"/>
        </w:rPr>
        <w:t>1</w:t>
      </w:r>
      <w:r>
        <w:t xml:space="preserve"> parameters for an analyte with </w:t>
      </w:r>
      <w:proofErr w:type="spellStart"/>
      <w:r w:rsidRPr="0076092D">
        <w:rPr>
          <w:i/>
          <w:iCs/>
        </w:rPr>
        <w:t>logP</w:t>
      </w:r>
      <w:proofErr w:type="spellEnd"/>
      <w:r>
        <w:t xml:space="preserve"> equal</w:t>
      </w:r>
      <w:r>
        <w:t xml:space="preserve"> 2.2 and no functional groups are 3.05 and 3.67, respectively. The </w:t>
      </w:r>
      <w:r w:rsidRPr="0076092D">
        <w:rPr>
          <w:i/>
          <w:iCs/>
        </w:rPr>
        <w:t>S</w:t>
      </w:r>
      <w:r w:rsidRPr="0076092D">
        <w:rPr>
          <w:i/>
          <w:iCs/>
          <w:vertAlign w:val="subscript"/>
        </w:rPr>
        <w:t>2</w:t>
      </w:r>
      <w:r>
        <w:t xml:space="preserve"> parameter is relatively high, with a value of 2.90. On average, the presence of a dissociated group decreases </w:t>
      </w:r>
      <w:proofErr w:type="spellStart"/>
      <w:r w:rsidRPr="0076092D">
        <w:rPr>
          <w:i/>
          <w:iCs/>
        </w:rPr>
        <w:t>logk</w:t>
      </w:r>
      <w:r w:rsidRPr="0076092D">
        <w:rPr>
          <w:i/>
          <w:iCs/>
          <w:vertAlign w:val="subscript"/>
        </w:rPr>
        <w:t>w</w:t>
      </w:r>
      <w:proofErr w:type="spellEnd"/>
      <w:r>
        <w:t xml:space="preserve"> by 0.35 and increases</w:t>
      </w:r>
      <w:r>
        <w:t xml:space="preserve"> </w:t>
      </w:r>
      <w:r w:rsidRPr="0076092D">
        <w:rPr>
          <w:i/>
          <w:iCs/>
        </w:rPr>
        <w:t>S</w:t>
      </w:r>
      <w:r w:rsidRPr="0076092D">
        <w:rPr>
          <w:i/>
          <w:iCs/>
          <w:vertAlign w:val="subscript"/>
        </w:rPr>
        <w:t>1</w:t>
      </w:r>
      <w:r>
        <w:t xml:space="preserve"> </w:t>
      </w:r>
      <w:r>
        <w:t xml:space="preserve">by 0.30, indicating meaningful influence of ionization on these </w:t>
      </w:r>
      <w:proofErr w:type="spellStart"/>
      <w:r>
        <w:t>parameters.The</w:t>
      </w:r>
      <w:proofErr w:type="spellEnd"/>
      <w:r>
        <w:t xml:space="preserve"> estimated effect of </w:t>
      </w:r>
      <w:proofErr w:type="spellStart"/>
      <w:r w:rsidRPr="0076092D">
        <w:rPr>
          <w:i/>
          <w:iCs/>
        </w:rPr>
        <w:t>logP</w:t>
      </w:r>
      <w:proofErr w:type="spellEnd"/>
      <w:r>
        <w:t xml:space="preserve"> is 0.86 for </w:t>
      </w:r>
      <w:proofErr w:type="spellStart"/>
      <w:r w:rsidRPr="0076092D">
        <w:rPr>
          <w:i/>
          <w:iCs/>
        </w:rPr>
        <w:t>logk</w:t>
      </w:r>
      <w:r w:rsidRPr="0076092D">
        <w:rPr>
          <w:i/>
          <w:iCs/>
          <w:vertAlign w:val="subscript"/>
        </w:rPr>
        <w:t>w</w:t>
      </w:r>
      <w:proofErr w:type="spellEnd"/>
      <w:r>
        <w:t xml:space="preserve"> </w:t>
      </w:r>
      <w:r>
        <w:t>and 0.62 for</w:t>
      </w:r>
      <w:r>
        <w:t xml:space="preserve"> </w:t>
      </w:r>
      <w:r w:rsidRPr="0076092D">
        <w:rPr>
          <w:i/>
          <w:iCs/>
        </w:rPr>
        <w:t>S</w:t>
      </w:r>
      <w:r w:rsidRPr="0076092D">
        <w:rPr>
          <w:i/>
          <w:iCs/>
          <w:vertAlign w:val="subscript"/>
        </w:rPr>
        <w:t>1</w:t>
      </w:r>
      <w:r>
        <w:t>, reflecting a significant contribution of hydrophobicity to both retention parameters.</w:t>
      </w:r>
    </w:p>
    <w:p w14:paraId="3D509231" w14:textId="77777777" w:rsidR="0076092D" w:rsidRDefault="0076092D" w:rsidP="0076092D">
      <w:pPr>
        <w:pStyle w:val="TAMainText"/>
      </w:pPr>
      <w:r>
        <w:t xml:space="preserve">The standard deviation for between-subject variability (BSV) was estimated at 1.41 for </w:t>
      </w:r>
      <w:proofErr w:type="spellStart"/>
      <w:r w:rsidRPr="0076092D">
        <w:rPr>
          <w:i/>
          <w:iCs/>
        </w:rPr>
        <w:t>logk</w:t>
      </w:r>
      <w:r w:rsidRPr="0076092D">
        <w:rPr>
          <w:i/>
          <w:iCs/>
          <w:vertAlign w:val="subscript"/>
        </w:rPr>
        <w:t>w</w:t>
      </w:r>
      <w:proofErr w:type="spellEnd"/>
      <w:r>
        <w:t xml:space="preserve"> </w:t>
      </w:r>
      <w:r>
        <w:t>and 1.13 for</w:t>
      </w:r>
      <w:r>
        <w:t xml:space="preserve"> </w:t>
      </w:r>
      <w:r w:rsidRPr="0076092D">
        <w:rPr>
          <w:i/>
          <w:iCs/>
        </w:rPr>
        <w:t>S</w:t>
      </w:r>
      <w:r w:rsidRPr="0076092D">
        <w:rPr>
          <w:i/>
          <w:iCs/>
          <w:vertAlign w:val="subscript"/>
        </w:rPr>
        <w:t>1</w:t>
      </w:r>
      <w:r>
        <w:t>. There is a strong positive correlation of 0.88 between the two, indicating substantial shared variability across analytes. The parameter rho-squared (</w:t>
      </w:r>
      <w:r w:rsidRPr="0076092D">
        <w:rPr>
          <w:rFonts w:hint="eastAsia"/>
          <w:i/>
          <w:iCs/>
        </w:rPr>
        <w:t>ρ</w:t>
      </w:r>
      <w:r>
        <w:rPr>
          <w:rFonts w:hint="eastAsia"/>
        </w:rPr>
        <w:t>²</w:t>
      </w:r>
      <w:r>
        <w:t xml:space="preserve">) can be interpreted as the proportion of variance in predicted </w:t>
      </w:r>
      <w:proofErr w:type="spellStart"/>
      <w:r w:rsidRPr="0076092D">
        <w:rPr>
          <w:i/>
          <w:iCs/>
        </w:rPr>
        <w:t>logk</w:t>
      </w:r>
      <w:proofErr w:type="spellEnd"/>
      <w:r>
        <w:t xml:space="preserve"> explained by a single </w:t>
      </w:r>
      <w:proofErr w:type="spellStart"/>
      <w:r w:rsidRPr="0076092D">
        <w:rPr>
          <w:i/>
          <w:iCs/>
        </w:rPr>
        <w:t>logk</w:t>
      </w:r>
      <w:proofErr w:type="spellEnd"/>
      <w:r>
        <w:t xml:space="preserve"> measurement, and it was estimated at approximately 0.8. The residual error (</w:t>
      </w:r>
      <w:r w:rsidRPr="0076092D">
        <w:rPr>
          <w:rFonts w:hint="eastAsia"/>
          <w:i/>
          <w:iCs/>
        </w:rPr>
        <w:t>σ</w:t>
      </w:r>
      <w:r>
        <w:t>) is small at 0.05, consistent with expectations for retention time data. This corresponds to a coefficient of variation (CV) for the retention factor (</w:t>
      </w:r>
      <w:r w:rsidRPr="0076092D">
        <w:rPr>
          <w:i/>
          <w:iCs/>
        </w:rPr>
        <w:t>k</w:t>
      </w:r>
      <w:r>
        <w:t xml:space="preserve">) of approximately 11%. Finally, the </w:t>
      </w:r>
      <w:r>
        <w:rPr>
          <w:rFonts w:hint="eastAsia"/>
        </w:rPr>
        <w:t>α</w:t>
      </w:r>
      <w:r>
        <w:t xml:space="preserve"> parameter was estimated at 0.71, suggesting that, for highly similar analytes, the effective correlation is somewhat reduced. The squared term, </w:t>
      </w:r>
      <w:r w:rsidRPr="0076092D">
        <w:rPr>
          <w:rFonts w:hint="eastAsia"/>
          <w:i/>
          <w:iCs/>
        </w:rPr>
        <w:t>α²</w:t>
      </w:r>
      <w:r>
        <w:t xml:space="preserve">, can be interpreted as the proportion of variance in the predicted </w:t>
      </w:r>
      <w:proofErr w:type="spellStart"/>
      <w:r w:rsidRPr="0076092D">
        <w:rPr>
          <w:i/>
          <w:iCs/>
        </w:rPr>
        <w:t>logk</w:t>
      </w:r>
      <w:proofErr w:type="spellEnd"/>
      <w:r>
        <w:t xml:space="preserve"> explained by the retention of a similar analyte with a similarity score of 1. This represents a substantial level of explained uncertainty.</w:t>
      </w:r>
      <w:r>
        <w:t xml:space="preserve"> </w:t>
      </w:r>
    </w:p>
    <w:p w14:paraId="180A316D" w14:textId="502F2FFB" w:rsidR="00B6135A" w:rsidRDefault="00B6135A" w:rsidP="0076092D">
      <w:pPr>
        <w:pStyle w:val="TAMainText"/>
      </w:pPr>
      <w:r w:rsidRPr="00B6135A">
        <w:t>The effects of functional groups</w:t>
      </w:r>
      <w:r>
        <w:t xml:space="preserve"> (</w:t>
      </w:r>
      <w:r w:rsidRPr="00B6135A">
        <w:t>population-level parameters</w:t>
      </w:r>
      <w:r>
        <w:t xml:space="preserve">) </w:t>
      </w:r>
      <w:r w:rsidRPr="00B6135A">
        <w:t xml:space="preserve">are shown in Figure 2 for the most common groups in the dataset, and in Figure S2 for the less common ones. The presence of dissociated functional groups, such as aliphatic amine, amidine, and guanidine, tends to significantly decrease </w:t>
      </w:r>
      <w:proofErr w:type="spellStart"/>
      <w:r w:rsidRPr="00B6135A">
        <w:rPr>
          <w:i/>
          <w:iCs/>
        </w:rPr>
        <w:t>logk</w:t>
      </w:r>
      <w:r w:rsidRPr="00B6135A">
        <w:rPr>
          <w:i/>
          <w:iCs/>
          <w:vertAlign w:val="subscript"/>
        </w:rPr>
        <w:t>w</w:t>
      </w:r>
      <w:proofErr w:type="spellEnd"/>
      <w:r w:rsidRPr="00B6135A">
        <w:t xml:space="preserve"> and increase </w:t>
      </w:r>
      <w:r w:rsidRPr="00A44285">
        <w:rPr>
          <w:i/>
          <w:iCs/>
        </w:rPr>
        <w:t>S</w:t>
      </w:r>
      <w:r w:rsidRPr="00A44285">
        <w:rPr>
          <w:i/>
          <w:iCs/>
          <w:vertAlign w:val="subscript"/>
        </w:rPr>
        <w:t>1</w:t>
      </w:r>
      <w:r w:rsidRPr="00B6135A">
        <w:t xml:space="preserve">. Non-dissociated groups generally have smaller effects, though several (e.g., </w:t>
      </w:r>
      <w:proofErr w:type="spellStart"/>
      <w:r w:rsidRPr="00B6135A">
        <w:t>annelated</w:t>
      </w:r>
      <w:proofErr w:type="spellEnd"/>
      <w:r w:rsidRPr="00B6135A">
        <w:t xml:space="preserve"> rings, secondary alcohols, primary carbons) still show non-negligible deviations from zero. Figure </w:t>
      </w:r>
      <w:r w:rsidR="00A44285">
        <w:t>1</w:t>
      </w:r>
      <w:r w:rsidRPr="00B6135A">
        <w:t xml:space="preserve"> reports the </w:t>
      </w:r>
      <w:r w:rsidRPr="00B6135A">
        <w:rPr>
          <w:rFonts w:hint="eastAsia"/>
        </w:rPr>
        <w:t>κ</w:t>
      </w:r>
      <w:r w:rsidRPr="00B6135A">
        <w:t xml:space="preserve"> values, which summarize variability across functional groups: 0.15 and 0.13 for non-dissociated groups, and 0.34 and 0.19 for dissociated groups, for </w:t>
      </w:r>
      <w:r w:rsidRPr="00B6135A">
        <w:rPr>
          <w:i/>
          <w:iCs/>
        </w:rPr>
        <w:t>log k</w:t>
      </w:r>
      <w:r w:rsidRPr="00B6135A">
        <w:rPr>
          <w:i/>
          <w:iCs/>
          <w:vertAlign w:val="subscript"/>
        </w:rPr>
        <w:t>w</w:t>
      </w:r>
      <w:r w:rsidRPr="00B6135A">
        <w:t xml:space="preserve"> and increase </w:t>
      </w:r>
      <w:r w:rsidRPr="00A44285">
        <w:rPr>
          <w:i/>
          <w:iCs/>
        </w:rPr>
        <w:t>S</w:t>
      </w:r>
      <w:r w:rsidRPr="00A44285">
        <w:rPr>
          <w:i/>
          <w:iCs/>
          <w:vertAlign w:val="subscript"/>
        </w:rPr>
        <w:t>1</w:t>
      </w:r>
      <w:r w:rsidRPr="00A44285">
        <w:t>,</w:t>
      </w:r>
      <w:r w:rsidRPr="00B6135A">
        <w:t xml:space="preserve"> respectively. These values suggest that functional groups not dissociated under the experimental </w:t>
      </w:r>
      <w:r w:rsidRPr="00B6135A">
        <w:t xml:space="preserve">pH conditions are expected to affect predictions by approximately </w:t>
      </w:r>
      <w:r w:rsidRPr="00B6135A">
        <w:rPr>
          <w:rFonts w:hint="eastAsia"/>
        </w:rPr>
        <w:t>±</w:t>
      </w:r>
      <w:r w:rsidRPr="00B6135A">
        <w:t xml:space="preserve">0.30 (2 standard deviations). This component of the model supports generalization to analytes containing functional groups not represented in the </w:t>
      </w:r>
      <w:r>
        <w:t>analyzed dataset</w:t>
      </w:r>
      <w:r w:rsidRPr="00B6135A">
        <w:t>.</w:t>
      </w:r>
    </w:p>
    <w:p w14:paraId="1C87C290" w14:textId="05B8C584" w:rsidR="00C96867" w:rsidRPr="00CC6387" w:rsidRDefault="00CB3A8D" w:rsidP="00E86063">
      <w:pPr>
        <w:pStyle w:val="TAMainText"/>
      </w:pPr>
      <w:r>
        <w:rPr>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78A257E1" w:rsidR="00C96867" w:rsidRPr="00CC6387" w:rsidRDefault="00C96867" w:rsidP="00E86063">
      <w:pPr>
        <w:pStyle w:val="VAFigureCaption"/>
      </w:pPr>
      <w:r w:rsidRPr="00CC6387">
        <w:t xml:space="preserve">Figure </w:t>
      </w:r>
      <w:r w:rsidR="00E86063">
        <w:t>2</w:t>
      </w:r>
      <w:r w:rsidRPr="00CC6387">
        <w:t xml:space="preserve">. </w:t>
      </w:r>
      <w:r w:rsidR="00DF3E1B" w:rsidRPr="00DF3E1B">
        <w:t>This is a summary of the marginal posterior distributions of the functional group effects. Red represents the effect of dissociated functional groups, and green represents the effect of non-dissociated functional groups. The most common functional groups (&gt;10 across all analytes) are presented. The plot for the remaining functional groups is presented in Figure S2.</w:t>
      </w:r>
    </w:p>
    <w:p w14:paraId="29DE00FE" w14:textId="07623DCF" w:rsidR="001C7C6D" w:rsidRDefault="001C7C6D" w:rsidP="00E86063">
      <w:pPr>
        <w:pStyle w:val="TAMainText"/>
      </w:pPr>
      <w:r w:rsidRPr="001C7C6D">
        <w:t xml:space="preserve">The distributions of analyte-specific chromatographic parameters are shown in Figures S4 and S5, either directly or as eta plots, which capture unexplained variability. Here, eta represents the deviation of an individual analyte's parameter from its expected (population-level) value. One way to assess the influence of the similarity matrix on predictions is by examining the posterior correlations between individual eta values. The presence of such correlations indicates shared information between analytes. </w:t>
      </w:r>
      <w:r w:rsidR="00715D79">
        <w:t xml:space="preserve">Incorporating the similarity matrix </w:t>
      </w:r>
      <w:r w:rsidRPr="001C7C6D">
        <w:t>reduces these correlations</w:t>
      </w:r>
      <w:r w:rsidR="00057BDC">
        <w:t xml:space="preserve">, </w:t>
      </w:r>
      <w:r w:rsidRPr="001C7C6D">
        <w:t>particularly for highly similar analytes</w:t>
      </w:r>
      <w:r>
        <w:t xml:space="preserve">, </w:t>
      </w:r>
      <w:r w:rsidRPr="001C7C6D">
        <w:t>as illustrated in Figure 3.</w:t>
      </w:r>
      <w:r w:rsidR="00715D79">
        <w:t xml:space="preserve"> In this figure, the high </w:t>
      </w:r>
      <w:r w:rsidR="00B6135A">
        <w:t xml:space="preserve">posterior </w:t>
      </w:r>
      <w:r w:rsidR="00715D79">
        <w:t>correlation for similarities higher the &gt;0.5 are significantly reduced (Figure 3A vs Figure 3B</w:t>
      </w:r>
      <w:r w:rsidR="00B6135A">
        <w:t>) supporting the proposed row covariance structure of the matrix normal distribution.</w:t>
      </w:r>
    </w:p>
    <w:p w14:paraId="39967136" w14:textId="223FE061" w:rsidR="002C499D" w:rsidRDefault="002C499D" w:rsidP="002C499D">
      <w:r w:rsidRPr="001C7C6D">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64911533" w14:textId="3BD98522" w:rsidR="00A44285" w:rsidRDefault="00A44285" w:rsidP="00E86063">
      <w:pPr>
        <w:pStyle w:val="TAMainText"/>
      </w:pPr>
      <w:r w:rsidRPr="00A44285">
        <w:t xml:space="preserve">Figure 4 shows cross-validation-based predictions, which demonstrate a moderate to substantial reduction in prediction </w:t>
      </w:r>
      <w:r w:rsidRPr="00A44285">
        <w:lastRenderedPageBreak/>
        <w:t>uncertainty compared to population-based predictions. This reduction is summarized for two scenarios: one using population-level predictions conditional on analytes included in the held-out data and with no individual-level observations, and another using limited data</w:t>
      </w:r>
      <w:r>
        <w:t xml:space="preserve"> predictions</w:t>
      </w:r>
      <w:r w:rsidRPr="00A44285">
        <w:t xml:space="preserve"> </w:t>
      </w:r>
      <w:r>
        <w:t xml:space="preserve">with </w:t>
      </w:r>
      <w:r w:rsidRPr="00A44285">
        <w:t>a single observation</w:t>
      </w:r>
      <w:r>
        <w:t xml:space="preserve"> </w:t>
      </w:r>
      <w:r w:rsidR="0076092D">
        <w:t>of held-in analytes</w:t>
      </w:r>
      <w:r w:rsidRPr="00A44285">
        <w:t>. The extent of variance reduction varies widely depending on the analyte's similarity to others. Figure 5</w:t>
      </w:r>
      <w:r w:rsidR="0076092D">
        <w:t>A</w:t>
      </w:r>
      <w:r w:rsidRPr="00A44285">
        <w:t xml:space="preserve"> shows that analytes with similarity scores between 0.8 and 1 experienced a notable reduction in </w:t>
      </w:r>
      <w:proofErr w:type="spellStart"/>
      <w:r w:rsidRPr="00A44285">
        <w:rPr>
          <w:i/>
          <w:iCs/>
        </w:rPr>
        <w:t>logk</w:t>
      </w:r>
      <w:proofErr w:type="spellEnd"/>
      <w:r w:rsidRPr="00A44285">
        <w:t xml:space="preserve"> uncertainty, typically in the range of 20</w:t>
      </w:r>
      <w:r w:rsidRPr="00A44285">
        <w:rPr>
          <w:rFonts w:hint="eastAsia"/>
        </w:rPr>
        <w:t>–</w:t>
      </w:r>
      <w:r w:rsidRPr="00A44285">
        <w:t xml:space="preserve">60%. The presence of a single observation reduces variance by an additional 80% due to the correlation between </w:t>
      </w:r>
      <w:proofErr w:type="spellStart"/>
      <w:r w:rsidRPr="00A44285">
        <w:rPr>
          <w:i/>
          <w:iCs/>
        </w:rPr>
        <w:t>log</w:t>
      </w:r>
      <w:r w:rsidRPr="00A44285">
        <w:rPr>
          <w:i/>
          <w:iCs/>
        </w:rPr>
        <w:t>k</w:t>
      </w:r>
      <w:r w:rsidRPr="00A44285">
        <w:rPr>
          <w:i/>
          <w:iCs/>
          <w:vertAlign w:val="subscript"/>
        </w:rPr>
        <w:t>w</w:t>
      </w:r>
      <w:proofErr w:type="spellEnd"/>
      <w:r w:rsidRPr="00A44285">
        <w:t xml:space="preserve"> and </w:t>
      </w:r>
      <w:r w:rsidRPr="00A44285">
        <w:rPr>
          <w:i/>
          <w:iCs/>
        </w:rPr>
        <w:t>S</w:t>
      </w:r>
      <w:r w:rsidRPr="00A44285">
        <w:rPr>
          <w:i/>
          <w:iCs/>
          <w:vertAlign w:val="subscript"/>
        </w:rPr>
        <w:t>1</w:t>
      </w:r>
      <w:r w:rsidRPr="00A44285">
        <w:t xml:space="preserve"> (Figure 4A vs. Figure 5B).</w:t>
      </w:r>
    </w:p>
    <w:p w14:paraId="74684694" w14:textId="2CB98787"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674E7EB3"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707E2105" w14:textId="77777777" w:rsidR="00B6135A" w:rsidRDefault="00B6135A" w:rsidP="00B6135A">
      <w:pPr>
        <w:pStyle w:val="TAMainText"/>
      </w:pPr>
      <w:r>
        <w:t>The proposed multilevel modeling approach contrasts with the approach proposed by Haddad et al.</w:t>
      </w:r>
      <w:r>
        <w:fldChar w:fldCharType="begin"/>
      </w:r>
      <w:r>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Pr>
          <w:rFonts w:hint="eastAsia"/>
        </w:rPr>
        <w:instrText>η</w:instrText>
      </w:r>
      <w:r>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Pr>
          <w:rFonts w:hint="eastAsia"/>
        </w:rPr>
        <w:instrText>“</w:instrText>
      </w:r>
      <w:r>
        <w:instrText>federation of local models</w:instrText>
      </w:r>
      <w:r>
        <w:rPr>
          <w:rFonts w:hint="eastAsia"/>
        </w:rPr>
        <w:instrText>”</w:instrText>
      </w:r>
      <w:r>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Pr>
          <w:rFonts w:hint="eastAsia"/>
        </w:rPr>
        <w:instrText>–</w:instrText>
      </w:r>
      <w:r>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Pr="000812CB">
        <w:rPr>
          <w:szCs w:val="24"/>
          <w:vertAlign w:val="superscript"/>
        </w:rPr>
        <w:t>1,2</w:t>
      </w:r>
      <w:r>
        <w:fldChar w:fldCharType="end"/>
      </w:r>
      <w:r>
        <w:t xml:space="preserve">, known as localized quantitative QSRR modeling. Their method identifies analytes similar to the target analyte from an available database using predefined similarity measures, such as structural similarity (e.g., </w:t>
      </w:r>
      <w:proofErr w:type="spellStart"/>
      <w:r>
        <w:t>Tanimoto</w:t>
      </w:r>
      <w:proofErr w:type="spellEnd"/>
      <w:r>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 local specificity with global information sharing. In addition the Bayesian component quantifies uncertainty that is relevant when used for predictions when limited experimental information is available.</w:t>
      </w:r>
    </w:p>
    <w:p w14:paraId="495F8500" w14:textId="060AD594" w:rsidR="00B6135A" w:rsidRPr="00B6135A" w:rsidRDefault="00B6135A" w:rsidP="00B6135A">
      <w:pPr>
        <w:pStyle w:val="TAMainText"/>
      </w:pPr>
      <w:r w:rsidRPr="00EE20B5">
        <w:t>Accurate predictions</w:t>
      </w:r>
      <w:r>
        <w:t xml:space="preserve"> (with well-</w:t>
      </w:r>
      <w:r w:rsidRPr="00524308">
        <w:t>construct</w:t>
      </w:r>
      <w:r>
        <w:t>ed</w:t>
      </w:r>
      <w:r w:rsidRPr="00524308">
        <w:t xml:space="preserve"> and calibrate</w:t>
      </w:r>
      <w:r>
        <w:t>d</w:t>
      </w:r>
      <w:r w:rsidRPr="00524308">
        <w:t xml:space="preserve"> uncertainties</w:t>
      </w:r>
      <w:r>
        <w:t>)</w:t>
      </w:r>
      <w:r w:rsidRPr="00EE20B5">
        <w:t xml:space="preserve"> are critically important</w:t>
      </w:r>
      <w:r>
        <w:fldChar w:fldCharType="begin"/>
      </w:r>
      <w:r>
        <w:instrText xml:space="preserve"> ADDIN ZOTERO_ITEM CSL_CITATION {"citationID":"HiprnqUs","properties":{"formattedCitation":"\\super 17\\nosupersub{}","plainCitation":"17","noteIndex":0},"citationItems":[{"id":382,"uris":["http://zotero.org/users/local/cIlVeWgC/items/AIXWDAD6"],"itemData":{"id":382,"type":"article-journal","abstract":"The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Pr>
          <w:rFonts w:hint="eastAsia"/>
        </w:rPr>
        <w:instrText>φ</w:instrText>
      </w:r>
      <w:r>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Pr>
          <w:rFonts w:hint="eastAsia"/>
        </w:rPr>
        <w:instrText>φ</w:instrText>
      </w:r>
      <w:r>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Pr>
          <w:rFonts w:hint="eastAsia"/>
        </w:rPr>
        <w:instrText>–</w:instrText>
      </w:r>
      <w:r>
        <w:instrText>liquid adsorption and gradient chromatography. No model calibration is necessary; however, they require universal conventions for the accurate determination of true retention factors (for 1 &lt; k &lt; 30) as a function of the experimental variables (</w:instrText>
      </w:r>
      <w:r>
        <w:rPr>
          <w:rFonts w:hint="eastAsia"/>
        </w:rPr>
        <w:instrText>φ</w:instrText>
      </w:r>
      <w:r>
        <w:instrText xml:space="preserve">, T, pH, and I) and of the true column/system parameters (V0, Vdwell, dispersion volume, </w:instrText>
      </w:r>
      <w:r>
        <w:rPr>
          <w:rFonts w:hint="eastAsia"/>
        </w:rPr>
        <w:instrText>σ</w:instrText>
      </w:r>
      <w:r>
        <w:instrText xml:space="preserve">, and relaxation volume, </w:instrText>
      </w:r>
      <w:r>
        <w:rPr>
          <w:rFonts w:hint="eastAsia"/>
        </w:rPr>
        <w:instrText>τ</w:instrText>
      </w:r>
      <w:r>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Pr>
          <w:rFonts w:hint="eastAsia"/>
        </w:rPr>
        <w:instrText>–</w:instrText>
      </w:r>
      <w:r>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Pr>
          <w:rFonts w:hint="eastAsia"/>
        </w:rPr>
        <w:instrText>–</w:instrText>
      </w:r>
      <w:r>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Pr="000812CB">
        <w:rPr>
          <w:szCs w:val="24"/>
          <w:vertAlign w:val="superscript"/>
        </w:rPr>
        <w:t>17</w:t>
      </w:r>
      <w:r>
        <w:fldChar w:fldCharType="end"/>
      </w:r>
      <w:r w:rsidRPr="00EE20B5">
        <w:t>, and this model further advances efforts to develop more reliable and precise prediction tools</w:t>
      </w:r>
      <w:r>
        <w:t xml:space="preserve"> in chromatography. Since the model handles </w:t>
      </w:r>
      <w:r w:rsidR="004F3891">
        <w:t>uncertainties</w:t>
      </w:r>
      <w:r>
        <w:t xml:space="preserve"> it can</w:t>
      </w:r>
      <w:r w:rsidR="004F3891">
        <w:t xml:space="preserve"> also be effectively used to solve various </w:t>
      </w:r>
      <w:r>
        <w:t xml:space="preserve">decision </w:t>
      </w:r>
      <w:r w:rsidR="004F3891">
        <w:t>problems encountered by chromatographer</w:t>
      </w:r>
      <w:r w:rsidR="004F3891">
        <w:fldChar w:fldCharType="begin"/>
      </w:r>
      <w:r w:rsidR="004F3891">
        <w:instrText xml:space="preserve"> ADDIN ZOTERO_ITEM CSL_CITATION {"citationID":"5tTcNkDT","properties":{"formattedCitation":"\\super 18\\uc0\\u8211{}21\\nosupersub{}","plainCitation":"18</w:instrText>
      </w:r>
      <w:r w:rsidR="004F3891">
        <w:rPr>
          <w:rFonts w:hint="eastAsia"/>
        </w:rPr>
        <w:instrText>–</w:instrText>
      </w:r>
      <w:r w:rsidR="004F3891">
        <w:instrText>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4F3891">
        <w:rPr>
          <w:rFonts w:hint="eastAsia"/>
        </w:rPr>
        <w:instrText>ł</w:instrText>
      </w:r>
      <w:r w:rsidR="004F3891">
        <w:instrText xml:space="preserve">"}],"issued":{"date-parts":[["2025",4,12]]}}}],"schema":"https://github.com/citation-style-language/schema/raw/master/csl-citation.json"} </w:instrText>
      </w:r>
      <w:r w:rsidR="004F3891">
        <w:fldChar w:fldCharType="separate"/>
      </w:r>
      <w:r w:rsidR="004F3891" w:rsidRPr="004F3891">
        <w:rPr>
          <w:szCs w:val="24"/>
          <w:vertAlign w:val="superscript"/>
        </w:rPr>
        <w:t>18–21</w:t>
      </w:r>
      <w:r w:rsidR="004F3891">
        <w:fldChar w:fldCharType="end"/>
      </w:r>
      <w:r w:rsidR="004772E2">
        <w:t>.</w:t>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755D6F90" w:rsidR="00C96867" w:rsidRPr="002A42E7" w:rsidRDefault="00C96867" w:rsidP="002C5970">
      <w:pPr>
        <w:pStyle w:val="VAFigureCaption"/>
      </w:pPr>
      <w:r w:rsidRPr="00CC6387">
        <w:t xml:space="preserve">Figure </w:t>
      </w:r>
      <w:r w:rsidR="00C152F0">
        <w:t>4</w:t>
      </w:r>
      <w:r w:rsidRPr="00CC6387">
        <w:t xml:space="preserve">. </w:t>
      </w:r>
      <w:r w:rsidR="00A44285" w:rsidRPr="00A44285">
        <w:t>The predictions are represented as the posterior median (line) and the 5th</w:t>
      </w:r>
      <w:r w:rsidR="00A44285" w:rsidRPr="00A44285">
        <w:rPr>
          <w:rFonts w:hint="eastAsia"/>
        </w:rPr>
        <w:t>–</w:t>
      </w:r>
      <w:r w:rsidR="00A44285" w:rsidRPr="00A44285">
        <w:t>95th percentiles (shaded areas) for ten exemplary analytes. The gray area represents population predictions for future observations based solely on population-level parameters and predictors, with no similar analytes available. The blue area represents individual predictions, conditional on retaining other analytes (A) and on single observed data (the smallest observed log k, depicted as a red dot) (B). The narrower blue lines indicate the added predictive value of the similarity matrix alone (A) and the similarity matrix plus the single observation (B).</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4132F16F" w14:textId="77777777" w:rsidR="00681A67" w:rsidRPr="008A7774" w:rsidRDefault="00681A67" w:rsidP="00E86063">
      <w:pPr>
        <w:pStyle w:val="Nagwek1"/>
      </w:pPr>
      <w:r w:rsidRPr="008A7774">
        <w:t>CONCLUSIONS</w:t>
      </w:r>
    </w:p>
    <w:p w14:paraId="121D934D" w14:textId="7D7C2A43" w:rsidR="00DF3E1B" w:rsidRDefault="00DF3E1B" w:rsidP="00E86063">
      <w:pPr>
        <w:pStyle w:val="Nagwek1"/>
        <w:rPr>
          <w:b w:val="0"/>
          <w:bCs w:val="0"/>
        </w:rPr>
      </w:pPr>
      <w:r w:rsidRPr="00DF3E1B">
        <w:rPr>
          <w:b w:val="0"/>
          <w:bCs w:val="0"/>
        </w:rPr>
        <w:t xml:space="preserve">This work focuses on the multilevel modeling of retention data, incorporating structural similarity between analytes. The usefulness of the proposed approach is demonstrated using a </w:t>
      </w:r>
      <w:r w:rsidRPr="00DF3E1B">
        <w:rPr>
          <w:b w:val="0"/>
          <w:bCs w:val="0"/>
        </w:rPr>
        <w:lastRenderedPageBreak/>
        <w:t>publicly available dataset of isocratic RP-HPLC retention times for 1,026 analytes, several of which exhibit high structural similarity. The work shows that structural similarity can be easily calculated from SMILES representations and can help predict analyte retention when experimental data on structurally similar analytes is available. A reduction of up to 60% in the uncertainty of the logarithm of the retention factor is expected when retention data for highly similar analytes is available.</w:t>
      </w:r>
    </w:p>
    <w:p w14:paraId="6F9393A5" w14:textId="1C8414C5"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7D343DEC"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GOF</w:t>
      </w:r>
      <w:r w:rsidR="004E7BD3">
        <w:t xml:space="preserve">; </w:t>
      </w:r>
      <w:r w:rsidR="004E7BD3" w:rsidRPr="004E7BD3">
        <w:t>Figure S4. Individual parameters</w:t>
      </w:r>
      <w:r w:rsidR="004E7BD3">
        <w:t xml:space="preserve">; </w:t>
      </w:r>
      <w:r w:rsidR="004E7BD3" w:rsidRPr="004E7BD3">
        <w:t>Figure S5. Eta plots</w:t>
      </w:r>
      <w:r w:rsidR="004E7BD3">
        <w:t xml:space="preserve">; </w:t>
      </w:r>
      <w:r w:rsidR="004E7BD3" w:rsidRPr="004E7BD3">
        <w:t>Figure S6. Compare limited data predictions.</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7A3FAE7D" w14:textId="77777777" w:rsidR="004F3891" w:rsidRPr="004F3891" w:rsidRDefault="008A7774" w:rsidP="004F3891">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4F3891" w:rsidRPr="004F3891">
        <w:t>(1)</w:t>
      </w:r>
      <w:r w:rsidR="004F3891" w:rsidRPr="004F3891">
        <w:tab/>
        <w:t xml:space="preserve">Wen, Y.; Talebi, M.; Amos, R. I. J.; Szucs, R.; Dolan, J. W.; Pohl, C. A.; Haddad, P. R. Retention Prediction in Reversed Phase High Performance Liquid Chromatography Using Quantitative Structure-Retention Relationships Applied to the Hydrophobic Subtraction Model. </w:t>
      </w:r>
      <w:r w:rsidR="004F3891" w:rsidRPr="004F3891">
        <w:rPr>
          <w:i/>
          <w:iCs/>
        </w:rPr>
        <w:t>Journal of Chromatography A</w:t>
      </w:r>
      <w:r w:rsidR="004F3891" w:rsidRPr="004F3891">
        <w:t xml:space="preserve"> </w:t>
      </w:r>
      <w:r w:rsidR="004F3891" w:rsidRPr="004F3891">
        <w:rPr>
          <w:b/>
          <w:bCs/>
        </w:rPr>
        <w:t>2018</w:t>
      </w:r>
      <w:r w:rsidR="004F3891" w:rsidRPr="004F3891">
        <w:t xml:space="preserve">, </w:t>
      </w:r>
      <w:r w:rsidR="004F3891" w:rsidRPr="004F3891">
        <w:rPr>
          <w:i/>
          <w:iCs/>
        </w:rPr>
        <w:t>1541</w:t>
      </w:r>
      <w:r w:rsidR="004F3891" w:rsidRPr="004F3891">
        <w:t>, 1–11. https://doi.org/10.1016/j.chroma.2018.01.053.</w:t>
      </w:r>
    </w:p>
    <w:p w14:paraId="7815D7C2" w14:textId="77777777" w:rsidR="004F3891" w:rsidRPr="004F3891" w:rsidRDefault="004F3891" w:rsidP="004F3891">
      <w:pPr>
        <w:pStyle w:val="Bibliografia"/>
      </w:pPr>
      <w:r w:rsidRPr="004F3891">
        <w:t>(2)</w:t>
      </w:r>
      <w:r w:rsidRPr="004F3891">
        <w:tab/>
        <w:t xml:space="preserve">Park, S. H.; Talebi, M.; Amos, R. I. J.; Tyteca, E.; Haddad, P. R.; Szucs, R.; Pohl, C. A.; Dolan, J. W. Towards a Chromatographic Similarity Index to Establish Localised Quantitative Structure-Retention Relationships for Retention Prediction. II Use of Tanimoto Similarity Index in Ion Chromatography. </w:t>
      </w:r>
      <w:r w:rsidRPr="004F3891">
        <w:rPr>
          <w:i/>
          <w:iCs/>
        </w:rPr>
        <w:t>Journal of Chromatography A</w:t>
      </w:r>
      <w:r w:rsidRPr="004F3891">
        <w:t xml:space="preserve"> </w:t>
      </w:r>
      <w:r w:rsidRPr="004F3891">
        <w:rPr>
          <w:b/>
          <w:bCs/>
        </w:rPr>
        <w:t>2017</w:t>
      </w:r>
      <w:r w:rsidRPr="004F3891">
        <w:t xml:space="preserve">, </w:t>
      </w:r>
      <w:r w:rsidRPr="004F3891">
        <w:rPr>
          <w:i/>
          <w:iCs/>
        </w:rPr>
        <w:t>1523</w:t>
      </w:r>
      <w:r w:rsidRPr="004F3891">
        <w:t>, 173–182. https://doi.org/10.1016/j.chroma.2017.02.054.</w:t>
      </w:r>
    </w:p>
    <w:p w14:paraId="79033279" w14:textId="77777777" w:rsidR="004F3891" w:rsidRPr="004F3891" w:rsidRDefault="004F3891" w:rsidP="004F3891">
      <w:pPr>
        <w:pStyle w:val="Bibliografia"/>
      </w:pPr>
      <w:r w:rsidRPr="004F3891">
        <w:t>(3)</w:t>
      </w:r>
      <w:r w:rsidRPr="004F3891">
        <w:tab/>
        <w:t xml:space="preserve">Wiczling, P.; Kamedulska, A.; Kubik, Ł. Application of Bayesian Multilevel Modeling in the Quantitative Structure-Retention Relationship Studies of Heterogeneous Compounds. </w:t>
      </w:r>
      <w:r w:rsidRPr="004F3891">
        <w:rPr>
          <w:i/>
          <w:iCs/>
        </w:rPr>
        <w:t>Anal Chem</w:t>
      </w:r>
      <w:r w:rsidRPr="004F3891">
        <w:t xml:space="preserve"> </w:t>
      </w:r>
      <w:r w:rsidRPr="004F3891">
        <w:rPr>
          <w:b/>
          <w:bCs/>
        </w:rPr>
        <w:t>2021</w:t>
      </w:r>
      <w:r w:rsidRPr="004F3891">
        <w:t xml:space="preserve">, </w:t>
      </w:r>
      <w:r w:rsidRPr="004F3891">
        <w:rPr>
          <w:i/>
          <w:iCs/>
        </w:rPr>
        <w:t>93</w:t>
      </w:r>
      <w:r w:rsidRPr="004F3891">
        <w:t xml:space="preserve"> (18), 6961–6971. https://doi.org/10.1021/acs.analchem.0c05227.</w:t>
      </w:r>
    </w:p>
    <w:p w14:paraId="0AB435AF" w14:textId="77777777" w:rsidR="004F3891" w:rsidRPr="004F3891" w:rsidRDefault="004F3891" w:rsidP="004F3891">
      <w:pPr>
        <w:pStyle w:val="Bibliografia"/>
      </w:pPr>
      <w:r w:rsidRPr="004F3891">
        <w:t>(4)</w:t>
      </w:r>
      <w:r w:rsidRPr="004F3891">
        <w:tab/>
        <w:t xml:space="preserve">Kamedulska, A.; Kubik, Ł.; Wiczling, P. Statistical Analysis of Isocratic Chromatographic Data Using Bayesian Modeling. </w:t>
      </w:r>
      <w:r w:rsidRPr="004F3891">
        <w:rPr>
          <w:i/>
          <w:iCs/>
        </w:rPr>
        <w:t>Analytical and Bioanalytical Chemistry</w:t>
      </w:r>
      <w:r w:rsidRPr="004F3891">
        <w:t xml:space="preserve"> </w:t>
      </w:r>
      <w:r w:rsidRPr="004F3891">
        <w:rPr>
          <w:b/>
          <w:bCs/>
        </w:rPr>
        <w:t>2022</w:t>
      </w:r>
      <w:r w:rsidRPr="004F3891">
        <w:t xml:space="preserve">, </w:t>
      </w:r>
      <w:r w:rsidRPr="004F3891">
        <w:rPr>
          <w:i/>
          <w:iCs/>
        </w:rPr>
        <w:t>414</w:t>
      </w:r>
      <w:r w:rsidRPr="004F3891">
        <w:t xml:space="preserve"> (11), 3471–348. https://doi.org/10.1007/s00216-022-03968-x.</w:t>
      </w:r>
    </w:p>
    <w:p w14:paraId="3E7C3971" w14:textId="77777777" w:rsidR="004F3891" w:rsidRPr="004F3891" w:rsidRDefault="004F3891" w:rsidP="004F3891">
      <w:pPr>
        <w:pStyle w:val="Bibliografia"/>
      </w:pPr>
      <w:r w:rsidRPr="004F3891">
        <w:t>(5)</w:t>
      </w:r>
      <w:r w:rsidRPr="004F3891">
        <w:tab/>
        <w:t xml:space="preserve">Kamedulska, A.; Kubik, Ł.; Jacyna, J.; Struck-Lewicka, W.; Markuszewski, M. J.; Wiczling, P. Toward the General Mechanistic Model of Liquid Chromatographic Retention. </w:t>
      </w:r>
      <w:r w:rsidRPr="004F3891">
        <w:rPr>
          <w:i/>
          <w:iCs/>
        </w:rPr>
        <w:t>Anal. Chem.</w:t>
      </w:r>
      <w:r w:rsidRPr="004F3891">
        <w:t xml:space="preserve"> </w:t>
      </w:r>
      <w:r w:rsidRPr="004F3891">
        <w:rPr>
          <w:b/>
          <w:bCs/>
        </w:rPr>
        <w:t>2022</w:t>
      </w:r>
      <w:r w:rsidRPr="004F3891">
        <w:t xml:space="preserve">, </w:t>
      </w:r>
      <w:r w:rsidRPr="004F3891">
        <w:rPr>
          <w:i/>
          <w:iCs/>
        </w:rPr>
        <w:t>94</w:t>
      </w:r>
      <w:r w:rsidRPr="004F3891">
        <w:t xml:space="preserve"> (31), 11070–11080. https://doi.org/10.1021/acs.analchem.2c02034.</w:t>
      </w:r>
    </w:p>
    <w:p w14:paraId="3EB466BD" w14:textId="77777777" w:rsidR="004F3891" w:rsidRPr="004F3891" w:rsidRDefault="004F3891" w:rsidP="004F3891">
      <w:pPr>
        <w:pStyle w:val="Bibliografia"/>
      </w:pPr>
      <w:r w:rsidRPr="004F3891">
        <w:t>(6)</w:t>
      </w:r>
      <w:r w:rsidRPr="004F3891">
        <w:tab/>
        <w:t xml:space="preserve">Wiczling, P. Analyzing Chromatographic Data Using Multilevel Modeling. </w:t>
      </w:r>
      <w:r w:rsidRPr="004F3891">
        <w:rPr>
          <w:i/>
          <w:iCs/>
        </w:rPr>
        <w:t>Anal Bioanal Chem</w:t>
      </w:r>
      <w:r w:rsidRPr="004F3891">
        <w:t xml:space="preserve"> </w:t>
      </w:r>
      <w:r w:rsidRPr="004F3891">
        <w:rPr>
          <w:b/>
          <w:bCs/>
        </w:rPr>
        <w:t>2018</w:t>
      </w:r>
      <w:r w:rsidRPr="004F3891">
        <w:t xml:space="preserve">, </w:t>
      </w:r>
      <w:r w:rsidRPr="004F3891">
        <w:rPr>
          <w:i/>
          <w:iCs/>
        </w:rPr>
        <w:t>410</w:t>
      </w:r>
      <w:r w:rsidRPr="004F3891">
        <w:t xml:space="preserve"> (16), 3905–3915. https://doi.org/10.1007/s00216-018-1061-3.</w:t>
      </w:r>
    </w:p>
    <w:p w14:paraId="29D62D77" w14:textId="77777777" w:rsidR="004F3891" w:rsidRPr="004F3891" w:rsidRDefault="004F3891" w:rsidP="004F3891">
      <w:pPr>
        <w:pStyle w:val="Bibliografia"/>
      </w:pPr>
      <w:r w:rsidRPr="004F3891">
        <w:t>(7)</w:t>
      </w:r>
      <w:r w:rsidRPr="004F3891">
        <w:tab/>
        <w:t xml:space="preserve">Wiczling, P.; Kamedulska, A. Comparison of Chromatographic Stationary Phases Using a Bayesian-Based Multilevel Model. </w:t>
      </w:r>
      <w:r w:rsidRPr="004F3891">
        <w:rPr>
          <w:i/>
          <w:iCs/>
        </w:rPr>
        <w:t>Anal Chem</w:t>
      </w:r>
      <w:r w:rsidRPr="004F3891">
        <w:t xml:space="preserve"> </w:t>
      </w:r>
      <w:r w:rsidRPr="004F3891">
        <w:rPr>
          <w:b/>
          <w:bCs/>
        </w:rPr>
        <w:t>2024</w:t>
      </w:r>
      <w:r w:rsidRPr="004F3891">
        <w:t xml:space="preserve">, </w:t>
      </w:r>
      <w:r w:rsidRPr="004F3891">
        <w:rPr>
          <w:i/>
          <w:iCs/>
        </w:rPr>
        <w:t>96</w:t>
      </w:r>
      <w:r w:rsidRPr="004F3891">
        <w:t xml:space="preserve"> (3), 1310–1319. https://doi.org/10.1021/acs.analchem.3c04697.</w:t>
      </w:r>
    </w:p>
    <w:p w14:paraId="189AE8AD" w14:textId="77777777" w:rsidR="004F3891" w:rsidRPr="004F3891" w:rsidRDefault="004F3891" w:rsidP="004F3891">
      <w:pPr>
        <w:pStyle w:val="Bibliografia"/>
      </w:pPr>
      <w:r w:rsidRPr="004F3891">
        <w:t>(8)</w:t>
      </w:r>
      <w:r w:rsidRPr="004F3891">
        <w:tab/>
        <w:t xml:space="preserve">Kubik, Ł.; Kaliszan, R.; Wiczling, P. Analysis of Isocratic-Chromatographic-Retention Data Using Bayesian Multilevel Modeling. </w:t>
      </w:r>
      <w:r w:rsidRPr="004F3891">
        <w:rPr>
          <w:i/>
          <w:iCs/>
        </w:rPr>
        <w:t>Anal Chem</w:t>
      </w:r>
      <w:r w:rsidRPr="004F3891">
        <w:t xml:space="preserve"> </w:t>
      </w:r>
      <w:r w:rsidRPr="004F3891">
        <w:rPr>
          <w:b/>
          <w:bCs/>
        </w:rPr>
        <w:t>2018</w:t>
      </w:r>
      <w:r w:rsidRPr="004F3891">
        <w:t xml:space="preserve">, </w:t>
      </w:r>
      <w:r w:rsidRPr="004F3891">
        <w:rPr>
          <w:i/>
          <w:iCs/>
        </w:rPr>
        <w:t>90</w:t>
      </w:r>
      <w:r w:rsidRPr="004F3891">
        <w:t xml:space="preserve"> (22), 13670–13679. https://doi.org/10.1021/acs.analchem.8b04033.</w:t>
      </w:r>
    </w:p>
    <w:p w14:paraId="09DD0267" w14:textId="77777777" w:rsidR="004F3891" w:rsidRPr="004F3891" w:rsidRDefault="004F3891" w:rsidP="004F3891">
      <w:pPr>
        <w:pStyle w:val="Bibliografia"/>
      </w:pPr>
      <w:r w:rsidRPr="004F3891">
        <w:t>(9)</w:t>
      </w:r>
      <w:r w:rsidRPr="004F3891">
        <w:tab/>
        <w:t xml:space="preserve">Wiczling, P.; Kubik, Ł.; Kaliszan, R. Maximum A Posteriori Bayesian Estimation of Chromatographic Parameters by Limited Number of Experiments. </w:t>
      </w:r>
      <w:r w:rsidRPr="004F3891">
        <w:rPr>
          <w:i/>
          <w:iCs/>
        </w:rPr>
        <w:t>Anal Chem</w:t>
      </w:r>
      <w:r w:rsidRPr="004F3891">
        <w:t xml:space="preserve"> </w:t>
      </w:r>
      <w:r w:rsidRPr="004F3891">
        <w:rPr>
          <w:b/>
          <w:bCs/>
        </w:rPr>
        <w:t>2015</w:t>
      </w:r>
      <w:r w:rsidRPr="004F3891">
        <w:t xml:space="preserve">, </w:t>
      </w:r>
      <w:r w:rsidRPr="004F3891">
        <w:rPr>
          <w:i/>
          <w:iCs/>
        </w:rPr>
        <w:t>87</w:t>
      </w:r>
      <w:r w:rsidRPr="004F3891">
        <w:t xml:space="preserve"> (14), 7241–7249. https://doi.org/10.1021/acs.analchem.5b01195.</w:t>
      </w:r>
    </w:p>
    <w:p w14:paraId="7EB1DCD1" w14:textId="77777777" w:rsidR="004F3891" w:rsidRPr="004F3891" w:rsidRDefault="004F3891" w:rsidP="004F3891">
      <w:pPr>
        <w:pStyle w:val="Bibliografia"/>
      </w:pPr>
      <w:r w:rsidRPr="004F3891">
        <w:t>(10)</w:t>
      </w:r>
      <w:r w:rsidRPr="004F3891">
        <w:tab/>
      </w:r>
      <w:r w:rsidRPr="004F3891">
        <w:rPr>
          <w:i/>
          <w:iCs/>
        </w:rPr>
        <w:t>retentionprediction.org/hplc - accurate HPLC retention prediction</w:t>
      </w:r>
      <w:r w:rsidRPr="004F3891">
        <w:t>. https://www.retentionprediction.org/hplc/database/ (accessed 2025-07-17).</w:t>
      </w:r>
    </w:p>
    <w:p w14:paraId="08712EFF" w14:textId="77777777" w:rsidR="004F3891" w:rsidRPr="004F3891" w:rsidRDefault="004F3891" w:rsidP="004F3891">
      <w:pPr>
        <w:pStyle w:val="Bibliografia"/>
      </w:pPr>
      <w:r w:rsidRPr="004F3891">
        <w:t>(11)</w:t>
      </w:r>
      <w:r w:rsidRPr="004F3891">
        <w:tab/>
        <w:t xml:space="preserve">Boswell, P. G.; Schellenberg, J. R.; Carr, P. W.; Cohen, J. D.; Hegeman, A. D. A Study on Retention “Projection” as a Supplementary Means for Compound Identification by Liquid Chromatography–Mass Spectrometry Capable of Predicting Retention with Different Gradients, Flow Rates, and Instruments. </w:t>
      </w:r>
      <w:r w:rsidRPr="004F3891">
        <w:rPr>
          <w:i/>
          <w:iCs/>
        </w:rPr>
        <w:t>Journal of Chromatography A</w:t>
      </w:r>
      <w:r w:rsidRPr="004F3891">
        <w:t xml:space="preserve"> </w:t>
      </w:r>
      <w:r w:rsidRPr="004F3891">
        <w:rPr>
          <w:b/>
          <w:bCs/>
        </w:rPr>
        <w:t>2011</w:t>
      </w:r>
      <w:r w:rsidRPr="004F3891">
        <w:t xml:space="preserve">, </w:t>
      </w:r>
      <w:r w:rsidRPr="004F3891">
        <w:rPr>
          <w:i/>
          <w:iCs/>
        </w:rPr>
        <w:t>1218</w:t>
      </w:r>
      <w:r w:rsidRPr="004F3891">
        <w:t xml:space="preserve"> (38), 6732–6741. https://doi.org/10.1016/j.chroma.2011.07.105.</w:t>
      </w:r>
    </w:p>
    <w:p w14:paraId="7924A3DB" w14:textId="77777777" w:rsidR="004F3891" w:rsidRPr="004F3891" w:rsidRDefault="004F3891" w:rsidP="004F3891">
      <w:pPr>
        <w:pStyle w:val="Bibliografia"/>
      </w:pPr>
      <w:r w:rsidRPr="004F3891">
        <w:t>(12)</w:t>
      </w:r>
      <w:r w:rsidRPr="004F3891">
        <w:tab/>
        <w:t xml:space="preserve">Boswell, P. G.; Schellenberg, J. R.; Carr, P. W.; Cohen, J. D.; Hegeman, A. D. Easy and Accurate High-Performance Liquid Chromatography Retention Prediction with Different Gradients, Flow Rates, and Instruments by Back-Calculation of Gradient and Flow Rate Profiles. </w:t>
      </w:r>
      <w:r w:rsidRPr="004F3891">
        <w:rPr>
          <w:i/>
          <w:iCs/>
        </w:rPr>
        <w:t>Journal of Chromatography A</w:t>
      </w:r>
      <w:r w:rsidRPr="004F3891">
        <w:t xml:space="preserve"> </w:t>
      </w:r>
      <w:r w:rsidRPr="004F3891">
        <w:rPr>
          <w:b/>
          <w:bCs/>
        </w:rPr>
        <w:t>2011</w:t>
      </w:r>
      <w:r w:rsidRPr="004F3891">
        <w:t xml:space="preserve">, </w:t>
      </w:r>
      <w:r w:rsidRPr="004F3891">
        <w:rPr>
          <w:i/>
          <w:iCs/>
        </w:rPr>
        <w:t>1218</w:t>
      </w:r>
      <w:r w:rsidRPr="004F3891">
        <w:t xml:space="preserve"> (38), 6742–6749. https://doi.org/10.1016/j.chroma.2011.07.070.</w:t>
      </w:r>
    </w:p>
    <w:p w14:paraId="0DAF03BE" w14:textId="77777777" w:rsidR="004F3891" w:rsidRPr="004F3891" w:rsidRDefault="004F3891" w:rsidP="004F3891">
      <w:pPr>
        <w:pStyle w:val="Bibliografia"/>
      </w:pPr>
      <w:r w:rsidRPr="004F3891">
        <w:t>(13)</w:t>
      </w:r>
      <w:r w:rsidRPr="004F3891">
        <w:tab/>
        <w:t>Landrum, G.; Tosco, P.; Kelley, B.; Rodriguez, R.; Cosgrove, D.; Vianello, R.; sriniker; Gedeck, P.; Jones, G.; Kawashima, E.; NadineSchneider; Nealschneider, D.; Dalke, A.; Swain, M.; Cole, B.; tadhurst-cdd; Turk, S.; Savelev, A.; Vaucher, A.; Wójcikowski, M.; Take, I.; Walker, R.; Scalfani, V. F.; Faara, H.; Ujihara, K.; Probst, D.; Maeder, N.; Monat, J.; Lehtivarjo, J.; godin,  guillaume. Rdkit/Rdkit: 2025_03_4 (Q1 2025) Release, 2025. https://doi.org/10.5281/zenodo.15773589.</w:t>
      </w:r>
    </w:p>
    <w:p w14:paraId="0E2F5B2E" w14:textId="77777777" w:rsidR="004F3891" w:rsidRPr="004F3891" w:rsidRDefault="004F3891" w:rsidP="004F3891">
      <w:pPr>
        <w:pStyle w:val="Bibliografia"/>
      </w:pPr>
      <w:r w:rsidRPr="004F3891">
        <w:t>(14)</w:t>
      </w:r>
      <w:r w:rsidRPr="004F3891">
        <w:tab/>
        <w:t xml:space="preserve">Nikitas, P.; Pappa-Louisi, A. Retention Models for Isocratic and Gradient Elution in Reversed-Phase Liquid Chromatography. </w:t>
      </w:r>
      <w:r w:rsidRPr="004F3891">
        <w:rPr>
          <w:i/>
          <w:iCs/>
        </w:rPr>
        <w:t>Journal of Chromatography A</w:t>
      </w:r>
      <w:r w:rsidRPr="004F3891">
        <w:t xml:space="preserve"> </w:t>
      </w:r>
      <w:r w:rsidRPr="004F3891">
        <w:rPr>
          <w:b/>
          <w:bCs/>
        </w:rPr>
        <w:t>2009</w:t>
      </w:r>
      <w:r w:rsidRPr="004F3891">
        <w:t xml:space="preserve">, </w:t>
      </w:r>
      <w:r w:rsidRPr="004F3891">
        <w:rPr>
          <w:i/>
          <w:iCs/>
        </w:rPr>
        <w:t>1216</w:t>
      </w:r>
      <w:r w:rsidRPr="004F3891">
        <w:t xml:space="preserve"> (10), 1737–1755. https://doi.org/10.1016/j.chroma.2008.09.051.</w:t>
      </w:r>
    </w:p>
    <w:p w14:paraId="49C9AE4E" w14:textId="77777777" w:rsidR="004F3891" w:rsidRPr="004F3891" w:rsidRDefault="004F3891" w:rsidP="004F3891">
      <w:pPr>
        <w:pStyle w:val="Bibliografia"/>
      </w:pPr>
      <w:r w:rsidRPr="004F3891">
        <w:t>(15)</w:t>
      </w:r>
      <w:r w:rsidRPr="004F3891">
        <w:tab/>
        <w:t xml:space="preserve">Carpenter, B.; Gelman, A.; Hoffman, M. D.; Lee, D.; Goodrich, B.; Betancourt, M.; Brubaker, M.; Guo, J.; Li, P.; Riddell, A. Stan: A Probabilistic Programming Language. </w:t>
      </w:r>
      <w:r w:rsidRPr="004F3891">
        <w:rPr>
          <w:i/>
          <w:iCs/>
        </w:rPr>
        <w:t>Journal of statistical software</w:t>
      </w:r>
      <w:r w:rsidRPr="004F3891">
        <w:t xml:space="preserve"> </w:t>
      </w:r>
      <w:r w:rsidRPr="004F3891">
        <w:rPr>
          <w:b/>
          <w:bCs/>
        </w:rPr>
        <w:t>2017</w:t>
      </w:r>
      <w:r w:rsidRPr="004F3891">
        <w:t xml:space="preserve">, </w:t>
      </w:r>
      <w:r w:rsidRPr="004F3891">
        <w:rPr>
          <w:i/>
          <w:iCs/>
        </w:rPr>
        <w:t>76</w:t>
      </w:r>
      <w:r w:rsidRPr="004F3891">
        <w:t xml:space="preserve"> (1).</w:t>
      </w:r>
    </w:p>
    <w:p w14:paraId="5930C1D2" w14:textId="77777777" w:rsidR="004F3891" w:rsidRPr="004F3891" w:rsidRDefault="004F3891" w:rsidP="004F3891">
      <w:pPr>
        <w:pStyle w:val="Bibliografia"/>
      </w:pPr>
      <w:r w:rsidRPr="004F3891">
        <w:t>(16)</w:t>
      </w:r>
      <w:r w:rsidRPr="004F3891">
        <w:tab/>
        <w:t xml:space="preserve">RStudio Team. </w:t>
      </w:r>
      <w:r w:rsidRPr="004F3891">
        <w:rPr>
          <w:i/>
          <w:iCs/>
        </w:rPr>
        <w:t>RStudio: Integrated Development Environment for R</w:t>
      </w:r>
      <w:r w:rsidRPr="004F3891">
        <w:t>; RStudio, PBC.: Boston, MA, 2020.</w:t>
      </w:r>
    </w:p>
    <w:p w14:paraId="3E888D2D" w14:textId="77777777" w:rsidR="004F3891" w:rsidRPr="004F3891" w:rsidRDefault="004F3891" w:rsidP="004F3891">
      <w:pPr>
        <w:pStyle w:val="Bibliografia"/>
      </w:pPr>
      <w:r w:rsidRPr="004F3891">
        <w:t>(17)</w:t>
      </w:r>
      <w:r w:rsidRPr="004F3891">
        <w:tab/>
        <w:t xml:space="preserve">Gritti, F. Perspective on the Future Approaches to Predict Retention in Liquid Chromatography. </w:t>
      </w:r>
      <w:r w:rsidRPr="004F3891">
        <w:rPr>
          <w:i/>
          <w:iCs/>
        </w:rPr>
        <w:t>Anal. Chem.</w:t>
      </w:r>
      <w:r w:rsidRPr="004F3891">
        <w:t xml:space="preserve"> </w:t>
      </w:r>
      <w:r w:rsidRPr="004F3891">
        <w:rPr>
          <w:b/>
          <w:bCs/>
        </w:rPr>
        <w:t>2021</w:t>
      </w:r>
      <w:r w:rsidRPr="004F3891">
        <w:t xml:space="preserve">, </w:t>
      </w:r>
      <w:r w:rsidRPr="004F3891">
        <w:rPr>
          <w:i/>
          <w:iCs/>
        </w:rPr>
        <w:t>93</w:t>
      </w:r>
      <w:r w:rsidRPr="004F3891">
        <w:t xml:space="preserve"> (14), 5653–5664. https://doi.org/10.1021/acs.analchem.0c05078.</w:t>
      </w:r>
    </w:p>
    <w:p w14:paraId="179CC2CE" w14:textId="77777777" w:rsidR="004F3891" w:rsidRPr="004F3891" w:rsidRDefault="004F3891" w:rsidP="004F3891">
      <w:pPr>
        <w:pStyle w:val="Bibliografia"/>
      </w:pPr>
      <w:r w:rsidRPr="004F3891">
        <w:t>(18)</w:t>
      </w:r>
      <w:r w:rsidRPr="004F3891">
        <w:tab/>
        <w:t xml:space="preserve">Wiczling, P. Evaluation of Sequential Bayesian-Based Method Development Procedures for Chromatographic Problems Involving One, Two, and Three Analytes. </w:t>
      </w:r>
      <w:r w:rsidRPr="004F3891">
        <w:rPr>
          <w:i/>
          <w:iCs/>
        </w:rPr>
        <w:t>SEPARATION SCIENCE PLUS</w:t>
      </w:r>
      <w:r w:rsidRPr="004F3891">
        <w:t xml:space="preserve">, 2018, </w:t>
      </w:r>
      <w:r w:rsidRPr="004F3891">
        <w:rPr>
          <w:i/>
          <w:iCs/>
        </w:rPr>
        <w:t>1</w:t>
      </w:r>
      <w:r w:rsidRPr="004F3891">
        <w:t>, 63–75. https://doi.org/10.1002/sscp.201700037.</w:t>
      </w:r>
    </w:p>
    <w:p w14:paraId="73EA08F0" w14:textId="77777777" w:rsidR="004F3891" w:rsidRPr="004F3891" w:rsidRDefault="004F3891" w:rsidP="004F3891">
      <w:pPr>
        <w:pStyle w:val="Bibliografia"/>
      </w:pPr>
      <w:r w:rsidRPr="004F3891">
        <w:lastRenderedPageBreak/>
        <w:t>(19)</w:t>
      </w:r>
      <w:r w:rsidRPr="004F3891">
        <w:tab/>
        <w:t xml:space="preserve">Yamamoto, Y.; Yajima, T.; Kawajiri, Y. Uncertainty Quantification for Chromatography Model Parameters by Bayesian Inference Using Sequential Monte Carlo Method. </w:t>
      </w:r>
      <w:r w:rsidRPr="004F3891">
        <w:rPr>
          <w:i/>
          <w:iCs/>
        </w:rPr>
        <w:t>Chemical Engineering Research and Design</w:t>
      </w:r>
      <w:r w:rsidRPr="004F3891">
        <w:t xml:space="preserve"> </w:t>
      </w:r>
      <w:r w:rsidRPr="004F3891">
        <w:rPr>
          <w:b/>
          <w:bCs/>
        </w:rPr>
        <w:t>2021</w:t>
      </w:r>
      <w:r w:rsidRPr="004F3891">
        <w:t xml:space="preserve">, </w:t>
      </w:r>
      <w:r w:rsidRPr="004F3891">
        <w:rPr>
          <w:i/>
          <w:iCs/>
        </w:rPr>
        <w:t>175</w:t>
      </w:r>
      <w:r w:rsidRPr="004F3891">
        <w:t>, 223–237. https://doi.org/10.1016/j.cherd.2021.09.003.</w:t>
      </w:r>
    </w:p>
    <w:p w14:paraId="7465D08D" w14:textId="77777777" w:rsidR="004F3891" w:rsidRPr="004F3891" w:rsidRDefault="004F3891" w:rsidP="004F3891">
      <w:pPr>
        <w:pStyle w:val="Bibliografia"/>
      </w:pPr>
      <w:r w:rsidRPr="004F3891">
        <w:t>(20)</w:t>
      </w:r>
      <w:r w:rsidRPr="004F3891">
        <w:tab/>
        <w:t xml:space="preserve">Bosten, E.; Pardon, M.; Chen, K.; Koppen, V.; Van Herck, G.; Hellings, M.; Cabooter, D. Assisted Active Learning for Model-Based Method Development in Liquid </w:t>
      </w:r>
      <w:r w:rsidRPr="004F3891">
        <w:t xml:space="preserve">Chromatography. </w:t>
      </w:r>
      <w:r w:rsidRPr="004F3891">
        <w:rPr>
          <w:i/>
          <w:iCs/>
        </w:rPr>
        <w:t>Anal. Chem.</w:t>
      </w:r>
      <w:r w:rsidRPr="004F3891">
        <w:t xml:space="preserve"> </w:t>
      </w:r>
      <w:r w:rsidRPr="004F3891">
        <w:rPr>
          <w:b/>
          <w:bCs/>
        </w:rPr>
        <w:t>2024</w:t>
      </w:r>
      <w:r w:rsidRPr="004F3891">
        <w:t xml:space="preserve">, </w:t>
      </w:r>
      <w:r w:rsidRPr="004F3891">
        <w:rPr>
          <w:i/>
          <w:iCs/>
        </w:rPr>
        <w:t>96</w:t>
      </w:r>
      <w:r w:rsidRPr="004F3891">
        <w:t xml:space="preserve"> (33), 13699–13709. https://doi.org/10.1021/acs.analchem.4c02700.</w:t>
      </w:r>
    </w:p>
    <w:p w14:paraId="00FEAAB0" w14:textId="77777777" w:rsidR="004F3891" w:rsidRPr="004F3891" w:rsidRDefault="004F3891" w:rsidP="004F3891">
      <w:pPr>
        <w:pStyle w:val="Bibliografia"/>
      </w:pPr>
      <w:r w:rsidRPr="004F3891">
        <w:t>(21)</w:t>
      </w:r>
      <w:r w:rsidRPr="004F3891">
        <w:tab/>
        <w:t xml:space="preserve">Wiczling, P. Leveraging Prior Knowledge for Improved Retention Prediction in Reversed-Phase HPLC. </w:t>
      </w:r>
      <w:r w:rsidRPr="004F3891">
        <w:rPr>
          <w:i/>
          <w:iCs/>
        </w:rPr>
        <w:t>J Chromatogr A</w:t>
      </w:r>
      <w:r w:rsidRPr="004F3891">
        <w:t xml:space="preserve"> </w:t>
      </w:r>
      <w:r w:rsidRPr="004F3891">
        <w:rPr>
          <w:b/>
          <w:bCs/>
        </w:rPr>
        <w:t>2025</w:t>
      </w:r>
      <w:r w:rsidRPr="004F3891">
        <w:t xml:space="preserve">, </w:t>
      </w:r>
      <w:r w:rsidRPr="004F3891">
        <w:rPr>
          <w:i/>
          <w:iCs/>
        </w:rPr>
        <w:t>1746</w:t>
      </w:r>
      <w:r w:rsidRPr="004F3891">
        <w:t>, 465787. https://doi.org/10.1016/j.chroma.2025.465787.</w:t>
      </w:r>
    </w:p>
    <w:p w14:paraId="585A3563" w14:textId="635FFA2B"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3795" w14:textId="77777777" w:rsidR="006F1E27" w:rsidRDefault="006F1E27" w:rsidP="006F1F34">
      <w:r>
        <w:separator/>
      </w:r>
    </w:p>
    <w:p w14:paraId="48792DFD" w14:textId="77777777" w:rsidR="006F1E27" w:rsidRDefault="006F1E27"/>
    <w:p w14:paraId="6BE61B19" w14:textId="77777777" w:rsidR="006F1E27" w:rsidRDefault="006F1E27" w:rsidP="001A093C"/>
  </w:endnote>
  <w:endnote w:type="continuationSeparator" w:id="0">
    <w:p w14:paraId="29EDC608" w14:textId="77777777" w:rsidR="006F1E27" w:rsidRDefault="006F1E27" w:rsidP="006F1F34">
      <w:r>
        <w:continuationSeparator/>
      </w:r>
    </w:p>
    <w:p w14:paraId="21D2E6F7" w14:textId="77777777" w:rsidR="006F1E27" w:rsidRDefault="006F1E27"/>
    <w:p w14:paraId="32F36534" w14:textId="77777777" w:rsidR="006F1E27" w:rsidRDefault="006F1E27" w:rsidP="001A093C"/>
  </w:endnote>
  <w:endnote w:type="continuationNotice" w:id="1">
    <w:p w14:paraId="0BEBA3CE" w14:textId="77777777" w:rsidR="006F1E27" w:rsidRDefault="006F1E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A208" w14:textId="77777777" w:rsidR="006F1E27" w:rsidRDefault="006F1E27" w:rsidP="006F1F34">
      <w:r>
        <w:separator/>
      </w:r>
    </w:p>
    <w:p w14:paraId="04FAFD74" w14:textId="77777777" w:rsidR="006F1E27" w:rsidRDefault="006F1E27"/>
    <w:p w14:paraId="2BD9F806" w14:textId="77777777" w:rsidR="006F1E27" w:rsidRDefault="006F1E27" w:rsidP="001A093C"/>
  </w:footnote>
  <w:footnote w:type="continuationSeparator" w:id="0">
    <w:p w14:paraId="5AA5B68D" w14:textId="77777777" w:rsidR="006F1E27" w:rsidRDefault="006F1E27" w:rsidP="006F1F34">
      <w:r>
        <w:continuationSeparator/>
      </w:r>
    </w:p>
    <w:p w14:paraId="225912D8" w14:textId="77777777" w:rsidR="006F1E27" w:rsidRDefault="006F1E27"/>
    <w:p w14:paraId="4E34B738" w14:textId="77777777" w:rsidR="006F1E27" w:rsidRDefault="006F1E27" w:rsidP="001A093C"/>
  </w:footnote>
  <w:footnote w:type="continuationNotice" w:id="1">
    <w:p w14:paraId="73F13815" w14:textId="77777777" w:rsidR="006F1E27" w:rsidRDefault="006F1E2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6291A"/>
    <w:rsid w:val="001636BC"/>
    <w:rsid w:val="00164575"/>
    <w:rsid w:val="001657D6"/>
    <w:rsid w:val="00165F8A"/>
    <w:rsid w:val="001661BC"/>
    <w:rsid w:val="001713CC"/>
    <w:rsid w:val="00171E12"/>
    <w:rsid w:val="00171F9A"/>
    <w:rsid w:val="0017275F"/>
    <w:rsid w:val="0017280D"/>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06A6"/>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7DB8"/>
    <w:rsid w:val="00512071"/>
    <w:rsid w:val="00515167"/>
    <w:rsid w:val="00515C88"/>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397D"/>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08A3"/>
    <w:rsid w:val="006E17D8"/>
    <w:rsid w:val="006E1E62"/>
    <w:rsid w:val="006E2C23"/>
    <w:rsid w:val="006E5935"/>
    <w:rsid w:val="006F1693"/>
    <w:rsid w:val="006F1E27"/>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EB1"/>
    <w:rsid w:val="007520F5"/>
    <w:rsid w:val="00753B1E"/>
    <w:rsid w:val="007540D5"/>
    <w:rsid w:val="00757925"/>
    <w:rsid w:val="0076092D"/>
    <w:rsid w:val="0076416D"/>
    <w:rsid w:val="00764728"/>
    <w:rsid w:val="00765DDF"/>
    <w:rsid w:val="0076762D"/>
    <w:rsid w:val="00772DE4"/>
    <w:rsid w:val="00776122"/>
    <w:rsid w:val="00780058"/>
    <w:rsid w:val="0078119E"/>
    <w:rsid w:val="00781CEB"/>
    <w:rsid w:val="007868A6"/>
    <w:rsid w:val="00790630"/>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0E42"/>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44285"/>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6D59"/>
    <w:rsid w:val="00AE7D14"/>
    <w:rsid w:val="00AF1DF4"/>
    <w:rsid w:val="00AF22DD"/>
    <w:rsid w:val="00AF4C52"/>
    <w:rsid w:val="00AF5FF7"/>
    <w:rsid w:val="00AF6DD2"/>
    <w:rsid w:val="00AF71C7"/>
    <w:rsid w:val="00AF74A3"/>
    <w:rsid w:val="00AF75C5"/>
    <w:rsid w:val="00AF7E28"/>
    <w:rsid w:val="00B0126E"/>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502BE"/>
    <w:rsid w:val="00C51848"/>
    <w:rsid w:val="00C54CD2"/>
    <w:rsid w:val="00C60E40"/>
    <w:rsid w:val="00C64622"/>
    <w:rsid w:val="00C70A0C"/>
    <w:rsid w:val="00C70BC1"/>
    <w:rsid w:val="00C74C47"/>
    <w:rsid w:val="00C74E0F"/>
    <w:rsid w:val="00C8386A"/>
    <w:rsid w:val="00C85A68"/>
    <w:rsid w:val="00C87F21"/>
    <w:rsid w:val="00C92446"/>
    <w:rsid w:val="00C93B31"/>
    <w:rsid w:val="00C96867"/>
    <w:rsid w:val="00C97DE9"/>
    <w:rsid w:val="00CA253C"/>
    <w:rsid w:val="00CA666C"/>
    <w:rsid w:val="00CB00D3"/>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3E1B"/>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6</Pages>
  <Words>12793</Words>
  <Characters>72924</Characters>
  <Application>Microsoft Office Word</Application>
  <DocSecurity>0</DocSecurity>
  <Lines>607</Lines>
  <Paragraphs>171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36</cp:revision>
  <dcterms:created xsi:type="dcterms:W3CDTF">2023-10-17T17:42:00Z</dcterms:created>
  <dcterms:modified xsi:type="dcterms:W3CDTF">2025-07-30T07:16:00Z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id="PacCHEoT"/&gt;&lt;style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