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32701" w14:textId="347A60DB" w:rsidR="00403C94" w:rsidRPr="00FA3BD2" w:rsidRDefault="00336C63" w:rsidP="00FA3BD2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33986796"/>
      <w:proofErr w:type="spellStart"/>
      <w:r w:rsidRPr="00FA3BD2">
        <w:rPr>
          <w:rFonts w:ascii="Times New Roman" w:hAnsi="Times New Roman" w:cs="Times New Roman"/>
          <w:b/>
          <w:bCs/>
          <w:sz w:val="24"/>
          <w:szCs w:val="24"/>
        </w:rPr>
        <w:t>Pengantar</w:t>
      </w:r>
      <w:proofErr w:type="spellEnd"/>
    </w:p>
    <w:p w14:paraId="00ED88CD" w14:textId="09E839E6" w:rsidR="00BE4902" w:rsidRPr="00FA3BD2" w:rsidRDefault="00EC2244" w:rsidP="00FA3BD2">
      <w:pPr>
        <w:pStyle w:val="ListParagraph"/>
        <w:spacing w:line="276" w:lineRule="auto"/>
        <w:ind w:left="0" w:firstLine="426"/>
        <w:jc w:val="both"/>
        <w:rPr>
          <w:rFonts w:ascii="Times New Roman" w:hAnsi="Times New Roman" w:cs="Times New Roman"/>
          <w:color w:val="222222"/>
          <w:sz w:val="24"/>
          <w:szCs w:val="24"/>
          <w:lang w:val="id-ID"/>
        </w:rPr>
      </w:pP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Makalah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memetakan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perubahan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pandangan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institusi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tenaga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pasar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perspektif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fleksibilitas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ekonomi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makro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ekonomi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mikro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r w:rsidRPr="00FA3BD2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Lembaga </w:t>
      </w:r>
      <w:r w:rsidR="00432866" w:rsidRPr="00FA3BD2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pasar </w:t>
      </w:r>
      <w:r w:rsidRPr="00FA3BD2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tenaga kerja </w:t>
      </w:r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 xml:space="preserve">yang </w:t>
      </w:r>
      <w:proofErr w:type="spellStart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>spesifik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diteliti di sini adalah perundingan bersama</w:t>
      </w:r>
      <w:r w:rsidR="00CE05DF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(collective bargaining)</w:t>
      </w:r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 xml:space="preserve"> — </w:t>
      </w:r>
      <w:proofErr w:type="spellStart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>sedangkan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 xml:space="preserve">lembaga </w:t>
      </w:r>
      <w:r w:rsidR="00432866" w:rsidRPr="00FA3BD2">
        <w:rPr>
          <w:rFonts w:ascii="Times New Roman" w:hAnsi="Times New Roman" w:cs="Times New Roman"/>
          <w:color w:val="222222"/>
          <w:sz w:val="24"/>
          <w:szCs w:val="24"/>
        </w:rPr>
        <w:t>pasar</w:t>
      </w:r>
      <w:r w:rsidR="00432866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 xml:space="preserve"> </w:t>
      </w:r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 xml:space="preserve">tenaga kerja lainnya </w:t>
      </w:r>
      <w:proofErr w:type="spellStart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>hanya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akan</w:t>
      </w:r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disebutkan</w:t>
      </w:r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secara sepintas.</w:t>
      </w:r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>membahas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>fleksibilitas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>realokasi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>kebutuhan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>ekonomi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>mikro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>, k</w:t>
      </w:r>
      <w:r w:rsidR="00CE05DF">
        <w:rPr>
          <w:rFonts w:ascii="Times New Roman" w:hAnsi="Times New Roman" w:cs="Times New Roman"/>
          <w:color w:val="222222"/>
          <w:sz w:val="24"/>
          <w:szCs w:val="24"/>
        </w:rPr>
        <w:t>ami</w:t>
      </w:r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>akan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>lebih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>lebih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>fokus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>terhadap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>fleksibilitas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>perusahaan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>pertimbangan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>penyesuaian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>eksternal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r w:rsidR="009E3AF2" w:rsidRPr="00FA3BD2">
        <w:rPr>
          <w:rFonts w:ascii="Times New Roman" w:hAnsi="Times New Roman" w:cs="Times New Roman"/>
          <w:color w:val="222222"/>
          <w:sz w:val="24"/>
          <w:szCs w:val="24"/>
          <w:lang w:val="id-ID"/>
        </w:rPr>
        <w:t>Diskusi k</w:t>
      </w:r>
      <w:proofErr w:type="spellStart"/>
      <w:r w:rsidR="00432866" w:rsidRPr="00FA3BD2">
        <w:rPr>
          <w:rFonts w:ascii="Times New Roman" w:hAnsi="Times New Roman" w:cs="Times New Roman"/>
          <w:color w:val="222222"/>
          <w:sz w:val="24"/>
          <w:szCs w:val="24"/>
        </w:rPr>
        <w:t>ami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 </w:t>
      </w:r>
      <w:proofErr w:type="spellStart"/>
      <w:r w:rsidR="00432866" w:rsidRPr="00FA3BD2">
        <w:rPr>
          <w:rFonts w:ascii="Times New Roman" w:hAnsi="Times New Roman" w:cs="Times New Roman"/>
          <w:color w:val="222222"/>
          <w:sz w:val="24"/>
          <w:szCs w:val="24"/>
        </w:rPr>
        <w:t>tentang</w:t>
      </w:r>
      <w:proofErr w:type="spellEnd"/>
      <w:r w:rsidR="00432866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9E3AF2" w:rsidRPr="00FA3BD2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fleksibilitas ekonomi makro </w:t>
      </w:r>
      <w:proofErr w:type="spellStart"/>
      <w:r w:rsidR="00432866" w:rsidRPr="00FA3BD2">
        <w:rPr>
          <w:rFonts w:ascii="Times New Roman" w:hAnsi="Times New Roman" w:cs="Times New Roman"/>
          <w:color w:val="222222"/>
          <w:sz w:val="24"/>
          <w:szCs w:val="24"/>
        </w:rPr>
        <w:t>berpusat</w:t>
      </w:r>
      <w:proofErr w:type="spellEnd"/>
      <w:r w:rsidR="00432866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pada</w:t>
      </w:r>
      <w:r w:rsidR="009E3AF2" w:rsidRPr="00FA3BD2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 kemampuan ekonomi untuk mempertahankan </w:t>
      </w:r>
      <w:r w:rsidR="00403C94" w:rsidRPr="00FA3BD2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rata-rata </w:t>
      </w:r>
      <w:r w:rsidR="009E3AF2" w:rsidRPr="00FA3BD2">
        <w:rPr>
          <w:rFonts w:ascii="Times New Roman" w:hAnsi="Times New Roman" w:cs="Times New Roman"/>
          <w:color w:val="222222"/>
          <w:sz w:val="24"/>
          <w:szCs w:val="24"/>
          <w:lang w:val="id-ID"/>
        </w:rPr>
        <w:t>tingkat pengangguran yang rendah</w:t>
      </w:r>
      <w:r w:rsidR="00403C94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9E3AF2" w:rsidRPr="00FA3BD2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dan untuk membatasi fluktuasi tingkat pengangguran </w:t>
      </w:r>
      <w:proofErr w:type="spellStart"/>
      <w:r w:rsidR="00432866"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432866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32866" w:rsidRPr="00FA3BD2">
        <w:rPr>
          <w:rFonts w:ascii="Times New Roman" w:hAnsi="Times New Roman" w:cs="Times New Roman"/>
          <w:color w:val="222222"/>
          <w:sz w:val="24"/>
          <w:szCs w:val="24"/>
        </w:rPr>
        <w:t>menanggapi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 guncangan</w:t>
      </w:r>
      <w:r w:rsidR="00403C94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403C94" w:rsidRPr="00FA3BD2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di bawah </w:t>
      </w:r>
      <w:proofErr w:type="spellStart"/>
      <w:r w:rsidR="00432866" w:rsidRPr="00FA3BD2">
        <w:rPr>
          <w:rFonts w:ascii="Times New Roman" w:hAnsi="Times New Roman" w:cs="Times New Roman"/>
          <w:color w:val="222222"/>
          <w:sz w:val="24"/>
          <w:szCs w:val="24"/>
        </w:rPr>
        <w:t>berbagai</w:t>
      </w:r>
      <w:proofErr w:type="spellEnd"/>
      <w:r w:rsidR="00432866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32866" w:rsidRPr="00FA3BD2">
        <w:rPr>
          <w:rFonts w:ascii="Times New Roman" w:hAnsi="Times New Roman" w:cs="Times New Roman"/>
          <w:color w:val="222222"/>
          <w:sz w:val="24"/>
          <w:szCs w:val="24"/>
        </w:rPr>
        <w:t>rezim</w:t>
      </w:r>
      <w:proofErr w:type="spellEnd"/>
      <w:r w:rsidR="00432866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32866" w:rsidRPr="00FA3BD2">
        <w:rPr>
          <w:rFonts w:ascii="Times New Roman" w:hAnsi="Times New Roman" w:cs="Times New Roman"/>
          <w:color w:val="222222"/>
          <w:sz w:val="24"/>
          <w:szCs w:val="24"/>
        </w:rPr>
        <w:t>perundingan</w:t>
      </w:r>
      <w:proofErr w:type="spellEnd"/>
      <w:r w:rsidR="00432866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32866" w:rsidRPr="00FA3BD2">
        <w:rPr>
          <w:rFonts w:ascii="Times New Roman" w:hAnsi="Times New Roman" w:cs="Times New Roman"/>
          <w:color w:val="222222"/>
          <w:sz w:val="24"/>
          <w:szCs w:val="24"/>
        </w:rPr>
        <w:t>bersama</w:t>
      </w:r>
      <w:proofErr w:type="spellEnd"/>
      <w:r w:rsidR="009E3AF2" w:rsidRPr="00FA3BD2">
        <w:rPr>
          <w:rFonts w:ascii="Times New Roman" w:hAnsi="Times New Roman" w:cs="Times New Roman"/>
          <w:color w:val="222222"/>
          <w:sz w:val="24"/>
          <w:szCs w:val="24"/>
          <w:lang w:val="id-ID"/>
        </w:rPr>
        <w:t>.</w:t>
      </w:r>
    </w:p>
    <w:p w14:paraId="17C4FB31" w14:textId="3D795C8D" w:rsidR="00BE4902" w:rsidRPr="00FA3BD2" w:rsidRDefault="00F30F95" w:rsidP="00FA3BD2">
      <w:pPr>
        <w:pStyle w:val="ListParagraph"/>
        <w:spacing w:line="276" w:lineRule="auto"/>
        <w:ind w:left="0" w:firstLine="42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 xml:space="preserve">Dalam membahas fleksibilitas mikro, bukti bahwa </w:t>
      </w:r>
      <w:proofErr w:type="spellStart"/>
      <w:r w:rsidR="00432866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serikat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 xml:space="preserve"> pekerja dikaitkan dengan kekakuan upah</w:t>
      </w:r>
      <w:r w:rsidR="00336C63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yang </w:t>
      </w:r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me</w:t>
      </w:r>
      <w:proofErr w:type="spellStart"/>
      <w:r w:rsidR="00432866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nghambat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 xml:space="preserve"> realokasi</w:t>
      </w:r>
      <w:r w:rsidR="00432866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 xml:space="preserve"> pasar</w:t>
      </w:r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 xml:space="preserve"> tenaga kerja </w:t>
      </w:r>
      <w:proofErr w:type="spellStart"/>
      <w:r w:rsidR="00336C63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sehingga</w:t>
      </w:r>
      <w:proofErr w:type="spellEnd"/>
      <w:r w:rsidR="00336C63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harus dipertimbangkan dalam konteks tingkat perundingan</w:t>
      </w:r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 xml:space="preserve">serta di samping stimulus nyata yang diberikan </w:t>
      </w:r>
      <w:proofErr w:type="spellStart"/>
      <w:r w:rsidR="00336C63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untuk</w:t>
      </w:r>
      <w:proofErr w:type="spellEnd"/>
      <w:r w:rsidR="00336C63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336C63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penyesuaian</w:t>
      </w:r>
      <w:proofErr w:type="spellEnd"/>
      <w:r w:rsidR="00336C63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336C63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sepanjang</w:t>
      </w:r>
      <w:proofErr w:type="spellEnd"/>
      <w:r w:rsidR="00336C63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336C63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batas</w:t>
      </w:r>
      <w:proofErr w:type="spellEnd"/>
      <w:r w:rsidR="00336C63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336C63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lainnya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  <w:r w:rsidR="00432866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Selain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itu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pentingnya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pasar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tenaga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kerja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internal di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bawah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rezim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serikat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dan non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serikat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mengarahkan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perhatian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k</w:t>
      </w:r>
      <w:r w:rsidR="00CE05DF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ami</w:t>
      </w:r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pada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fleksibilitas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perusahaan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.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Perkembangan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teoritis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di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bidang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suara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kolektif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dan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teori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kontrak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yang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berfokus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pada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penataan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pasar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tenaga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kerja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internal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telah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menawarkan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dukungan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untuk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efek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serikat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pro-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produktif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.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Jika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dalam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hal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ini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janji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serikat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pekerja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tetap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tidak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terpenuhi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untuk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AS,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bukti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ini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secara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kritis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tidak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dapat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diterapkan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negara lain.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Secara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khusus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beberapa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hasil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kinerja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yang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lebih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menjanjikan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dilaporkan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untuk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sistem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perundingan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ganda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</w:t>
      </w:r>
      <w:r w:rsidR="00BE4902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</w:t>
      </w:r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toral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Jerman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yang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dikombinasikan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dengan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E4902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penetapan</w:t>
      </w:r>
      <w:proofErr w:type="spellEnd"/>
      <w:r w:rsidR="00BE4902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E4902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kode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tempat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kerja</w:t>
      </w:r>
      <w:proofErr w:type="spellEnd"/>
      <w:r w:rsidR="00B94E31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</w:p>
    <w:p w14:paraId="10A07856" w14:textId="375809AB" w:rsidR="00BE4902" w:rsidRPr="00FA3BD2" w:rsidRDefault="00BE4902" w:rsidP="00FA3BD2">
      <w:pPr>
        <w:pStyle w:val="ListParagraph"/>
        <w:spacing w:line="276" w:lineRule="auto"/>
        <w:ind w:left="0" w:firstLine="42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Bekerja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pada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fleksibilitas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makro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adalah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sesuatu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digunakan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untuk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menggambarkan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serikat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pekerja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dan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perundingan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</w:t>
      </w:r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ersama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dalam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sudut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pandang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lebih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positif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setelah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penelitian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bergerak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di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luar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fo</w:t>
      </w:r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</w:t>
      </w:r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us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pada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kepadatan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/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cakupan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serikat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pekerja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dan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pengerahan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kekuatan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pasar yang </w:t>
      </w:r>
      <w:proofErr w:type="spellStart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sederhana</w:t>
      </w:r>
      <w:proofErr w:type="spellEnd"/>
      <w:r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Tetapi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kinerja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model-model yang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didasarkan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pada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korporatisme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modifikasi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konsep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sentralisasi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terutama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tesis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r w:rsidR="00CE05DF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H</w:t>
      </w:r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ump-</w:t>
      </w:r>
      <w:r w:rsidR="00CE05DF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</w:t>
      </w:r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hape), dan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bahkan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koordinasi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memudar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seiring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waktu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.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Artinya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="00CE05DF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</w:t>
      </w:r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embaga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tidak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mempengaruhi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hasil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makro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secara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konsisten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.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Selain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itu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perubahan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penting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dalam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perundingan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bersama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yang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dimulai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pada 1990-an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dalam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bentuk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desentralisasi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tidak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tercermin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dalam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lembaga-lembaga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yang </w:t>
      </w:r>
      <w:proofErr w:type="spellStart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bergaya</w:t>
      </w:r>
      <w:proofErr w:type="spellEnd"/>
      <w:r w:rsidR="004A076D" w:rsidRPr="00FA3BD2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</w:p>
    <w:p w14:paraId="38E6536C" w14:textId="3BE15830" w:rsidR="004A076D" w:rsidRDefault="00AE7DA0" w:rsidP="00FA3BD2">
      <w:pPr>
        <w:pStyle w:val="ListParagraph"/>
        <w:spacing w:line="276" w:lineRule="auto"/>
        <w:ind w:left="0" w:firstLine="426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Namun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Visser’s (2013, 2016)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memperbarui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diskusi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tentang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E05DF">
        <w:rPr>
          <w:rFonts w:ascii="Times New Roman" w:hAnsi="Times New Roman" w:cs="Times New Roman"/>
          <w:color w:val="222222"/>
          <w:sz w:val="24"/>
          <w:szCs w:val="24"/>
        </w:rPr>
        <w:t>l</w:t>
      </w:r>
      <w:r w:rsidRPr="00FA3BD2">
        <w:rPr>
          <w:rFonts w:ascii="Times New Roman" w:hAnsi="Times New Roman" w:cs="Times New Roman"/>
          <w:color w:val="222222"/>
          <w:sz w:val="24"/>
          <w:szCs w:val="24"/>
        </w:rPr>
        <w:t>embaga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perundingan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bersama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nasional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memberikan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perincian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komprehensif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perubahan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perundingan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bersama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mencakup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perundingan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struktur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perundingan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koordinasi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perundingan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CE05DF">
        <w:rPr>
          <w:rFonts w:ascii="Times New Roman" w:hAnsi="Times New Roman" w:cs="Times New Roman"/>
          <w:color w:val="FF0000"/>
          <w:sz w:val="24"/>
          <w:szCs w:val="24"/>
        </w:rPr>
        <w:t>Pembahasannya</w:t>
      </w:r>
      <w:proofErr w:type="spellEnd"/>
      <w:r w:rsidRPr="00CE05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E05DF">
        <w:rPr>
          <w:rFonts w:ascii="Times New Roman" w:hAnsi="Times New Roman" w:cs="Times New Roman"/>
          <w:color w:val="FF0000"/>
          <w:sz w:val="24"/>
          <w:szCs w:val="24"/>
        </w:rPr>
        <w:t>dirangkum</w:t>
      </w:r>
      <w:proofErr w:type="spellEnd"/>
      <w:r w:rsidRPr="00CE05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E05DF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CE05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E05DF">
        <w:rPr>
          <w:rFonts w:ascii="Times New Roman" w:hAnsi="Times New Roman" w:cs="Times New Roman"/>
          <w:color w:val="FF0000"/>
          <w:sz w:val="24"/>
          <w:szCs w:val="24"/>
        </w:rPr>
        <w:t>pengobatan</w:t>
      </w:r>
      <w:proofErr w:type="spellEnd"/>
      <w:r w:rsidRPr="00CE05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E05DF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CE05DF">
        <w:rPr>
          <w:rFonts w:ascii="Times New Roman" w:hAnsi="Times New Roman" w:cs="Times New Roman"/>
          <w:color w:val="FF0000"/>
          <w:sz w:val="24"/>
          <w:szCs w:val="24"/>
        </w:rPr>
        <w:t xml:space="preserve">, dan </w:t>
      </w:r>
      <w:proofErr w:type="spellStart"/>
      <w:r w:rsidRPr="00CE05DF">
        <w:rPr>
          <w:rFonts w:ascii="Times New Roman" w:hAnsi="Times New Roman" w:cs="Times New Roman"/>
          <w:color w:val="FF0000"/>
          <w:sz w:val="24"/>
          <w:szCs w:val="24"/>
        </w:rPr>
        <w:t>tema-tema</w:t>
      </w:r>
      <w:proofErr w:type="spellEnd"/>
      <w:r w:rsidRPr="00CE05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E05DF">
        <w:rPr>
          <w:rFonts w:ascii="Times New Roman" w:hAnsi="Times New Roman" w:cs="Times New Roman"/>
          <w:color w:val="FF0000"/>
          <w:sz w:val="24"/>
          <w:szCs w:val="24"/>
        </w:rPr>
        <w:t>kunci</w:t>
      </w:r>
      <w:proofErr w:type="spellEnd"/>
      <w:r w:rsidRPr="00CE05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E05DF">
        <w:rPr>
          <w:rFonts w:ascii="Times New Roman" w:hAnsi="Times New Roman" w:cs="Times New Roman"/>
          <w:color w:val="FF0000"/>
          <w:sz w:val="24"/>
          <w:szCs w:val="24"/>
        </w:rPr>
        <w:t>tertentu</w:t>
      </w:r>
      <w:proofErr w:type="spellEnd"/>
      <w:r w:rsidRPr="00CE05DF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CE05DF">
        <w:rPr>
          <w:rFonts w:ascii="Times New Roman" w:hAnsi="Times New Roman" w:cs="Times New Roman"/>
          <w:color w:val="FF0000"/>
          <w:sz w:val="24"/>
          <w:szCs w:val="24"/>
        </w:rPr>
        <w:t>ditemukan</w:t>
      </w:r>
      <w:proofErr w:type="spellEnd"/>
      <w:r w:rsidRPr="00CE05DF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CE05DF">
        <w:rPr>
          <w:rFonts w:ascii="Times New Roman" w:hAnsi="Times New Roman" w:cs="Times New Roman"/>
          <w:color w:val="FF0000"/>
          <w:sz w:val="24"/>
          <w:szCs w:val="24"/>
        </w:rPr>
        <w:t>sana</w:t>
      </w:r>
      <w:proofErr w:type="spellEnd"/>
      <w:r w:rsidRPr="00CE05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E05DF">
        <w:rPr>
          <w:rFonts w:ascii="Times New Roman" w:hAnsi="Times New Roman" w:cs="Times New Roman"/>
          <w:color w:val="FF0000"/>
          <w:sz w:val="24"/>
          <w:szCs w:val="24"/>
        </w:rPr>
        <w:t>diperbesar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r w:rsidR="00CE05DF">
        <w:rPr>
          <w:rFonts w:ascii="Times New Roman" w:hAnsi="Times New Roman" w:cs="Times New Roman"/>
          <w:color w:val="222222"/>
          <w:sz w:val="24"/>
          <w:szCs w:val="24"/>
        </w:rPr>
        <w:t xml:space="preserve">Hal </w:t>
      </w:r>
      <w:proofErr w:type="spellStart"/>
      <w:r w:rsidR="00CE05DF">
        <w:rPr>
          <w:rFonts w:ascii="Times New Roman" w:hAnsi="Times New Roman" w:cs="Times New Roman"/>
          <w:color w:val="222222"/>
          <w:sz w:val="24"/>
          <w:szCs w:val="24"/>
        </w:rPr>
        <w:t>i</w:t>
      </w:r>
      <w:r w:rsidRPr="00FA3BD2">
        <w:rPr>
          <w:rFonts w:ascii="Times New Roman" w:hAnsi="Times New Roman" w:cs="Times New Roman"/>
          <w:color w:val="222222"/>
          <w:sz w:val="24"/>
          <w:szCs w:val="24"/>
        </w:rPr>
        <w:t>ni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termasuk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perpanjangan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perjanjian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orientasi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dan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terpenting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desentralisasi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Taksonomi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Visser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memberi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perhatian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khusus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desentralisasi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sembari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menangani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keragaman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praktik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kategori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perundingan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B50EA9" w:rsidRPr="00FA3BD2">
        <w:rPr>
          <w:rFonts w:ascii="Times New Roman" w:hAnsi="Times New Roman" w:cs="Times New Roman"/>
          <w:color w:val="222222"/>
          <w:sz w:val="24"/>
          <w:szCs w:val="24"/>
        </w:rPr>
        <w:t>Sehubungan</w:t>
      </w:r>
      <w:proofErr w:type="spellEnd"/>
      <w:r w:rsidR="00B50EA9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50EA9"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B50EA9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50EA9" w:rsidRPr="00FA3BD2">
        <w:rPr>
          <w:rFonts w:ascii="Times New Roman" w:hAnsi="Times New Roman" w:cs="Times New Roman"/>
          <w:color w:val="222222"/>
          <w:sz w:val="24"/>
          <w:szCs w:val="24"/>
        </w:rPr>
        <w:t>bukti</w:t>
      </w:r>
      <w:proofErr w:type="spellEnd"/>
      <w:r w:rsidR="00B50EA9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50EA9" w:rsidRPr="00FA3BD2">
        <w:rPr>
          <w:rFonts w:ascii="Times New Roman" w:hAnsi="Times New Roman" w:cs="Times New Roman"/>
          <w:color w:val="222222"/>
          <w:sz w:val="24"/>
          <w:szCs w:val="24"/>
        </w:rPr>
        <w:t>lainnya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membantu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kita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membentuk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bentuk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protein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sistem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perundingan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bersama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muncul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yaitu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desentralisasi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="00B50EA9"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B50EA9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50EA9" w:rsidRPr="00FA3BD2">
        <w:rPr>
          <w:rFonts w:ascii="Times New Roman" w:hAnsi="Times New Roman" w:cs="Times New Roman"/>
          <w:color w:val="222222"/>
          <w:sz w:val="24"/>
          <w:szCs w:val="24"/>
        </w:rPr>
        <w:t>sistem</w:t>
      </w:r>
      <w:proofErr w:type="spellEnd"/>
      <w:r w:rsidR="00B50EA9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50EA9" w:rsidRPr="00FA3BD2">
        <w:rPr>
          <w:rFonts w:ascii="Times New Roman" w:hAnsi="Times New Roman" w:cs="Times New Roman"/>
          <w:color w:val="222222"/>
          <w:sz w:val="24"/>
          <w:szCs w:val="24"/>
        </w:rPr>
        <w:t>perundingan</w:t>
      </w:r>
      <w:proofErr w:type="spellEnd"/>
      <w:r w:rsidR="00B50EA9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50EA9" w:rsidRPr="00FA3BD2">
        <w:rPr>
          <w:rFonts w:ascii="Times New Roman" w:hAnsi="Times New Roman" w:cs="Times New Roman"/>
          <w:color w:val="222222"/>
          <w:sz w:val="24"/>
          <w:szCs w:val="24"/>
        </w:rPr>
        <w:t>bersama</w:t>
      </w:r>
      <w:proofErr w:type="spellEnd"/>
      <w:r w:rsidR="00B50EA9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mungkin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cocok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tujuan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arti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memenuhi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persyaratan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fleksibilitas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mikro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makro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Materi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studi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kasus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mendukung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diambil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studi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praktik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inovatif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terkait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desentralisasi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disediakan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39855E14" w14:textId="444195E7" w:rsidR="00EE13A5" w:rsidRPr="00FA3BD2" w:rsidRDefault="00CE05DF" w:rsidP="00CE05DF">
      <w:pPr>
        <w:pStyle w:val="ListParagraph"/>
        <w:spacing w:line="276" w:lineRule="auto"/>
        <w:ind w:left="0" w:firstLine="426"/>
        <w:jc w:val="both"/>
        <w:rPr>
          <w:rStyle w:val="notranslate"/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>Dukungan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dan model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Skandinavia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dimodifikasi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teoritis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terdesentralisasi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yang juga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Dikemukakan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bertentangan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sektoral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Skandinavia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mengakui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teoritis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model Anglo-Saxon,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dibedakan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manajerial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r w:rsidRPr="00CE05DF">
        <w:rPr>
          <w:rFonts w:ascii="Times New Roman" w:hAnsi="Times New Roman" w:cs="Times New Roman"/>
          <w:color w:val="FF0000"/>
          <w:sz w:val="24"/>
          <w:szCs w:val="24"/>
        </w:rPr>
        <w:t xml:space="preserve">Hal </w:t>
      </w:r>
      <w:proofErr w:type="spellStart"/>
      <w:r w:rsidRPr="00CE05DF">
        <w:rPr>
          <w:rFonts w:ascii="Times New Roman" w:hAnsi="Times New Roman" w:cs="Times New Roman"/>
          <w:color w:val="FF0000"/>
          <w:sz w:val="24"/>
          <w:szCs w:val="24"/>
        </w:rPr>
        <w:t>tersebut</w:t>
      </w:r>
      <w:proofErr w:type="spellEnd"/>
      <w:r w:rsidRPr="00CE05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E05DF">
        <w:rPr>
          <w:rFonts w:ascii="Times New Roman" w:hAnsi="Times New Roman" w:cs="Times New Roman"/>
          <w:color w:val="FF0000"/>
          <w:sz w:val="24"/>
          <w:szCs w:val="24"/>
        </w:rPr>
        <w:t>bukanlah</w:t>
      </w:r>
      <w:proofErr w:type="spellEnd"/>
      <w:r w:rsidRPr="00CE05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E05DF">
        <w:rPr>
          <w:rFonts w:ascii="Times New Roman" w:hAnsi="Times New Roman" w:cs="Times New Roman"/>
          <w:color w:val="FF0000"/>
          <w:sz w:val="24"/>
          <w:szCs w:val="24"/>
        </w:rPr>
        <w:t>kesimpulan</w:t>
      </w:r>
      <w:proofErr w:type="spellEnd"/>
      <w:r w:rsidRPr="00CE05DF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CE05DF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CE05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E05DF">
        <w:rPr>
          <w:rFonts w:ascii="Times New Roman" w:hAnsi="Times New Roman" w:cs="Times New Roman"/>
          <w:color w:val="FF0000"/>
          <w:sz w:val="24"/>
          <w:szCs w:val="24"/>
        </w:rPr>
        <w:t>penting</w:t>
      </w:r>
      <w:proofErr w:type="spellEnd"/>
      <w:r w:rsidRPr="00CE05DF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Pr="00CE05DF">
        <w:rPr>
          <w:rFonts w:ascii="Times New Roman" w:hAnsi="Times New Roman" w:cs="Times New Roman"/>
          <w:color w:val="FF0000"/>
          <w:sz w:val="24"/>
          <w:szCs w:val="24"/>
        </w:rPr>
        <w:t>konsisten</w:t>
      </w:r>
      <w:proofErr w:type="spellEnd"/>
      <w:r w:rsidRPr="00CE05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E05DF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CE05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E05DF">
        <w:rPr>
          <w:rFonts w:ascii="Times New Roman" w:hAnsi="Times New Roman" w:cs="Times New Roman"/>
          <w:color w:val="FF0000"/>
          <w:sz w:val="24"/>
          <w:szCs w:val="24"/>
        </w:rPr>
        <w:t>komentar</w:t>
      </w:r>
      <w:proofErr w:type="spellEnd"/>
      <w:r w:rsidRPr="00CE05DF">
        <w:rPr>
          <w:rFonts w:ascii="Times New Roman" w:hAnsi="Times New Roman" w:cs="Times New Roman"/>
          <w:color w:val="FF0000"/>
          <w:sz w:val="24"/>
          <w:szCs w:val="24"/>
        </w:rPr>
        <w:t xml:space="preserve"> Freeman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(1998:15) yang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menggugah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Roma”.</w:t>
      </w:r>
    </w:p>
    <w:p w14:paraId="78873AEE" w14:textId="5054016D" w:rsidR="004C0A77" w:rsidRPr="00FA3BD2" w:rsidRDefault="004C0A77" w:rsidP="00FA3BD2">
      <w:pPr>
        <w:pStyle w:val="ListParagraph"/>
        <w:spacing w:line="276" w:lineRule="auto"/>
        <w:ind w:left="0" w:firstLine="426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Hal </w:t>
      </w:r>
      <w:proofErr w:type="spellStart"/>
      <w:r w:rsidR="00CE05DF">
        <w:rPr>
          <w:rFonts w:ascii="Times New Roman" w:hAnsi="Times New Roman" w:cs="Times New Roman"/>
          <w:color w:val="222222"/>
          <w:sz w:val="24"/>
          <w:szCs w:val="24"/>
        </w:rPr>
        <w:t>tersebut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telah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lama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diperdebatkan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bahwa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kepercayaa</w:t>
      </w:r>
      <w:r w:rsidR="00CE05DF">
        <w:rPr>
          <w:rFonts w:ascii="Times New Roman" w:hAnsi="Times New Roman" w:cs="Times New Roman"/>
          <w:color w:val="222222"/>
          <w:sz w:val="24"/>
          <w:szCs w:val="24"/>
        </w:rPr>
        <w:t>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mungkin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sama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pentingnya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mengamankan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fleksibilitas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makro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(dan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mikro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seperti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struktur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perundingan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bersama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sendiri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menangani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masalah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keamanan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diabaikan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hubungannya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pengangguran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diperiksa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beberapa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pen</w:t>
      </w:r>
      <w:r w:rsidRPr="00FA3BD2">
        <w:rPr>
          <w:rFonts w:ascii="Times New Roman" w:hAnsi="Times New Roman" w:cs="Times New Roman"/>
          <w:color w:val="222222"/>
          <w:sz w:val="24"/>
          <w:szCs w:val="24"/>
        </w:rPr>
        <w:t>emuan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penelitian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tambahan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tentang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hubungan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antara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kepercayaan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d</w:t>
      </w:r>
      <w:r w:rsidR="00E028CE">
        <w:rPr>
          <w:rFonts w:ascii="Times New Roman" w:hAnsi="Times New Roman" w:cs="Times New Roman"/>
          <w:color w:val="222222"/>
          <w:sz w:val="24"/>
          <w:szCs w:val="24"/>
        </w:rPr>
        <w:t>engan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desain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kuantitas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legislasi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pasar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tenaga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kerja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Selain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itu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gagasan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menarik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bahwa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skala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perubahan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lembaga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penetapan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upah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beberapa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tahun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terakhir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mungkin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telah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mengikis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kepercayaan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telah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diatasi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Fakta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sosial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juga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dipertimbangkan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karena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mereka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dapat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dilihat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baik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sebagai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membutuhkan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kepercayaan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atau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sebagai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penggantinya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membahas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model folder 1982-2000,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sangat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jelas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bahwa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juga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terdapat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sistem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perundingan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bersama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berpotensi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membantu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membangun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kepercayaan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Karena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alasan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itulah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serangkaian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model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perundingan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bersama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kami yang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sesuai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tujuan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dapat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diperjelas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mencakup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sistem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kontemporer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Belanda</w:t>
      </w:r>
      <w:proofErr w:type="spellEnd"/>
      <w:r w:rsidR="00BF105A" w:rsidRPr="00FA3BD2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12061D16" w14:textId="52AB0865" w:rsidR="00BF105A" w:rsidRPr="00FA3BD2" w:rsidRDefault="00BF105A" w:rsidP="00FA3BD2">
      <w:pPr>
        <w:pStyle w:val="ListParagraph"/>
        <w:spacing w:line="276" w:lineRule="auto"/>
        <w:ind w:left="0" w:firstLine="426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Tema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utama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terakhir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dikaji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laporan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pertanyaan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menyebalkan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tentang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disperse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pendapatan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analisis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telah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memperoleh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banyak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mata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uang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akhir-akhir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karena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berhubungan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antara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ketimpangan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pertumbuhan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Informasi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terkait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asosiasi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ditinjau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jauh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sebelum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beralih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penurunan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ketidaksertaan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Dua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pandangan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dasar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tentang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ketimpang</w:t>
      </w:r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an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ditawarkan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Yang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pertama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adalah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standar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serikat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pekerja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dikaitkan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berkurangnya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ketidaksetaraan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akibatnya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adalah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bahwa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pe</w:t>
      </w:r>
      <w:r w:rsidR="00E028CE">
        <w:rPr>
          <w:rFonts w:ascii="Times New Roman" w:hAnsi="Times New Roman" w:cs="Times New Roman"/>
          <w:color w:val="222222"/>
          <w:sz w:val="24"/>
          <w:szCs w:val="24"/>
        </w:rPr>
        <w:t>mberhentian</w:t>
      </w:r>
      <w:proofErr w:type="spellEnd"/>
      <w:r w:rsidR="00E028CE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="00E028CE">
        <w:rPr>
          <w:rFonts w:ascii="Times New Roman" w:hAnsi="Times New Roman" w:cs="Times New Roman"/>
          <w:color w:val="222222"/>
          <w:sz w:val="24"/>
          <w:szCs w:val="24"/>
        </w:rPr>
        <w:t>pemecatan</w:t>
      </w:r>
      <w:proofErr w:type="spellEnd"/>
      <w:r w:rsidR="00E028CE">
        <w:rPr>
          <w:rFonts w:ascii="Times New Roman" w:hAnsi="Times New Roman" w:cs="Times New Roman"/>
          <w:color w:val="222222"/>
          <w:sz w:val="24"/>
          <w:szCs w:val="24"/>
        </w:rPr>
        <w:t>)</w:t>
      </w:r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mereka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telah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memperburuknya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Yang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kedua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dikaitkan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gagasan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reherche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bahwa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serikat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pekerja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sebenarnya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menjadi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kurang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tertarik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redistribusi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Sekalipun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seseorang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menerima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bahwa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penurunan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serikat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pekerja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penentu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penting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meningkatnya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ketidaksetaraan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E028CE">
        <w:rPr>
          <w:rFonts w:ascii="Times New Roman" w:hAnsi="Times New Roman" w:cs="Times New Roman"/>
          <w:color w:val="222222"/>
          <w:sz w:val="24"/>
          <w:szCs w:val="24"/>
        </w:rPr>
        <w:t>walau</w:t>
      </w:r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pun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tidak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ada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tanggapan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umum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mendukung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penguatan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institusi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Kartu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pertumbuhan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itu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justru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rumit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karena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kehilangan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daya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saing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mungkin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telah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menyebabkan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penurunan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serikat</w:t>
      </w:r>
      <w:proofErr w:type="spellEnd"/>
      <w:r w:rsidR="00C1000F" w:rsidRPr="00FA3BD2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48927EF2" w14:textId="12834F6D" w:rsidR="00C1000F" w:rsidRPr="00FA3BD2" w:rsidRDefault="00C1000F" w:rsidP="00FA3BD2">
      <w:pPr>
        <w:pStyle w:val="ListParagraph"/>
        <w:spacing w:line="276" w:lineRule="auto"/>
        <w:ind w:left="0" w:firstLine="426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E028CE">
        <w:rPr>
          <w:rFonts w:ascii="Times New Roman" w:hAnsi="Times New Roman" w:cs="Times New Roman"/>
          <w:color w:val="FF0000"/>
          <w:sz w:val="24"/>
          <w:szCs w:val="24"/>
        </w:rPr>
        <w:t>Namun</w:t>
      </w:r>
      <w:proofErr w:type="spellEnd"/>
      <w:r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E028CE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mengambil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masalah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terpisah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dan salah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satunya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bagian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penutup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kami,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mungkinkah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kasus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menawarkan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dukungan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kepada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serikat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pekerja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diperkuat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oleh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kemungkinan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penurunan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suara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pekerja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belakang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penurunan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>serikat</w:t>
      </w:r>
      <w:proofErr w:type="spellEnd"/>
      <w:r w:rsidR="00271EF0"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? </w:t>
      </w:r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Pada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nilai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nominal,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kasus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sedikit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lebih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meyakinkan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dan mandate yang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mendukung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beberapa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bentuk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perwakilan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pekerja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dapat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diindikasikan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E028CE">
        <w:rPr>
          <w:rFonts w:ascii="Times New Roman" w:hAnsi="Times New Roman" w:cs="Times New Roman"/>
          <w:color w:val="222222"/>
          <w:sz w:val="24"/>
          <w:szCs w:val="24"/>
        </w:rPr>
        <w:t>Disebutkan</w:t>
      </w:r>
      <w:proofErr w:type="spellEnd"/>
      <w:r w:rsidR="00E028C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028CE">
        <w:rPr>
          <w:rFonts w:ascii="Times New Roman" w:hAnsi="Times New Roman" w:cs="Times New Roman"/>
          <w:color w:val="222222"/>
          <w:sz w:val="24"/>
          <w:szCs w:val="24"/>
        </w:rPr>
        <w:t>bahwa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bukti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meskipun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tidak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tegas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menunjuk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ekspansi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dramatis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suara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non-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serikat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Inggris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belakang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penurunan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serikat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di negara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itu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serta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saran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aktif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bahwa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manajemen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telah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memilih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intensif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berinvestasi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suara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non-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aktif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serikat</w:t>
      </w:r>
      <w:proofErr w:type="spellEnd"/>
      <w:r w:rsidR="00271EF0" w:rsidRPr="00FA3BD2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14A0262F" w14:textId="1EF8BB41" w:rsidR="00271EF0" w:rsidRPr="00FA3BD2" w:rsidRDefault="00271EF0" w:rsidP="00FA3BD2">
      <w:pPr>
        <w:pStyle w:val="ListParagraph"/>
        <w:spacing w:line="276" w:lineRule="auto"/>
        <w:ind w:left="0" w:firstLine="426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E028CE">
        <w:rPr>
          <w:rFonts w:ascii="Times New Roman" w:hAnsi="Times New Roman" w:cs="Times New Roman"/>
          <w:color w:val="FF0000"/>
          <w:sz w:val="24"/>
          <w:szCs w:val="24"/>
        </w:rPr>
        <w:lastRenderedPageBreak/>
        <w:t>Penting</w:t>
      </w:r>
      <w:proofErr w:type="spellEnd"/>
      <w:r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028CE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028CE">
        <w:rPr>
          <w:rFonts w:ascii="Times New Roman" w:hAnsi="Times New Roman" w:cs="Times New Roman"/>
          <w:color w:val="FF0000"/>
          <w:sz w:val="24"/>
          <w:szCs w:val="24"/>
        </w:rPr>
        <w:t>mengetahui</w:t>
      </w:r>
      <w:proofErr w:type="spellEnd"/>
      <w:r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028CE">
        <w:rPr>
          <w:rFonts w:ascii="Times New Roman" w:hAnsi="Times New Roman" w:cs="Times New Roman"/>
          <w:color w:val="FF0000"/>
          <w:sz w:val="24"/>
          <w:szCs w:val="24"/>
        </w:rPr>
        <w:t>bahwa</w:t>
      </w:r>
      <w:proofErr w:type="spellEnd"/>
      <w:r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028CE">
        <w:rPr>
          <w:rFonts w:ascii="Times New Roman" w:hAnsi="Times New Roman" w:cs="Times New Roman"/>
          <w:color w:val="FF0000"/>
          <w:sz w:val="24"/>
          <w:szCs w:val="24"/>
        </w:rPr>
        <w:t>perawatan</w:t>
      </w:r>
      <w:proofErr w:type="spellEnd"/>
      <w:r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028CE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028CE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028CE">
        <w:rPr>
          <w:rFonts w:ascii="Times New Roman" w:hAnsi="Times New Roman" w:cs="Times New Roman"/>
          <w:color w:val="FF0000"/>
          <w:sz w:val="24"/>
          <w:szCs w:val="24"/>
        </w:rPr>
        <w:t>pengobatan</w:t>
      </w:r>
      <w:proofErr w:type="spellEnd"/>
      <w:r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028CE">
        <w:rPr>
          <w:rFonts w:ascii="Times New Roman" w:hAnsi="Times New Roman" w:cs="Times New Roman"/>
          <w:color w:val="FF0000"/>
          <w:sz w:val="24"/>
          <w:szCs w:val="24"/>
        </w:rPr>
        <w:t>parsial</w:t>
      </w:r>
      <w:proofErr w:type="spellEnd"/>
      <w:r w:rsidRPr="00E028C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mencerminkan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keadaan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fluks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sangat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nyata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institusi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perundingan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bersama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menunggu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penggabun</w:t>
      </w:r>
      <w:r w:rsidR="00E028CE">
        <w:rPr>
          <w:rFonts w:ascii="Times New Roman" w:hAnsi="Times New Roman" w:cs="Times New Roman"/>
          <w:color w:val="222222"/>
          <w:sz w:val="24"/>
          <w:szCs w:val="24"/>
        </w:rPr>
        <w:t>g</w:t>
      </w:r>
      <w:r w:rsidRPr="00FA3BD2">
        <w:rPr>
          <w:rFonts w:ascii="Times New Roman" w:hAnsi="Times New Roman" w:cs="Times New Roman"/>
          <w:color w:val="222222"/>
          <w:sz w:val="24"/>
          <w:szCs w:val="24"/>
        </w:rPr>
        <w:t>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formal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model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kovariat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lembaga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pasar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tenaga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hasil-hasil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makro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Semenatara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pada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tingkat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mikro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rinci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sebagian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mencerminkan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kecenderungan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penelitian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fo</w:t>
      </w:r>
      <w:r w:rsidR="00E028CE">
        <w:rPr>
          <w:rFonts w:ascii="Times New Roman" w:hAnsi="Times New Roman" w:cs="Times New Roman"/>
          <w:color w:val="222222"/>
          <w:sz w:val="24"/>
          <w:szCs w:val="24"/>
        </w:rPr>
        <w:t>k</w:t>
      </w:r>
      <w:r w:rsidRPr="00FA3BD2">
        <w:rPr>
          <w:rFonts w:ascii="Times New Roman" w:hAnsi="Times New Roman" w:cs="Times New Roman"/>
          <w:color w:val="222222"/>
          <w:sz w:val="24"/>
          <w:szCs w:val="24"/>
        </w:rPr>
        <w:t>us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pada negara-negara Anglo-Saxon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beberapa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negara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kunci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benua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Eropa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juga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sebagian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keasyikan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penelitian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penulis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Sehingga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beberapa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negara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hanya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disebutkan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secara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sepintas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sebagian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besar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lainnya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diabaikan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Oleh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karena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keterbatasan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analisis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eksploratif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harus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dinyatakan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permulaan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diingat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selamanya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Tujuannya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membangun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asosiasi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kunci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tren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paling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penting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suatu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kerangka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berupaya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mengidentifikasi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sejumlah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rezim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sesuai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F5A61"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3F5A6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F5A61" w:rsidRPr="00FA3BD2">
        <w:rPr>
          <w:rFonts w:ascii="Times New Roman" w:hAnsi="Times New Roman" w:cs="Times New Roman"/>
          <w:color w:val="222222"/>
          <w:sz w:val="24"/>
          <w:szCs w:val="24"/>
        </w:rPr>
        <w:t>tujuan</w:t>
      </w:r>
      <w:proofErr w:type="spellEnd"/>
      <w:r w:rsidR="003F5A6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F5A61" w:rsidRPr="00FA3BD2">
        <w:rPr>
          <w:rFonts w:ascii="Times New Roman" w:hAnsi="Times New Roman" w:cs="Times New Roman"/>
          <w:color w:val="222222"/>
          <w:sz w:val="24"/>
          <w:szCs w:val="24"/>
        </w:rPr>
        <w:t>daripada</w:t>
      </w:r>
      <w:proofErr w:type="spellEnd"/>
      <w:r w:rsidR="003F5A6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F5A61" w:rsidRPr="00FA3BD2">
        <w:rPr>
          <w:rFonts w:ascii="Times New Roman" w:hAnsi="Times New Roman" w:cs="Times New Roman"/>
          <w:color w:val="222222"/>
          <w:sz w:val="24"/>
          <w:szCs w:val="24"/>
        </w:rPr>
        <w:t>mendukung</w:t>
      </w:r>
      <w:proofErr w:type="spellEnd"/>
      <w:r w:rsidR="003F5A6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model </w:t>
      </w:r>
      <w:proofErr w:type="spellStart"/>
      <w:r w:rsidR="003F5A61" w:rsidRPr="00FA3BD2">
        <w:rPr>
          <w:rFonts w:ascii="Times New Roman" w:hAnsi="Times New Roman" w:cs="Times New Roman"/>
          <w:color w:val="222222"/>
          <w:sz w:val="24"/>
          <w:szCs w:val="24"/>
        </w:rPr>
        <w:t>tunggal</w:t>
      </w:r>
      <w:proofErr w:type="spellEnd"/>
      <w:r w:rsidR="003F5A6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F5A61" w:rsidRPr="00FA3BD2">
        <w:rPr>
          <w:rFonts w:ascii="Times New Roman" w:hAnsi="Times New Roman" w:cs="Times New Roman"/>
          <w:color w:val="222222"/>
          <w:sz w:val="24"/>
          <w:szCs w:val="24"/>
        </w:rPr>
        <w:t>lainnya</w:t>
      </w:r>
      <w:proofErr w:type="spellEnd"/>
      <w:r w:rsidR="003F5A61" w:rsidRPr="00FA3BD2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bookmarkEnd w:id="0"/>
    <w:p w14:paraId="237EFD7A" w14:textId="20B07DA8" w:rsidR="00423489" w:rsidRPr="00FA3BD2" w:rsidRDefault="00423489" w:rsidP="00FA3BD2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2DD15772" w14:textId="6ED3BEFC" w:rsidR="00423489" w:rsidRPr="00FA3BD2" w:rsidRDefault="00423489" w:rsidP="00FA3BD2">
      <w:pPr>
        <w:spacing w:line="276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FA3BD2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2.2 </w:t>
      </w:r>
      <w:proofErr w:type="spellStart"/>
      <w:r w:rsidRPr="00FA3BD2">
        <w:rPr>
          <w:rFonts w:ascii="Times New Roman" w:hAnsi="Times New Roman" w:cs="Times New Roman"/>
          <w:b/>
          <w:bCs/>
          <w:color w:val="222222"/>
          <w:sz w:val="24"/>
          <w:szCs w:val="24"/>
        </w:rPr>
        <w:t>Fleksibilitas</w:t>
      </w:r>
      <w:proofErr w:type="spellEnd"/>
      <w:r w:rsidRPr="00FA3BD2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b/>
          <w:bCs/>
          <w:color w:val="222222"/>
          <w:sz w:val="24"/>
          <w:szCs w:val="24"/>
        </w:rPr>
        <w:t>mikro</w:t>
      </w:r>
      <w:proofErr w:type="spellEnd"/>
      <w:r w:rsidRPr="00FA3BD2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b/>
          <w:bCs/>
          <w:color w:val="222222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b/>
          <w:bCs/>
          <w:color w:val="222222"/>
          <w:sz w:val="24"/>
          <w:szCs w:val="24"/>
        </w:rPr>
        <w:t>luas</w:t>
      </w:r>
      <w:proofErr w:type="spellEnd"/>
    </w:p>
    <w:p w14:paraId="4C52C793" w14:textId="6AEB68C8" w:rsidR="00423489" w:rsidRPr="00FA3BD2" w:rsidRDefault="00423489" w:rsidP="00FA3BD2">
      <w:pPr>
        <w:spacing w:line="276" w:lineRule="auto"/>
        <w:ind w:firstLine="426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Membahas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fleksibilitas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mikro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hal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alokasi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tenaga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memasukkan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perpindahan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antara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pekerjaan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sector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industri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dan wilayah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geografis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hal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konvensional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Banyak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perhatian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telah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diberikan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dampak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lembaga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non-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khususnya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asuransi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pengangguran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undang-undang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perlindungan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pekerjaan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karena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penting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mereka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realokasi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pengangguran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lihat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secara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urut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OECD 2006; OECD 2010;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Bassaini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2011).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Sementara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0104C">
        <w:rPr>
          <w:rFonts w:ascii="Times New Roman" w:hAnsi="Times New Roman" w:cs="Times New Roman"/>
          <w:color w:val="222222"/>
          <w:sz w:val="24"/>
          <w:szCs w:val="24"/>
        </w:rPr>
        <w:t>itu</w:t>
      </w:r>
      <w:proofErr w:type="spellEnd"/>
      <w:r w:rsidR="00D0104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0104C">
        <w:rPr>
          <w:rFonts w:ascii="Times New Roman" w:hAnsi="Times New Roman" w:cs="Times New Roman"/>
          <w:color w:val="222222"/>
          <w:sz w:val="24"/>
          <w:szCs w:val="24"/>
        </w:rPr>
        <w:t>tercatat</w:t>
      </w:r>
      <w:proofErr w:type="spellEnd"/>
      <w:r w:rsidR="00D0104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bahwa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terdapat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kurangnya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penelitian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tentang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efek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55AD4">
        <w:rPr>
          <w:rFonts w:ascii="Times New Roman" w:hAnsi="Times New Roman" w:cs="Times New Roman"/>
          <w:color w:val="222222"/>
          <w:sz w:val="24"/>
          <w:szCs w:val="24"/>
        </w:rPr>
        <w:t>peraturan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pasar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tenaga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terhadap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realokasi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insiden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pengangguran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durasi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pengangguran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Blanchard et al (2013)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mengidentifikasi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tiga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55AD4">
        <w:rPr>
          <w:rFonts w:ascii="Times New Roman" w:hAnsi="Times New Roman" w:cs="Times New Roman"/>
          <w:color w:val="222222"/>
          <w:sz w:val="24"/>
          <w:szCs w:val="24"/>
        </w:rPr>
        <w:t>peraturan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seperti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sesuai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kombinasi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tindakan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digunakan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beberapa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ketidaktepatan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harga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sebagaiman</w:t>
      </w:r>
      <w:r w:rsidR="00D0104C">
        <w:rPr>
          <w:rFonts w:ascii="Times New Roman" w:hAnsi="Times New Roman" w:cs="Times New Roman"/>
          <w:color w:val="222222"/>
          <w:sz w:val="24"/>
          <w:szCs w:val="24"/>
        </w:rPr>
        <w:t>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dicatat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oleh para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penulis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A55AD4">
        <w:rPr>
          <w:rFonts w:ascii="Times New Roman" w:hAnsi="Times New Roman" w:cs="Times New Roman"/>
          <w:color w:val="222222"/>
          <w:sz w:val="24"/>
          <w:szCs w:val="24"/>
        </w:rPr>
        <w:t>peraturan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ter</w:t>
      </w:r>
      <w:r w:rsidR="00D0104C">
        <w:rPr>
          <w:rFonts w:ascii="Times New Roman" w:hAnsi="Times New Roman" w:cs="Times New Roman"/>
          <w:color w:val="222222"/>
          <w:sz w:val="24"/>
          <w:szCs w:val="24"/>
        </w:rPr>
        <w:t>se</w:t>
      </w:r>
      <w:r w:rsidRPr="00FA3BD2">
        <w:rPr>
          <w:rFonts w:ascii="Times New Roman" w:hAnsi="Times New Roman" w:cs="Times New Roman"/>
          <w:color w:val="222222"/>
          <w:sz w:val="24"/>
          <w:szCs w:val="24"/>
        </w:rPr>
        <w:t>but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ad</w:t>
      </w:r>
      <w:r w:rsidR="00D0104C">
        <w:rPr>
          <w:rFonts w:ascii="Times New Roman" w:hAnsi="Times New Roman" w:cs="Times New Roman"/>
          <w:color w:val="222222"/>
          <w:sz w:val="24"/>
          <w:szCs w:val="24"/>
        </w:rPr>
        <w:t>al</w:t>
      </w:r>
      <w:r w:rsidRPr="00FA3BD2">
        <w:rPr>
          <w:rFonts w:ascii="Times New Roman" w:hAnsi="Times New Roman" w:cs="Times New Roman"/>
          <w:color w:val="222222"/>
          <w:sz w:val="24"/>
          <w:szCs w:val="24"/>
        </w:rPr>
        <w:t>ah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(a)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rendahnya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perlindungan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asura</w:t>
      </w:r>
      <w:r w:rsidR="00A55AD4">
        <w:rPr>
          <w:rFonts w:ascii="Times New Roman" w:hAnsi="Times New Roman" w:cs="Times New Roman"/>
          <w:color w:val="222222"/>
          <w:sz w:val="24"/>
          <w:szCs w:val="24"/>
        </w:rPr>
        <w:t>n</w:t>
      </w:r>
      <w:r w:rsidRPr="00FA3BD2">
        <w:rPr>
          <w:rFonts w:ascii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pengangguran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ditawarkan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oleh model Anglo-Saxon, (b)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perlindungan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menengah-tinggi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murah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hati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meskipun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pengangguran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mem</w:t>
      </w:r>
      <w:r w:rsidR="00A55AD4">
        <w:rPr>
          <w:rFonts w:ascii="Times New Roman" w:hAnsi="Times New Roman" w:cs="Times New Roman"/>
          <w:color w:val="222222"/>
          <w:sz w:val="24"/>
          <w:szCs w:val="24"/>
        </w:rPr>
        <w:t>enuh</w:t>
      </w:r>
      <w:r w:rsidRPr="00FA3BD2">
        <w:rPr>
          <w:rFonts w:ascii="Times New Roman" w:hAnsi="Times New Roman" w:cs="Times New Roman"/>
          <w:color w:val="222222"/>
          <w:sz w:val="24"/>
          <w:szCs w:val="24"/>
        </w:rPr>
        <w:t>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syarat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kombinasi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kebijakan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pasar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tenaga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aktif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model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Nordik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dan (c)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perlindungan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tinggi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asuransi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pengangguran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besar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tetapi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kebijakan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pasar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tenaga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aktif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terbatas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model Continental. </w:t>
      </w:r>
      <w:proofErr w:type="spellStart"/>
      <w:r w:rsidR="00A55AD4">
        <w:rPr>
          <w:rFonts w:ascii="Times New Roman" w:hAnsi="Times New Roman" w:cs="Times New Roman"/>
          <w:color w:val="222222"/>
          <w:sz w:val="24"/>
          <w:szCs w:val="24"/>
        </w:rPr>
        <w:t>Peraturan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(a)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ditandai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oleh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aliran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tenaga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kerja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besar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durasi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pengangguran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pendek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dan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tingkat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pengangguran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="00A55AD4">
        <w:rPr>
          <w:rFonts w:ascii="Times New Roman" w:hAnsi="Times New Roman" w:cs="Times New Roman"/>
          <w:color w:val="222222"/>
          <w:sz w:val="24"/>
          <w:szCs w:val="24"/>
        </w:rPr>
        <w:t>peraturan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rendah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(b) oleh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realokasi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signifikan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tetapi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tingkat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pengangguran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rendah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Balnchard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et al.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menerima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bahwa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penggambaran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55AD4">
        <w:rPr>
          <w:rFonts w:ascii="Times New Roman" w:hAnsi="Times New Roman" w:cs="Times New Roman"/>
          <w:color w:val="222222"/>
          <w:sz w:val="24"/>
          <w:szCs w:val="24"/>
        </w:rPr>
        <w:t>peraturan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pasar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tenaga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kerja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adalah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semacam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karikatur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tidak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lengkap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jika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tidak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membahas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kontribusi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kritis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struktur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perundingan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bersama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terhadap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fleksibilitas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Sebagian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karena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alasan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mereka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menghindari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mengidentifikasi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negara-negara yang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menyusun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model (c) yang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diberi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label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kegagalan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mengingat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realokasi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terbatas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pengangguran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lebih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tinggi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meskipun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mereka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membebaskan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Jerman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berdasarkan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reformasi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legislative Hartz.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Tujuan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latihan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adalah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mengidentifikasi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55AD4">
        <w:rPr>
          <w:rFonts w:ascii="Times New Roman" w:hAnsi="Times New Roman" w:cs="Times New Roman"/>
          <w:color w:val="222222"/>
          <w:sz w:val="24"/>
          <w:szCs w:val="24"/>
        </w:rPr>
        <w:t>peraturan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mempromosikan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fleksibilitas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mikro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pengaruh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struktur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perundingan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bersama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dilihat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lebih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berkaitan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fleksibilitas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makro</w:t>
      </w:r>
      <w:proofErr w:type="spellEnd"/>
      <w:r w:rsidR="00421DA8" w:rsidRPr="00FA3BD2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1E06E1AA" w14:textId="38626D0B" w:rsidR="00421DA8" w:rsidRPr="00FA3BD2" w:rsidRDefault="00421DA8" w:rsidP="00FA3BD2">
      <w:pPr>
        <w:spacing w:line="276" w:lineRule="auto"/>
        <w:ind w:firstLine="426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Blanchard et al.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mengamati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bahwa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fleksibilitas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dicapai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melalui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(model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Nordik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) flexicurity –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sebuah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sistem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berupaya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merekonsiliasi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hak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prerogati</w:t>
      </w:r>
      <w:r w:rsidR="00A55AD4">
        <w:rPr>
          <w:rFonts w:ascii="Times New Roman" w:hAnsi="Times New Roman" w:cs="Times New Roman"/>
          <w:color w:val="222222"/>
          <w:sz w:val="24"/>
          <w:szCs w:val="24"/>
        </w:rPr>
        <w:t>f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manajerial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mempekerjakan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lastRenderedPageBreak/>
        <w:t>memecat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kebutuhan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keamanan</w:t>
      </w:r>
      <w:proofErr w:type="spellEnd"/>
      <w:r w:rsidR="00A55AD4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tepatnya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perlindungan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55AD4">
        <w:rPr>
          <w:rFonts w:ascii="Times New Roman" w:hAnsi="Times New Roman" w:cs="Times New Roman"/>
          <w:color w:val="222222"/>
          <w:sz w:val="24"/>
          <w:szCs w:val="24"/>
        </w:rPr>
        <w:t>terkait</w:t>
      </w:r>
      <w:proofErr w:type="spellEnd"/>
      <w:r w:rsidR="00A55AD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55AD4">
        <w:rPr>
          <w:rFonts w:ascii="Times New Roman" w:hAnsi="Times New Roman" w:cs="Times New Roman"/>
          <w:color w:val="222222"/>
          <w:sz w:val="24"/>
          <w:szCs w:val="24"/>
        </w:rPr>
        <w:t>hal</w:t>
      </w:r>
      <w:proofErr w:type="spellEnd"/>
      <w:r w:rsidR="00A55AD4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bukan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pekerjaan</w:t>
      </w:r>
      <w:r w:rsidR="00A55AD4">
        <w:rPr>
          <w:rFonts w:ascii="Times New Roman" w:hAnsi="Times New Roman" w:cs="Times New Roman"/>
          <w:color w:val="222222"/>
          <w:sz w:val="24"/>
          <w:szCs w:val="24"/>
        </w:rPr>
        <w:t>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–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mungkin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sangat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menarik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mengingat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implikasi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distribusi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komparatifnya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Namun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bahkan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jika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secara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luas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dianggap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arah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mereformasi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institusi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pasar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tenaga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diperingatkan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bahwa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fitur-fitur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model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Nordik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mungkin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ditiru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praktiknya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Secara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khusus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dikatakan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bahwa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keberhasilan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flexicurity pada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gilirannya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mencerminkan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tingkat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kepercayaan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antara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perusahaan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antara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warga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negara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pemerintahnya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0BD981FB" w14:textId="3E0E94F1" w:rsidR="00421DA8" w:rsidRPr="00FA3BD2" w:rsidRDefault="00421DA8" w:rsidP="00FA3BD2">
      <w:pPr>
        <w:spacing w:line="276" w:lineRule="auto"/>
        <w:ind w:firstLine="426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Tipologi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atas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berbeda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klarifikasi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rinci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dihasilkan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</w:t>
      </w:r>
      <w:r w:rsidR="00A55AD4">
        <w:rPr>
          <w:rFonts w:ascii="Times New Roman" w:hAnsi="Times New Roman" w:cs="Times New Roman"/>
          <w:color w:val="222222"/>
          <w:sz w:val="24"/>
          <w:szCs w:val="24"/>
        </w:rPr>
        <w:t>mbahasan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Tapi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sebelumya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perbedaan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luas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berbasis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antara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55AD4">
        <w:rPr>
          <w:rFonts w:ascii="Times New Roman" w:hAnsi="Times New Roman" w:cs="Times New Roman"/>
          <w:color w:val="222222"/>
          <w:sz w:val="24"/>
          <w:szCs w:val="24"/>
        </w:rPr>
        <w:t>peraturan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pasar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tenaga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55AD4">
        <w:rPr>
          <w:rFonts w:ascii="Times New Roman" w:hAnsi="Times New Roman" w:cs="Times New Roman"/>
          <w:color w:val="222222"/>
          <w:sz w:val="24"/>
          <w:szCs w:val="24"/>
        </w:rPr>
        <w:t xml:space="preserve">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berkaitan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karena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sejumlah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alasan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Pertama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mengakui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konsep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fleksibilitas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berbeda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Selanjutnya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mengarahkan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perhatian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55AD4">
        <w:rPr>
          <w:rFonts w:ascii="Times New Roman" w:hAnsi="Times New Roman" w:cs="Times New Roman"/>
          <w:color w:val="222222"/>
          <w:sz w:val="24"/>
          <w:szCs w:val="24"/>
        </w:rPr>
        <w:t>kami</w:t>
      </w:r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interaksi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antar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institusi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Akhirnya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hal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tersebut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meningkatkan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pentingnya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kepercayaan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antara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perusahaan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dan </w:t>
      </w:r>
      <w:proofErr w:type="spellStart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>warga</w:t>
      </w:r>
      <w:proofErr w:type="spellEnd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negara dan </w:t>
      </w:r>
      <w:proofErr w:type="spellStart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>pemerintahnya</w:t>
      </w:r>
      <w:proofErr w:type="spellEnd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>Kepercayaan</w:t>
      </w:r>
      <w:proofErr w:type="spellEnd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>adalah</w:t>
      </w:r>
      <w:proofErr w:type="spellEnd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variable yang </w:t>
      </w:r>
      <w:proofErr w:type="spellStart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>memengaruhi</w:t>
      </w:r>
      <w:proofErr w:type="spellEnd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>analisis</w:t>
      </w:r>
      <w:proofErr w:type="spellEnd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>mikro</w:t>
      </w:r>
      <w:proofErr w:type="spellEnd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>makro</w:t>
      </w:r>
      <w:proofErr w:type="spellEnd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>desain</w:t>
      </w:r>
      <w:proofErr w:type="spellEnd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>kinerja</w:t>
      </w:r>
      <w:proofErr w:type="spellEnd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>kelembagaan</w:t>
      </w:r>
      <w:proofErr w:type="spellEnd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dan </w:t>
      </w:r>
      <w:proofErr w:type="spellStart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>kepercyaan</w:t>
      </w:r>
      <w:proofErr w:type="spellEnd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>itu</w:t>
      </w:r>
      <w:proofErr w:type="spellEnd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>akan</w:t>
      </w:r>
      <w:proofErr w:type="spellEnd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>menonjol</w:t>
      </w:r>
      <w:proofErr w:type="spellEnd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>diskusi</w:t>
      </w:r>
      <w:proofErr w:type="spellEnd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55AD4">
        <w:rPr>
          <w:rFonts w:ascii="Times New Roman" w:hAnsi="Times New Roman" w:cs="Times New Roman"/>
          <w:color w:val="222222"/>
          <w:sz w:val="24"/>
          <w:szCs w:val="24"/>
        </w:rPr>
        <w:t>kami</w:t>
      </w:r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>sedang</w:t>
      </w:r>
      <w:proofErr w:type="spellEnd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>dikembangkan</w:t>
      </w:r>
      <w:proofErr w:type="spellEnd"/>
      <w:r w:rsidR="003A36FA" w:rsidRPr="00FA3BD2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369DC796" w14:textId="334B8817" w:rsidR="003A36FA" w:rsidRPr="00FA3BD2" w:rsidRDefault="003A36FA" w:rsidP="00FA3BD2">
      <w:pPr>
        <w:spacing w:line="276" w:lineRule="auto"/>
        <w:ind w:firstLine="426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bagian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3, kami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kembali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memerik</w:t>
      </w:r>
      <w:r w:rsidR="00A55AD4">
        <w:rPr>
          <w:rFonts w:ascii="Times New Roman" w:hAnsi="Times New Roman" w:cs="Times New Roman"/>
          <w:color w:val="222222"/>
          <w:sz w:val="24"/>
          <w:szCs w:val="24"/>
        </w:rPr>
        <w:t>sa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fleksibilitas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makro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sebagaimana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tercermin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kemampuan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ekonomi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mempertahankan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lapangan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rendah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A55AD4">
        <w:rPr>
          <w:rFonts w:ascii="Times New Roman" w:hAnsi="Times New Roman" w:cs="Times New Roman"/>
          <w:color w:val="222222"/>
          <w:sz w:val="24"/>
          <w:szCs w:val="24"/>
        </w:rPr>
        <w:t xml:space="preserve">salah </w:t>
      </w:r>
      <w:proofErr w:type="spellStart"/>
      <w:r w:rsidR="00A55AD4">
        <w:rPr>
          <w:rFonts w:ascii="Times New Roman" w:hAnsi="Times New Roman" w:cs="Times New Roman"/>
          <w:color w:val="222222"/>
          <w:sz w:val="24"/>
          <w:szCs w:val="24"/>
        </w:rPr>
        <w:t>satunya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menghadapi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guncangan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ekonomi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makro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saat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bagaimanapun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kami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masalah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fleksibilitas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mikro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terus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memberikan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banyak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fleksibilitas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penyesuaian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perusahaan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mengatur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55AD4">
        <w:rPr>
          <w:rFonts w:ascii="Times New Roman" w:hAnsi="Times New Roman" w:cs="Times New Roman"/>
          <w:color w:val="222222"/>
          <w:sz w:val="24"/>
          <w:szCs w:val="24"/>
        </w:rPr>
        <w:t>pangadar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r w:rsidR="00A55AD4">
        <w:rPr>
          <w:rFonts w:ascii="Times New Roman" w:hAnsi="Times New Roman" w:cs="Times New Roman"/>
          <w:color w:val="222222"/>
          <w:sz w:val="24"/>
          <w:szCs w:val="24"/>
        </w:rPr>
        <w:t>kami</w:t>
      </w:r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mulai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teori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konvensional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memonopoli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hal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melihat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efek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negatifnya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Dipandang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kombinasi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pengekangan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perdagangan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memperkenalkan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distorsi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apa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seharusnya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menjadi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pasar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tenaga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efisien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Mereka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mendistorsi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hasil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pasar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tenaga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karen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peningkatan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kompensasi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atas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tingkat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kompetitif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memaksakan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kerugian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bobot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mati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yaitu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pekerjaan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hasil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besar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optimal di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</w:t>
      </w:r>
      <w:r w:rsidR="00A55AD4">
        <w:rPr>
          <w:rFonts w:ascii="Times New Roman" w:hAnsi="Times New Roman" w:cs="Times New Roman"/>
          <w:color w:val="222222"/>
          <w:sz w:val="24"/>
          <w:szCs w:val="24"/>
        </w:rPr>
        <w:t>k</w:t>
      </w:r>
      <w:r w:rsidRPr="00FA3BD2">
        <w:rPr>
          <w:rFonts w:ascii="Times New Roman" w:hAnsi="Times New Roman" w:cs="Times New Roman"/>
          <w:color w:val="222222"/>
          <w:sz w:val="24"/>
          <w:szCs w:val="24"/>
        </w:rPr>
        <w:t>tor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non-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terlalu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sedikit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pekerjaan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hasil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</w:t>
      </w:r>
      <w:r w:rsidR="00A55AD4">
        <w:rPr>
          <w:rFonts w:ascii="Times New Roman" w:hAnsi="Times New Roman" w:cs="Times New Roman"/>
          <w:color w:val="222222"/>
          <w:sz w:val="24"/>
          <w:szCs w:val="24"/>
        </w:rPr>
        <w:t>k</w:t>
      </w:r>
      <w:r w:rsidRPr="00FA3BD2">
        <w:rPr>
          <w:rFonts w:ascii="Times New Roman" w:hAnsi="Times New Roman" w:cs="Times New Roman"/>
          <w:color w:val="222222"/>
          <w:sz w:val="24"/>
          <w:szCs w:val="24"/>
        </w:rPr>
        <w:t>tor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).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Kesalahan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alokasi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sumber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dibatalkan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oleh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setiap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perekrutan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berkualitas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tinggi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selanjutnya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oleh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pengusaha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berserikat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bahkan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55AD4">
        <w:rPr>
          <w:rFonts w:ascii="Times New Roman" w:hAnsi="Times New Roman" w:cs="Times New Roman"/>
          <w:color w:val="222222"/>
          <w:sz w:val="24"/>
          <w:szCs w:val="24"/>
        </w:rPr>
        <w:t>meskipun</w:t>
      </w:r>
      <w:proofErr w:type="spellEnd"/>
      <w:r w:rsidR="00A55AD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jika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itulah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sebenarnya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terjadi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lihat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Hirsch 2004b:422).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kerugian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kesejahteraan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55AD4">
        <w:rPr>
          <w:rFonts w:ascii="Times New Roman" w:hAnsi="Times New Roman" w:cs="Times New Roman"/>
          <w:color w:val="222222"/>
          <w:sz w:val="24"/>
          <w:szCs w:val="24"/>
        </w:rPr>
        <w:t>hal</w:t>
      </w:r>
      <w:proofErr w:type="spellEnd"/>
      <w:r w:rsidR="00A55AD4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konvensional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menambahkan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biaya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output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berasal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buku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peraturan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mengurangi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kebijaksanaan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manajemen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</w:t>
      </w:r>
      <w:r w:rsidR="00A55AD4">
        <w:rPr>
          <w:rFonts w:ascii="Times New Roman" w:hAnsi="Times New Roman" w:cs="Times New Roman"/>
          <w:color w:val="222222"/>
          <w:sz w:val="24"/>
          <w:szCs w:val="24"/>
        </w:rPr>
        <w:t>ungkapkan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bahwa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saat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sangat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jarang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menambahkan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kerugian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output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diduga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pemogokan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baik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alasan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bahwa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hal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praktiknya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dihindari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substitusi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antarwaktu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campur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tangan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karena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penerimaan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sekarang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tersebar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luas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gagasan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bahwa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pemogokan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berada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suatu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perasaan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masuk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akal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kekuatan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serangan-ancaman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dimanifestasikan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upah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premium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daripada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</w:t>
      </w:r>
      <w:r w:rsidR="00A55AD4">
        <w:rPr>
          <w:rFonts w:ascii="Times New Roman" w:hAnsi="Times New Roman" w:cs="Times New Roman"/>
          <w:color w:val="222222"/>
          <w:sz w:val="24"/>
          <w:szCs w:val="24"/>
        </w:rPr>
        <w:t>mberhentian</w:t>
      </w:r>
      <w:proofErr w:type="spellEnd"/>
      <w:r w:rsidR="00A55AD4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="00A55AD4">
        <w:rPr>
          <w:rFonts w:ascii="Times New Roman" w:hAnsi="Times New Roman" w:cs="Times New Roman"/>
          <w:color w:val="222222"/>
          <w:sz w:val="24"/>
          <w:szCs w:val="24"/>
        </w:rPr>
        <w:t>pemecatan</w:t>
      </w:r>
      <w:proofErr w:type="spellEnd"/>
      <w:r w:rsidR="00A55AD4">
        <w:rPr>
          <w:rFonts w:ascii="Times New Roman" w:hAnsi="Times New Roman" w:cs="Times New Roman"/>
          <w:color w:val="222222"/>
          <w:sz w:val="24"/>
          <w:szCs w:val="24"/>
        </w:rPr>
        <w:t>)</w:t>
      </w:r>
      <w:r w:rsidRPr="00FA3BD2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3F78CE9B" w14:textId="4DB64A2C" w:rsidR="003A36FA" w:rsidRPr="00FA3BD2" w:rsidRDefault="00C626B7" w:rsidP="00FA3BD2">
      <w:pPr>
        <w:spacing w:line="276" w:lineRule="auto"/>
        <w:ind w:firstLine="426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Tetapi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ada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pandangan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berlawanan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menekankan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efek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peningkatan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nilai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mereka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Eksponen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utama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model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suara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kolektif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Freeman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Medoff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(1984),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fokusnya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operasi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pasar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tenaga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internal. Freeman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Medoff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mencatat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ambiguitas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diperkenalkan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oleh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keterikatan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jangka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panjang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antara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perusahaan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sebagian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lastRenderedPageBreak/>
        <w:t>besar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tenaga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kerjanya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terkait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sifat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efisiensi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mekanisme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standar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="0010556A">
        <w:rPr>
          <w:rFonts w:ascii="Times New Roman" w:hAnsi="Times New Roman" w:cs="Times New Roman"/>
          <w:color w:val="222222"/>
          <w:sz w:val="24"/>
          <w:szCs w:val="24"/>
        </w:rPr>
        <w:t>hasil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Ketergantungan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perusahaan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berhenti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mengekstraksi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informasi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relevan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desain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campuran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upah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efisien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kondisi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menimbulkan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inefisiensi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berfokus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preferensi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mar</w:t>
      </w:r>
      <w:r w:rsidR="0010556A">
        <w:rPr>
          <w:rFonts w:ascii="Times New Roman" w:hAnsi="Times New Roman" w:cs="Times New Roman"/>
          <w:color w:val="222222"/>
          <w:sz w:val="24"/>
          <w:szCs w:val="24"/>
        </w:rPr>
        <w:t>g</w:t>
      </w:r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inal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daripada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karyawan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tua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stabil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berpotensi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berharga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>. (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ada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juga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biaya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mobilitas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sisi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lain pasar).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Akibatnya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suara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komunikasi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langusng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antara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perusahaan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memenuhi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peran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membawa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kondisi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a</w:t>
      </w:r>
      <w:r w:rsidR="0010556A">
        <w:rPr>
          <w:rFonts w:ascii="Times New Roman" w:hAnsi="Times New Roman" w:cs="Times New Roman"/>
          <w:color w:val="222222"/>
          <w:sz w:val="24"/>
          <w:szCs w:val="24"/>
        </w:rPr>
        <w:t>k</w:t>
      </w:r>
      <w:r w:rsidRPr="00FA3BD2">
        <w:rPr>
          <w:rFonts w:ascii="Times New Roman" w:hAnsi="Times New Roman" w:cs="Times New Roman"/>
          <w:color w:val="222222"/>
          <w:sz w:val="24"/>
          <w:szCs w:val="24"/>
        </w:rPr>
        <w:t>tual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diinginkan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menjadi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dekat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573F991B" w14:textId="76FD9229" w:rsidR="00451CD5" w:rsidRPr="00FA3BD2" w:rsidRDefault="00451CD5" w:rsidP="00FA3BD2">
      <w:pPr>
        <w:spacing w:line="276" w:lineRule="auto"/>
        <w:ind w:firstLine="426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10556A">
        <w:rPr>
          <w:rFonts w:ascii="Times New Roman" w:hAnsi="Times New Roman" w:cs="Times New Roman"/>
          <w:color w:val="FF0000"/>
          <w:sz w:val="24"/>
          <w:szCs w:val="24"/>
        </w:rPr>
        <w:t xml:space="preserve">Yang </w:t>
      </w:r>
      <w:proofErr w:type="spellStart"/>
      <w:r w:rsidRPr="0010556A">
        <w:rPr>
          <w:rFonts w:ascii="Times New Roman" w:hAnsi="Times New Roman" w:cs="Times New Roman"/>
          <w:color w:val="FF0000"/>
          <w:sz w:val="24"/>
          <w:szCs w:val="24"/>
        </w:rPr>
        <w:t>penting</w:t>
      </w:r>
      <w:proofErr w:type="spellEnd"/>
      <w:r w:rsidRPr="001055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0556A" w:rsidRPr="0010556A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1055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0556A">
        <w:rPr>
          <w:rFonts w:ascii="Times New Roman" w:hAnsi="Times New Roman" w:cs="Times New Roman"/>
          <w:color w:val="FF0000"/>
          <w:sz w:val="24"/>
          <w:szCs w:val="24"/>
        </w:rPr>
        <w:t>argumen</w:t>
      </w:r>
      <w:proofErr w:type="spellEnd"/>
      <w:r w:rsidRPr="001055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0556A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1055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0556A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1055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0556A">
        <w:rPr>
          <w:rFonts w:ascii="Times New Roman" w:hAnsi="Times New Roman" w:cs="Times New Roman"/>
          <w:color w:val="FF0000"/>
          <w:sz w:val="24"/>
          <w:szCs w:val="24"/>
        </w:rPr>
        <w:t>bahwa</w:t>
      </w:r>
      <w:proofErr w:type="spellEnd"/>
      <w:r w:rsidRPr="001055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0556A">
        <w:rPr>
          <w:rFonts w:ascii="Times New Roman" w:hAnsi="Times New Roman" w:cs="Times New Roman"/>
          <w:color w:val="FF0000"/>
          <w:sz w:val="24"/>
          <w:szCs w:val="24"/>
        </w:rPr>
        <w:t>banyak</w:t>
      </w:r>
      <w:proofErr w:type="spellEnd"/>
      <w:r w:rsidRPr="001055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0556A">
        <w:rPr>
          <w:rFonts w:ascii="Times New Roman" w:hAnsi="Times New Roman" w:cs="Times New Roman"/>
          <w:color w:val="FF0000"/>
          <w:sz w:val="24"/>
          <w:szCs w:val="24"/>
        </w:rPr>
        <w:t>kondisi</w:t>
      </w:r>
      <w:proofErr w:type="spellEnd"/>
      <w:r w:rsidRPr="001055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0556A">
        <w:rPr>
          <w:rFonts w:ascii="Times New Roman" w:hAnsi="Times New Roman" w:cs="Times New Roman"/>
          <w:color w:val="FF0000"/>
          <w:sz w:val="24"/>
          <w:szCs w:val="24"/>
        </w:rPr>
        <w:t>kerja</w:t>
      </w:r>
      <w:proofErr w:type="spellEnd"/>
      <w:r w:rsidRPr="0010556A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10556A">
        <w:rPr>
          <w:rFonts w:ascii="Times New Roman" w:hAnsi="Times New Roman" w:cs="Times New Roman"/>
          <w:color w:val="FF0000"/>
          <w:sz w:val="24"/>
          <w:szCs w:val="24"/>
        </w:rPr>
        <w:t>merupakan</w:t>
      </w:r>
      <w:proofErr w:type="spellEnd"/>
      <w:r w:rsidRPr="001055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0556A">
        <w:rPr>
          <w:rFonts w:ascii="Times New Roman" w:hAnsi="Times New Roman" w:cs="Times New Roman"/>
          <w:color w:val="FF0000"/>
          <w:sz w:val="24"/>
          <w:szCs w:val="24"/>
        </w:rPr>
        <w:t>barang</w:t>
      </w:r>
      <w:r w:rsidR="005E5133" w:rsidRPr="0010556A">
        <w:rPr>
          <w:rFonts w:ascii="Times New Roman" w:hAnsi="Times New Roman" w:cs="Times New Roman"/>
          <w:color w:val="FF0000"/>
          <w:sz w:val="24"/>
          <w:szCs w:val="24"/>
        </w:rPr>
        <w:t>-barang</w:t>
      </w:r>
      <w:proofErr w:type="spellEnd"/>
      <w:r w:rsidRPr="001055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E5133" w:rsidRPr="0010556A">
        <w:rPr>
          <w:rFonts w:ascii="Times New Roman" w:hAnsi="Times New Roman" w:cs="Times New Roman"/>
          <w:color w:val="FF0000"/>
          <w:sz w:val="24"/>
          <w:szCs w:val="24"/>
        </w:rPr>
        <w:t>publik</w:t>
      </w:r>
      <w:proofErr w:type="spellEnd"/>
      <w:r w:rsidR="005E5133" w:rsidRPr="0010556A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5E5133" w:rsidRPr="0010556A">
        <w:rPr>
          <w:rFonts w:ascii="Times New Roman" w:hAnsi="Times New Roman" w:cs="Times New Roman"/>
          <w:color w:val="FF0000"/>
          <w:sz w:val="24"/>
          <w:szCs w:val="24"/>
        </w:rPr>
        <w:t>berarti</w:t>
      </w:r>
      <w:proofErr w:type="spellEnd"/>
      <w:r w:rsidR="005E5133" w:rsidRPr="001055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E5133" w:rsidRPr="0010556A">
        <w:rPr>
          <w:rFonts w:ascii="Times New Roman" w:hAnsi="Times New Roman" w:cs="Times New Roman"/>
          <w:color w:val="FF0000"/>
          <w:sz w:val="24"/>
          <w:szCs w:val="24"/>
        </w:rPr>
        <w:t>bahwa</w:t>
      </w:r>
      <w:proofErr w:type="spellEnd"/>
      <w:r w:rsidR="005E5133" w:rsidRPr="001055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E5133" w:rsidRPr="0010556A">
        <w:rPr>
          <w:rFonts w:ascii="Times New Roman" w:hAnsi="Times New Roman" w:cs="Times New Roman"/>
          <w:color w:val="FF0000"/>
          <w:sz w:val="24"/>
          <w:szCs w:val="24"/>
        </w:rPr>
        <w:t>konsumsi</w:t>
      </w:r>
      <w:proofErr w:type="spellEnd"/>
      <w:r w:rsidR="005E5133" w:rsidRPr="001055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E5133" w:rsidRPr="0010556A">
        <w:rPr>
          <w:rFonts w:ascii="Times New Roman" w:hAnsi="Times New Roman" w:cs="Times New Roman"/>
          <w:color w:val="FF0000"/>
          <w:sz w:val="24"/>
          <w:szCs w:val="24"/>
        </w:rPr>
        <w:t>mereka</w:t>
      </w:r>
      <w:proofErr w:type="spellEnd"/>
      <w:r w:rsidR="005E5133" w:rsidRPr="001055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E5133" w:rsidRPr="0010556A">
        <w:rPr>
          <w:rFonts w:ascii="Times New Roman" w:hAnsi="Times New Roman" w:cs="Times New Roman"/>
          <w:color w:val="FF0000"/>
          <w:sz w:val="24"/>
          <w:szCs w:val="24"/>
        </w:rPr>
        <w:t>bukan</w:t>
      </w:r>
      <w:proofErr w:type="spellEnd"/>
      <w:r w:rsidR="005E5133" w:rsidRPr="001055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E5133" w:rsidRPr="0010556A">
        <w:rPr>
          <w:rFonts w:ascii="Times New Roman" w:hAnsi="Times New Roman" w:cs="Times New Roman"/>
          <w:color w:val="FF0000"/>
          <w:sz w:val="24"/>
          <w:szCs w:val="24"/>
        </w:rPr>
        <w:t>saingan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sehingga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pengecualian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konsumsi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tersebut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sulit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atau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10556A">
        <w:rPr>
          <w:rFonts w:ascii="Times New Roman" w:hAnsi="Times New Roman" w:cs="Times New Roman"/>
          <w:color w:val="222222"/>
          <w:sz w:val="24"/>
          <w:szCs w:val="24"/>
        </w:rPr>
        <w:t>bahkan</w:t>
      </w:r>
      <w:proofErr w:type="spellEnd"/>
      <w:r w:rsidR="0010556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tidak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memungkinkan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contohnya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termasuk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kondisi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keselamatan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kecepatan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jalur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).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Tanpa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suatu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bentuk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agen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kolektif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– yang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sepanjang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waktu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disamakan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serikat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otonom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oleh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penulis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–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insentif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pekerja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mengekspresikan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preferensi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mereka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akan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terlalu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kecil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Aspek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barang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publi</w:t>
      </w:r>
      <w:r w:rsidR="0010556A">
        <w:rPr>
          <w:rFonts w:ascii="Times New Roman" w:hAnsi="Times New Roman" w:cs="Times New Roman"/>
          <w:color w:val="222222"/>
          <w:sz w:val="24"/>
          <w:szCs w:val="24"/>
        </w:rPr>
        <w:t>k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lain yang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muncul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tempat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kerja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saling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melengkapi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keadaan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tersebut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sikap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moral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pekerja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berpotensi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menjadi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masukan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penting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ke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proses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alasan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sama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seperti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digunakan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sebelumnya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10556A">
        <w:rPr>
          <w:rFonts w:ascii="Times New Roman" w:hAnsi="Times New Roman" w:cs="Times New Roman"/>
          <w:color w:val="222222"/>
          <w:sz w:val="24"/>
          <w:szCs w:val="24"/>
        </w:rPr>
        <w:t>koleksi</w:t>
      </w:r>
      <w:proofErr w:type="spellEnd"/>
      <w:r w:rsidR="0010556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10556A">
        <w:rPr>
          <w:rFonts w:ascii="Times New Roman" w:hAnsi="Times New Roman" w:cs="Times New Roman"/>
          <w:color w:val="222222"/>
          <w:sz w:val="24"/>
          <w:szCs w:val="24"/>
        </w:rPr>
        <w:t>organisasi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dapat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meningkatkan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hasil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melalui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upaya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penentuan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masukan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bersama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mungkin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lebih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melalui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peningkatan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kerjasama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antara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pekerja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di pasar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secara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terus-menerus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Kami </w:t>
      </w:r>
      <w:proofErr w:type="spellStart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>mencatat</w:t>
      </w:r>
      <w:proofErr w:type="spellEnd"/>
      <w:r w:rsidR="005E5133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bahwa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agar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argumen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barang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publi</w:t>
      </w:r>
      <w:r w:rsidR="0010556A">
        <w:rPr>
          <w:rFonts w:ascii="Times New Roman" w:hAnsi="Times New Roman" w:cs="Times New Roman"/>
          <w:color w:val="222222"/>
          <w:sz w:val="24"/>
          <w:szCs w:val="24"/>
        </w:rPr>
        <w:t>k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kekuatan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dan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seperti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ditulis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Freeman (1976),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dua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syarat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selanjutnya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harus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dipenuhi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Pertama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harus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ada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biaya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menggunakan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pasar regular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karena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jika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berhenti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tidak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ada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biaya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pekerja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individu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dapat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mudah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memilih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majikan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kondisi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kerjanya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paling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mendekati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perkiraan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preferensi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mereka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Kedua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tempat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kerja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harus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mendapat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guncangan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tak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terduga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sifatnya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mengubah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konteks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informasi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;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jika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tidak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tidak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akan</w:t>
      </w:r>
      <w:proofErr w:type="spellEnd"/>
      <w:r w:rsidR="0010556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ada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kebutuhan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fungsi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pengungkapan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permintaan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serikat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setelah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pertandingan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formatif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Perhatikan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juga,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bahwa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suatu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distorsi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keputusan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pemisahan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–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pajak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dipisah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– juga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pusat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bagi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pilihan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pekerja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perusahaan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pengaturan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upah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kolektif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atas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individual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model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tawar-menawar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kolektif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endogen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Beori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>Burda</w:t>
      </w:r>
      <w:proofErr w:type="spellEnd"/>
      <w:r w:rsidR="000B1AD1"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(2009).</w:t>
      </w:r>
    </w:p>
    <w:p w14:paraId="2A3F9F7A" w14:textId="009DAC6F" w:rsidR="000B1AD1" w:rsidRPr="00FA3BD2" w:rsidRDefault="000B1AD1" w:rsidP="00FA3BD2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demikian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terdapat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sejumlah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saluran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infromasi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sebagian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besar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di mana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instrumen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suara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koleksi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meningkatakan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operasi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color w:val="222222"/>
          <w:sz w:val="24"/>
          <w:szCs w:val="24"/>
        </w:rPr>
        <w:t>tempat</w:t>
      </w:r>
      <w:proofErr w:type="spellEnd"/>
      <w:r w:rsidRPr="00FA3BD2">
        <w:rPr>
          <w:rFonts w:ascii="Times New Roman" w:hAnsi="Times New Roman" w:cs="Times New Roman"/>
          <w:color w:val="222222"/>
          <w:sz w:val="24"/>
          <w:szCs w:val="24"/>
        </w:rPr>
        <w:t xml:space="preserve"> kerja.</w:t>
      </w:r>
      <w:r w:rsidRPr="00FA3BD2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FA3BD2">
        <w:rPr>
          <w:rFonts w:ascii="Times New Roman" w:hAnsi="Times New Roman" w:cs="Times New Roman"/>
          <w:color w:val="222222"/>
          <w:sz w:val="24"/>
          <w:szCs w:val="24"/>
          <w:vertAlign w:val="subscript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Manifestasi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56A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perekrutan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difasilitasi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B312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12F" w:rsidRPr="00FA3BD2">
        <w:rPr>
          <w:rFonts w:ascii="Times New Roman" w:hAnsi="Times New Roman" w:cs="Times New Roman"/>
          <w:sz w:val="24"/>
          <w:szCs w:val="24"/>
        </w:rPr>
        <w:t>senioritas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>.</w:t>
      </w:r>
    </w:p>
    <w:p w14:paraId="5CA817F8" w14:textId="0677F549" w:rsidR="00BB312F" w:rsidRPr="00FA3BD2" w:rsidRDefault="00BB312F" w:rsidP="00FA3BD2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Freeman dan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Medoff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modern, di mana tata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berspesialisasi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kredibel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56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105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56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direduksi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lastRenderedPageBreak/>
        <w:t>merugikan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surplus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majikan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ditafsirkan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EF" w:rsidRPr="00FA3BD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C48EF" w:rsidRPr="00FA3BD2">
        <w:rPr>
          <w:rFonts w:ascii="Times New Roman" w:hAnsi="Times New Roman" w:cs="Times New Roman"/>
          <w:sz w:val="24"/>
          <w:szCs w:val="24"/>
        </w:rPr>
        <w:t xml:space="preserve"> modern.</w:t>
      </w:r>
    </w:p>
    <w:p w14:paraId="45B64508" w14:textId="0C9C69FC" w:rsidR="00DC48EF" w:rsidRPr="00FA3BD2" w:rsidRDefault="00DC48EF" w:rsidP="00FA3BD2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penahanan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” di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Corporatist Model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Teulings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dan Hartog (1998)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dilembagakan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korporatisme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alokatif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pengikatan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nominal-nominal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pasca-negosiasi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56A">
        <w:rPr>
          <w:rFonts w:ascii="Times New Roman" w:hAnsi="Times New Roman" w:cs="Times New Roman"/>
          <w:sz w:val="24"/>
          <w:szCs w:val="24"/>
        </w:rPr>
        <w:t>seelah</w:t>
      </w:r>
      <w:proofErr w:type="spellEnd"/>
      <w:r w:rsidR="00105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56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05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56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efesien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ketidakjelasan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kredibilitas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janji-janji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pengerahan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tawar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model Freeman-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Medoff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monopoli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bersihnya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56A">
        <w:rPr>
          <w:rFonts w:ascii="Times New Roman" w:hAnsi="Times New Roman" w:cs="Times New Roman"/>
          <w:sz w:val="24"/>
          <w:szCs w:val="24"/>
        </w:rPr>
        <w:t>t</w:t>
      </w:r>
      <w:r w:rsidRPr="00FA3BD2">
        <w:rPr>
          <w:rFonts w:ascii="Times New Roman" w:hAnsi="Times New Roman" w:cs="Times New Roman"/>
          <w:sz w:val="24"/>
          <w:szCs w:val="24"/>
        </w:rPr>
        <w:t>arik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9D8" w:rsidRPr="00FA3BD2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="00CF39D8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9D8" w:rsidRPr="00FA3BD2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="00CF39D8"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39D8" w:rsidRPr="00FA3BD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CF39D8" w:rsidRPr="00FA3BD2">
        <w:rPr>
          <w:rFonts w:ascii="Times New Roman" w:hAnsi="Times New Roman" w:cs="Times New Roman"/>
          <w:sz w:val="24"/>
          <w:szCs w:val="24"/>
        </w:rPr>
        <w:t>.</w:t>
      </w:r>
    </w:p>
    <w:p w14:paraId="7F6E0D4B" w14:textId="2ABFFFA2" w:rsidR="00CF39D8" w:rsidRPr="00FA3BD2" w:rsidRDefault="00CF39D8" w:rsidP="00FA3BD2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variab</w:t>
      </w:r>
      <w:r w:rsidR="0010556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56A" w:rsidRPr="00FA3BD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0556A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serika</w:t>
      </w:r>
      <w:r w:rsidR="0010556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Addison dan Hirsch 1989; Hirsch 2004b). </w:t>
      </w:r>
      <w:proofErr w:type="spellStart"/>
      <w:r w:rsidR="00914161">
        <w:rPr>
          <w:rFonts w:ascii="Times New Roman" w:hAnsi="Times New Roman" w:cs="Times New Roman"/>
          <w:sz w:val="24"/>
          <w:szCs w:val="24"/>
        </w:rPr>
        <w:t>K</w:t>
      </w:r>
      <w:r w:rsidRPr="00FA3BD2">
        <w:rPr>
          <w:rFonts w:ascii="Times New Roman" w:hAnsi="Times New Roman" w:cs="Times New Roman"/>
          <w:sz w:val="24"/>
          <w:szCs w:val="24"/>
        </w:rPr>
        <w:t>edua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1416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(Hirsch 1991).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161" w:rsidRPr="00FA3BD2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914161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premi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nol.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16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Doucouliagos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dan Laroche 2009).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Freeman dan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Medoff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redistributif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Hirsch (2004b: 433-434)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denga</w:t>
      </w:r>
      <w:r w:rsidR="0091416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914161" w:rsidRPr="00FA3B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14161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>.</w:t>
      </w:r>
    </w:p>
    <w:p w14:paraId="1F4F116A" w14:textId="541CA8C9" w:rsidR="00CF39D8" w:rsidRPr="00FA3BD2" w:rsidRDefault="00CF39D8" w:rsidP="00FA3BD2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BD2">
        <w:rPr>
          <w:rFonts w:ascii="Times New Roman" w:hAnsi="Times New Roman" w:cs="Times New Roman"/>
          <w:sz w:val="24"/>
          <w:szCs w:val="24"/>
        </w:rPr>
        <w:lastRenderedPageBreak/>
        <w:t>Keempat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mod</w:t>
      </w:r>
      <w:r w:rsidR="000A580D" w:rsidRPr="00FA3BD2">
        <w:rPr>
          <w:rFonts w:ascii="Times New Roman" w:hAnsi="Times New Roman" w:cs="Times New Roman"/>
          <w:sz w:val="24"/>
          <w:szCs w:val="24"/>
        </w:rPr>
        <w:t>a</w:t>
      </w:r>
      <w:r w:rsidRPr="00FA3BD2">
        <w:rPr>
          <w:rFonts w:ascii="Times New Roman" w:hAnsi="Times New Roman" w:cs="Times New Roman"/>
          <w:sz w:val="24"/>
          <w:szCs w:val="24"/>
        </w:rPr>
        <w:t xml:space="preserve">l </w:t>
      </w:r>
      <w:r w:rsidR="000A580D" w:rsidRPr="00FA3BD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>)</w:t>
      </w:r>
      <w:r w:rsidR="000A580D" w:rsidRPr="00FA3B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(R&amp;D). </w:t>
      </w:r>
      <w:proofErr w:type="spellStart"/>
      <w:r w:rsidR="00914161">
        <w:rPr>
          <w:rFonts w:ascii="Times New Roman" w:hAnsi="Times New Roman" w:cs="Times New Roman"/>
          <w:sz w:val="24"/>
          <w:szCs w:val="24"/>
        </w:rPr>
        <w:t>P</w:t>
      </w:r>
      <w:r w:rsidR="000A580D" w:rsidRPr="00FA3BD2"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oleh Hirsch (1991)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kuasi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dan R&amp;D. (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1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). Perusahaan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eksposur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, yang paling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mengurasi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: yang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pasar modal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0D" w:rsidRPr="00FA3BD2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="000A580D" w:rsidRPr="00FA3BD2">
        <w:rPr>
          <w:rFonts w:ascii="Times New Roman" w:hAnsi="Times New Roman" w:cs="Times New Roman"/>
          <w:sz w:val="24"/>
          <w:szCs w:val="24"/>
        </w:rPr>
        <w:t>).</w:t>
      </w:r>
    </w:p>
    <w:p w14:paraId="4C97EADB" w14:textId="7EC54F02" w:rsidR="000A580D" w:rsidRPr="00FA3BD2" w:rsidRDefault="000A580D" w:rsidP="00FA3BD2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diantisipasi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Leonard 1992)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>, DiNardo dan Lee 2004).</w:t>
      </w:r>
      <w:r w:rsidRPr="00FA3BD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Di</w:t>
      </w:r>
      <w:r w:rsidR="00914161">
        <w:rPr>
          <w:rFonts w:ascii="Times New Roman" w:hAnsi="Times New Roman" w:cs="Times New Roman"/>
          <w:sz w:val="24"/>
          <w:szCs w:val="24"/>
        </w:rPr>
        <w:t>kemukakan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industri-indutsri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berserikat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(Dunne dan Macpherson 1994)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premia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substansial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</w:t>
      </w:r>
      <w:r w:rsidR="00C7565F" w:rsidRPr="00FA3BD2">
        <w:rPr>
          <w:rFonts w:ascii="Times New Roman" w:hAnsi="Times New Roman" w:cs="Times New Roman"/>
          <w:sz w:val="24"/>
          <w:szCs w:val="24"/>
        </w:rPr>
        <w:t>awarkan</w:t>
      </w:r>
      <w:proofErr w:type="spellEnd"/>
      <w:r w:rsidR="00C7565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65F" w:rsidRPr="00FA3BD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7565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65F" w:rsidRPr="00FA3BD2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="00C7565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65F" w:rsidRPr="00FA3BD2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C7565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65F" w:rsidRPr="00FA3B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7565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65F" w:rsidRPr="00FA3BD2">
        <w:rPr>
          <w:rFonts w:ascii="Times New Roman" w:hAnsi="Times New Roman" w:cs="Times New Roman"/>
          <w:sz w:val="24"/>
          <w:szCs w:val="24"/>
        </w:rPr>
        <w:t>konsesi</w:t>
      </w:r>
      <w:proofErr w:type="spellEnd"/>
      <w:r w:rsidR="00C7565F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65F" w:rsidRPr="00FA3BD2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="00C7565F" w:rsidRPr="00FA3BD2">
        <w:rPr>
          <w:rFonts w:ascii="Times New Roman" w:hAnsi="Times New Roman" w:cs="Times New Roman"/>
          <w:sz w:val="24"/>
          <w:szCs w:val="24"/>
        </w:rPr>
        <w:t xml:space="preserve"> (Hirsch 2004b: 438).</w:t>
      </w:r>
    </w:p>
    <w:p w14:paraId="26D2FAD5" w14:textId="57D5714A" w:rsidR="00C7565F" w:rsidRPr="00FA3BD2" w:rsidRDefault="00C7565F" w:rsidP="00FA3BD2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berhentinya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416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AS,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Hirsch (1991)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profi</w:t>
      </w:r>
      <w:r w:rsidR="00914161">
        <w:rPr>
          <w:rFonts w:ascii="Times New Roman" w:hAnsi="Times New Roman" w:cs="Times New Roman"/>
          <w:sz w:val="24"/>
          <w:szCs w:val="24"/>
        </w:rPr>
        <w:t>ta</w:t>
      </w:r>
      <w:r w:rsidRPr="00FA3BD2">
        <w:rPr>
          <w:rFonts w:ascii="Times New Roman" w:hAnsi="Times New Roman" w:cs="Times New Roman"/>
          <w:sz w:val="24"/>
          <w:szCs w:val="24"/>
        </w:rPr>
        <w:t>bilitas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1970-an dan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1977 dan 1987,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negara lain,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di AS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</w:t>
      </w:r>
      <w:r w:rsidR="00914161">
        <w:rPr>
          <w:rFonts w:ascii="Times New Roman" w:hAnsi="Times New Roman" w:cs="Times New Roman"/>
          <w:sz w:val="24"/>
          <w:szCs w:val="24"/>
        </w:rPr>
        <w:t>k</w:t>
      </w:r>
      <w:r w:rsidRPr="00FA3BD2">
        <w:rPr>
          <w:rFonts w:ascii="Times New Roman" w:hAnsi="Times New Roman" w:cs="Times New Roman"/>
          <w:sz w:val="24"/>
          <w:szCs w:val="24"/>
        </w:rPr>
        <w:t>enario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(Black and Lynch 2001).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penampang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dan data panel pada 638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representati</w:t>
      </w:r>
      <w:r w:rsidR="008A33F9" w:rsidRPr="00FA3BD2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>,</w:t>
      </w:r>
      <w:r w:rsidRPr="00FA3BD2">
        <w:rPr>
          <w:rFonts w:ascii="Times New Roman" w:hAnsi="Times New Roman" w:cs="Times New Roman"/>
          <w:sz w:val="24"/>
          <w:szCs w:val="24"/>
        </w:rPr>
        <w:t xml:space="preserve"> 1987-</w:t>
      </w:r>
      <w:r w:rsidR="008A33F9" w:rsidRPr="00FA3BD2">
        <w:rPr>
          <w:rFonts w:ascii="Times New Roman" w:hAnsi="Times New Roman" w:cs="Times New Roman"/>
          <w:sz w:val="24"/>
          <w:szCs w:val="24"/>
        </w:rPr>
        <w:t xml:space="preserve">1993,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tolok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total,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pekerjanya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manajerialnya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13,5%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praktik-praktik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berkinerja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4,5% -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faktanya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F9" w:rsidRPr="00FA3B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A33F9" w:rsidRPr="00FA3BD2">
        <w:rPr>
          <w:rFonts w:ascii="Times New Roman" w:hAnsi="Times New Roman" w:cs="Times New Roman"/>
          <w:sz w:val="24"/>
          <w:szCs w:val="24"/>
        </w:rPr>
        <w:t>.</w:t>
      </w:r>
    </w:p>
    <w:p w14:paraId="237CCC35" w14:textId="3267F7CE" w:rsidR="008A33F9" w:rsidRPr="00FA3BD2" w:rsidRDefault="008A33F9" w:rsidP="00FA3BD2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oleh model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batubara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Bituminous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oleh Freeman dan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Medoff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(1984).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lastRenderedPageBreak/>
        <w:t>perusahaan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dicirikan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tingat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produ</w:t>
      </w:r>
      <w:r w:rsidR="00914161">
        <w:rPr>
          <w:rFonts w:ascii="Times New Roman" w:hAnsi="Times New Roman" w:cs="Times New Roman"/>
          <w:sz w:val="24"/>
          <w:szCs w:val="24"/>
        </w:rPr>
        <w:t>k</w:t>
      </w:r>
      <w:r w:rsidRPr="00FA3BD2">
        <w:rPr>
          <w:rFonts w:ascii="Times New Roman" w:hAnsi="Times New Roman" w:cs="Times New Roman"/>
          <w:sz w:val="24"/>
          <w:szCs w:val="24"/>
        </w:rPr>
        <w:t>tivitas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Katz et al. 1983).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investigasi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1974-1991, dan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Kreuger dan Mas’ (2004)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ban pada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1990-an.</w:t>
      </w:r>
    </w:p>
    <w:p w14:paraId="0D2091A8" w14:textId="77777777" w:rsidR="006B4A0E" w:rsidRDefault="008A33F9" w:rsidP="006B4A0E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BD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siginifikan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terbawa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negara lain?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negara lain (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Blanchflower dan Bryson 2003; Bryson 2010; Hirsch 2004a), orang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AS yang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di garda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komparatif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pada negara-negara Anglo-Saxon yang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Aidt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Tzannatos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2002; Metcalf 2003; </w:t>
      </w:r>
      <w:proofErr w:type="spellStart"/>
      <w:r w:rsidR="000D244E" w:rsidRPr="00FA3BD2">
        <w:rPr>
          <w:rFonts w:ascii="Times New Roman" w:hAnsi="Times New Roman" w:cs="Times New Roman"/>
          <w:sz w:val="24"/>
          <w:szCs w:val="24"/>
        </w:rPr>
        <w:t>Doucouliagos</w:t>
      </w:r>
      <w:proofErr w:type="spellEnd"/>
      <w:r w:rsidR="000D244E" w:rsidRPr="00FA3BD2">
        <w:rPr>
          <w:rFonts w:ascii="Times New Roman" w:hAnsi="Times New Roman" w:cs="Times New Roman"/>
          <w:sz w:val="24"/>
          <w:szCs w:val="24"/>
        </w:rPr>
        <w:t xml:space="preserve"> dan Laroche 2003, 2009).</w:t>
      </w:r>
    </w:p>
    <w:p w14:paraId="15F2B6F2" w14:textId="13FEF664" w:rsidR="006B4A0E" w:rsidRDefault="00483723" w:rsidP="006B4A0E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BD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D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negara oleh Metcalf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perlakuannya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AS,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berkinerja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Samb</w:t>
      </w:r>
      <w:r w:rsidR="00914161">
        <w:rPr>
          <w:rFonts w:ascii="Times New Roman" w:hAnsi="Times New Roman" w:cs="Times New Roman"/>
          <w:sz w:val="24"/>
          <w:szCs w:val="24"/>
        </w:rPr>
        <w:t>i</w:t>
      </w:r>
      <w:r w:rsidR="00FA3BD2" w:rsidRPr="00FA3BD2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1980,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Kanada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Australia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, Metcalf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diagnosis yang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AS dan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Black dan Lynch (2001) yang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AS dan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4161">
        <w:rPr>
          <w:rFonts w:ascii="Times New Roman" w:hAnsi="Times New Roman" w:cs="Times New Roman"/>
          <w:sz w:val="24"/>
          <w:szCs w:val="24"/>
        </w:rPr>
        <w:t>hampi</w:t>
      </w:r>
      <w:r w:rsidR="00FA3BD2" w:rsidRPr="00FA3BD2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diperbandingkan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A3BD2" w:rsidRPr="00FA3B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A3BD2" w:rsidRPr="00FA3BD2">
        <w:rPr>
          <w:rFonts w:ascii="Times New Roman" w:hAnsi="Times New Roman" w:cs="Times New Roman"/>
          <w:sz w:val="24"/>
          <w:szCs w:val="24"/>
        </w:rPr>
        <w:t xml:space="preserve"> </w:t>
      </w:r>
      <w:r w:rsidR="00FA3BD2" w:rsidRP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Management Questionnaire of the 1998 British Workplace Employment Relations Survey</w:t>
      </w:r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(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Manajemen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Kuisioner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dari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Survei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Hubungan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Ketenagakerjaan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Tempat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Kerja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Inggris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1998) dan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memiliki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dasar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dalam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perjanjian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kemitraan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. Metcalf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menawarkan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beberapa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detail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tentang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dampak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kemitraan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tersebut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,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menggunakan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indi</w:t>
      </w:r>
      <w:r w:rsidR="00914161">
        <w:rPr>
          <w:rFonts w:ascii="Times New Roman" w:hAnsi="Times New Roman" w:cs="Times New Roman"/>
          <w:color w:val="131413"/>
          <w:sz w:val="24"/>
          <w:szCs w:val="24"/>
          <w:lang w:val="en-ID"/>
        </w:rPr>
        <w:t>k</w:t>
      </w:r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ator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hasil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subjektif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untuk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produktivitas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(dan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kinerja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keuangan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).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Kemitraan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dianggap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memperoleh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914161">
        <w:rPr>
          <w:rFonts w:ascii="Times New Roman" w:hAnsi="Times New Roman" w:cs="Times New Roman"/>
          <w:color w:val="131413"/>
          <w:sz w:val="24"/>
          <w:szCs w:val="24"/>
          <w:lang w:val="en-ID"/>
        </w:rPr>
        <w:t>hal</w:t>
      </w:r>
      <w:proofErr w:type="spellEnd"/>
      <w:r w:rsidR="00914161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di mana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serikat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pekerja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menegosiasikan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pembayaran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dan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manajemen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bernegosiasi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atau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berkonsultasi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dengan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serikat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pekerja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mengenai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rekrutmen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,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pelatihan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,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sistem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pembayaran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,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menangani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keluhan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,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perencanaan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staf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,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peluang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yang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setara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,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kesehatan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, dan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keselamatan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dan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penilaian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kinerja</w:t>
      </w:r>
      <w:proofErr w:type="spellEnd"/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.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R</w:t>
      </w:r>
      <w:r w:rsidR="00FA3BD2">
        <w:rPr>
          <w:rFonts w:ascii="Times New Roman" w:hAnsi="Times New Roman" w:cs="Times New Roman"/>
          <w:color w:val="131413"/>
          <w:sz w:val="24"/>
          <w:szCs w:val="24"/>
          <w:lang w:val="en-ID"/>
        </w:rPr>
        <w:t>egresi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probi</w:t>
      </w:r>
      <w:r w:rsidR="00914161">
        <w:rPr>
          <w:rFonts w:ascii="Times New Roman" w:hAnsi="Times New Roman" w:cs="Times New Roman"/>
          <w:color w:val="131413"/>
          <w:sz w:val="24"/>
          <w:szCs w:val="24"/>
          <w:lang w:val="en-ID"/>
        </w:rPr>
        <w:t>t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Metcalf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menunjukkan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bahwa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ketika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tempat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kerja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dengan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pengakuan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serikat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pekerja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juga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memiliki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ciri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khas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prkatik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manajemen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sumber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daya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manusa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,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maka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produktivitasnya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(dan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kinerja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keuangan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)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jauh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meningkat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;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yaitu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,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probabilitas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tingkat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di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atas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rata-rata dan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perubahan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produktivitas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(dan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kinerja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keuangan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)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meningkat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secara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signifikan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.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Tempat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kerja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manajemen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sumber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daya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manusia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(SDM)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tanpa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serikat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pekerja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memiliki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produktivitas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dan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kinerja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keuangan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yang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unggul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dibandingkan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dengan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tempat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kerja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beserikat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tanpa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sumber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daya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manusia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(SDM),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tetapi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dalam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studi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ini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,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hanya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dalam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kasus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pertumbuhan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produktivitas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adalah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tempat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kerja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dengan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kinerja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terbaik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yang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memiliki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sumber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daya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manusia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(SDM) dan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pengakuan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serikat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 xml:space="preserve"> </w:t>
      </w:r>
      <w:proofErr w:type="spellStart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pekerja</w:t>
      </w:r>
      <w:proofErr w:type="spellEnd"/>
      <w:r w:rsidR="006B4A0E">
        <w:rPr>
          <w:rFonts w:ascii="Times New Roman" w:hAnsi="Times New Roman" w:cs="Times New Roman"/>
          <w:color w:val="131413"/>
          <w:sz w:val="24"/>
          <w:szCs w:val="24"/>
          <w:lang w:val="en-ID"/>
        </w:rPr>
        <w:t>.</w:t>
      </w:r>
    </w:p>
    <w:p w14:paraId="2B521B01" w14:textId="237FB541" w:rsidR="006B4A0E" w:rsidRDefault="006B4A0E" w:rsidP="006B4A0E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AA2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1980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Australia)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multi-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Metcalf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se (unionism per se).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penggambarannya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industrial di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1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7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17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47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17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47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17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47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1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7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1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47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171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C47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17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471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7171">
        <w:rPr>
          <w:rFonts w:ascii="Times New Roman" w:hAnsi="Times New Roman" w:cs="Times New Roman"/>
          <w:sz w:val="24"/>
          <w:szCs w:val="24"/>
        </w:rPr>
        <w:t>representatif</w:t>
      </w:r>
      <w:proofErr w:type="spellEnd"/>
      <w:r w:rsidR="00C47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1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47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171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C471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71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47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171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C471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4717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C47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1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7171">
        <w:rPr>
          <w:rFonts w:ascii="Times New Roman" w:hAnsi="Times New Roman" w:cs="Times New Roman"/>
          <w:sz w:val="24"/>
          <w:szCs w:val="24"/>
        </w:rPr>
        <w:t>.</w:t>
      </w:r>
    </w:p>
    <w:p w14:paraId="779C4341" w14:textId="61EDE394" w:rsidR="00C47171" w:rsidRDefault="00C47171" w:rsidP="006B4A0E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Metcalf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bentuk-bentuk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</w:t>
      </w:r>
      <w:r w:rsidR="00AA2E6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Batt dan Welbourne 2002) dan </w:t>
      </w:r>
      <w:proofErr w:type="spellStart"/>
      <w:r w:rsidR="00AA2E6B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AA2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E6B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AA2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E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kontemporer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oligopolistik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Metcalf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1990-an,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keuangan.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01533503" w14:textId="4E3EB665" w:rsidR="00C47171" w:rsidRDefault="00C47171" w:rsidP="006B4A0E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Metcalf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dicampur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1980-1984,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legislasi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industrial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menjangkau.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decade 1990-an </w:t>
      </w:r>
      <w:proofErr w:type="spellStart"/>
      <w:r w:rsidR="00AA2E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A2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1980-an </w:t>
      </w:r>
      <w:r w:rsidR="00AA2E6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Addison dan Belfield (2004a)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</w:t>
      </w:r>
      <w:r w:rsidR="00AA2E6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53% pad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1979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28%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1999.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4A7366" w14:textId="4161C061" w:rsidR="00C47171" w:rsidRDefault="00C47171" w:rsidP="006B4A0E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diantisipasi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oleh Metcalf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surveinya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fluks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baru-baru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d</w:t>
      </w:r>
      <w:r w:rsidR="00AA2E6B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dinegosiasikan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. Dewan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lastRenderedPageBreak/>
        <w:t>pelaksanaan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bersam</w:t>
      </w:r>
      <w:r w:rsidR="00AA2E6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nasib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h</w:t>
      </w:r>
      <w:r w:rsidR="00AA2E6B">
        <w:rPr>
          <w:rFonts w:ascii="Times New Roman" w:hAnsi="Times New Roman" w:cs="Times New Roman"/>
          <w:sz w:val="24"/>
          <w:szCs w:val="24"/>
        </w:rPr>
        <w:t>u</w:t>
      </w:r>
      <w:r w:rsidR="00E52C16">
        <w:rPr>
          <w:rFonts w:ascii="Times New Roman" w:hAnsi="Times New Roman" w:cs="Times New Roman"/>
          <w:sz w:val="24"/>
          <w:szCs w:val="24"/>
        </w:rPr>
        <w:t>kum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C16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="00E52C16">
        <w:rPr>
          <w:rFonts w:ascii="Times New Roman" w:hAnsi="Times New Roman" w:cs="Times New Roman"/>
          <w:sz w:val="24"/>
          <w:szCs w:val="24"/>
        </w:rPr>
        <w:t>.</w:t>
      </w:r>
    </w:p>
    <w:p w14:paraId="58074BC2" w14:textId="4F6AC5B6" w:rsidR="00E52C16" w:rsidRDefault="00E52C16" w:rsidP="006B4A0E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Dewan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patut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dicontoh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oleh (salah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perumus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Freeman dan Lazear 1995),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informasional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4DD">
        <w:rPr>
          <w:rFonts w:ascii="Times New Roman" w:hAnsi="Times New Roman" w:cs="Times New Roman"/>
          <w:sz w:val="24"/>
          <w:szCs w:val="24"/>
        </w:rPr>
        <w:t>hu</w:t>
      </w:r>
      <w:r w:rsidR="00963176">
        <w:rPr>
          <w:rFonts w:ascii="Times New Roman" w:hAnsi="Times New Roman" w:cs="Times New Roman"/>
          <w:sz w:val="24"/>
          <w:szCs w:val="24"/>
        </w:rPr>
        <w:t>kum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mogok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d</w:t>
      </w:r>
      <w:r w:rsidR="002804DD">
        <w:rPr>
          <w:rFonts w:ascii="Times New Roman" w:hAnsi="Times New Roman" w:cs="Times New Roman"/>
          <w:sz w:val="24"/>
          <w:szCs w:val="24"/>
        </w:rPr>
        <w:t>ala</w:t>
      </w:r>
      <w:r w:rsidR="00963176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decoupling-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fakor-faktor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surplus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distribusinya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asal-usul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decoupling yang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menyiratkan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tawar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material. Oleh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pada model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1).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9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76"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klausul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9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BA6B9E">
        <w:rPr>
          <w:rFonts w:ascii="Times New Roman" w:hAnsi="Times New Roman" w:cs="Times New Roman"/>
          <w:sz w:val="24"/>
          <w:szCs w:val="24"/>
        </w:rPr>
        <w:t>.</w:t>
      </w:r>
    </w:p>
    <w:p w14:paraId="245D9C0B" w14:textId="323A629F" w:rsidR="00A23F84" w:rsidRDefault="008D305C" w:rsidP="006B4A0E">
      <w:pPr>
        <w:spacing w:line="276" w:lineRule="auto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305C">
        <w:rPr>
          <w:rFonts w:ascii="Times New Roman" w:hAnsi="Times New Roman" w:cs="Times New Roman"/>
          <w:b/>
          <w:bCs/>
          <w:sz w:val="24"/>
          <w:szCs w:val="24"/>
        </w:rPr>
        <w:t>Exhibit 1: (</w:t>
      </w:r>
      <w:proofErr w:type="spellStart"/>
      <w:r w:rsidRPr="008D305C">
        <w:rPr>
          <w:rFonts w:ascii="Times New Roman" w:hAnsi="Times New Roman" w:cs="Times New Roman"/>
          <w:b/>
          <w:bCs/>
          <w:sz w:val="24"/>
          <w:szCs w:val="24"/>
        </w:rPr>
        <w:t>tulisan</w:t>
      </w:r>
      <w:proofErr w:type="spellEnd"/>
      <w:r w:rsidRPr="008D30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05C">
        <w:rPr>
          <w:rFonts w:ascii="Times New Roman" w:hAnsi="Times New Roman" w:cs="Times New Roman"/>
          <w:b/>
          <w:bCs/>
          <w:sz w:val="24"/>
          <w:szCs w:val="24"/>
        </w:rPr>
        <w:t>abu-abu</w:t>
      </w:r>
      <w:proofErr w:type="spellEnd"/>
      <w:r w:rsidRPr="008D305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4E62A28" w14:textId="36B44759" w:rsidR="008D305C" w:rsidRDefault="008D305C" w:rsidP="006B4A0E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Metcalf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Addison 2009, Bab 6).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Hubler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Jirjahn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2003).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unionisme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(Menezes-Filho dan van Reenen 2003).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Metcalf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Addison et al. (2013),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IAB Es</w:t>
      </w:r>
      <w:r w:rsidR="009F3FAE">
        <w:rPr>
          <w:rFonts w:ascii="Times New Roman" w:hAnsi="Times New Roman" w:cs="Times New Roman"/>
          <w:sz w:val="24"/>
          <w:szCs w:val="24"/>
        </w:rPr>
        <w:t xml:space="preserve">tablishment Panel (Panel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IAB)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2007-2012,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menggembirakan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r w:rsidR="009F3FAE">
        <w:rPr>
          <w:rFonts w:ascii="Times New Roman" w:hAnsi="Times New Roman" w:cs="Times New Roman"/>
          <w:sz w:val="24"/>
          <w:szCs w:val="24"/>
        </w:rPr>
        <w:lastRenderedPageBreak/>
        <w:t xml:space="preserve">proses)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dan dewan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kontaminasi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endogen. </w:t>
      </w:r>
      <w:proofErr w:type="spellStart"/>
      <w:r w:rsidR="00A0077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instutisional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kovariat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relati</w:t>
      </w:r>
      <w:r w:rsidR="00A0077D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77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A00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se</w:t>
      </w:r>
      <w:r w:rsidR="00A0077D">
        <w:rPr>
          <w:rFonts w:ascii="Times New Roman" w:hAnsi="Times New Roman" w:cs="Times New Roman"/>
          <w:sz w:val="24"/>
          <w:szCs w:val="24"/>
        </w:rPr>
        <w:t>k</w:t>
      </w:r>
      <w:r w:rsidR="009F3FAE">
        <w:rPr>
          <w:rFonts w:ascii="Times New Roman" w:hAnsi="Times New Roman" w:cs="Times New Roman"/>
          <w:sz w:val="24"/>
          <w:szCs w:val="24"/>
        </w:rPr>
        <w:t>toral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>-d</w:t>
      </w:r>
      <w:r w:rsidR="00A0077D">
        <w:rPr>
          <w:rFonts w:ascii="Times New Roman" w:hAnsi="Times New Roman" w:cs="Times New Roman"/>
          <w:sz w:val="24"/>
          <w:szCs w:val="24"/>
        </w:rPr>
        <w:t>emi</w:t>
      </w:r>
      <w:r w:rsidR="009F3FA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se</w:t>
      </w:r>
      <w:r w:rsidR="00A0077D">
        <w:rPr>
          <w:rFonts w:ascii="Times New Roman" w:hAnsi="Times New Roman" w:cs="Times New Roman"/>
          <w:sz w:val="24"/>
          <w:szCs w:val="24"/>
        </w:rPr>
        <w:t>k</w:t>
      </w:r>
      <w:r w:rsidR="009F3FAE">
        <w:rPr>
          <w:rFonts w:ascii="Times New Roman" w:hAnsi="Times New Roman" w:cs="Times New Roman"/>
          <w:sz w:val="24"/>
          <w:szCs w:val="24"/>
        </w:rPr>
        <w:t>toral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sektoral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sektoral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kehadirannya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sektoral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AE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="009F3FAE">
        <w:rPr>
          <w:rFonts w:ascii="Times New Roman" w:hAnsi="Times New Roman" w:cs="Times New Roman"/>
          <w:sz w:val="24"/>
          <w:szCs w:val="24"/>
        </w:rPr>
        <w:t>.</w:t>
      </w:r>
    </w:p>
    <w:p w14:paraId="709D6788" w14:textId="79421A48" w:rsidR="009F3FAE" w:rsidRDefault="009F3FAE" w:rsidP="006B4A0E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Fairris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Askenazy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(2010)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oleh status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berkinerja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status dewan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statisti</w:t>
      </w:r>
      <w:r w:rsidR="00A0077D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keberangkatan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baru-baru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, Van dan Berg et al. (2013)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(European Company Survey)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2009. Para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di 25 negara Uni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Selatan, Anglo-Saxon,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Skandinavia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oleh dewan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gugus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Germanik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, Austria,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negara Anglo-Saxon, yang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Irlandia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sukarela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dan badan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(</w:t>
      </w:r>
      <w:r w:rsidR="00A0077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material dan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77D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institusional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Jansen 2014), dan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edogenitas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Fa</w:t>
      </w:r>
      <w:r w:rsidR="00A0077D">
        <w:rPr>
          <w:rFonts w:ascii="Times New Roman" w:hAnsi="Times New Roman" w:cs="Times New Roman"/>
          <w:sz w:val="24"/>
          <w:szCs w:val="24"/>
        </w:rPr>
        <w:t>k</w:t>
      </w:r>
      <w:r w:rsidR="007426F9">
        <w:rPr>
          <w:rFonts w:ascii="Times New Roman" w:hAnsi="Times New Roman" w:cs="Times New Roman"/>
          <w:sz w:val="24"/>
          <w:szCs w:val="24"/>
        </w:rPr>
        <w:t>tor-faktor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cross-sectional </w:t>
      </w:r>
      <w:proofErr w:type="spellStart"/>
      <w:r w:rsidR="007426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26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tetang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kekokohan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lastRenderedPageBreak/>
        <w:t>dapat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mengejutkan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terdesentralisai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komparatif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perkemban</w:t>
      </w:r>
      <w:r w:rsidR="00A0077D">
        <w:rPr>
          <w:rFonts w:ascii="Times New Roman" w:hAnsi="Times New Roman" w:cs="Times New Roman"/>
          <w:sz w:val="24"/>
          <w:szCs w:val="24"/>
        </w:rPr>
        <w:t>g</w:t>
      </w:r>
      <w:r w:rsidR="007225E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disambut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7225ED">
        <w:rPr>
          <w:rFonts w:ascii="Times New Roman" w:hAnsi="Times New Roman" w:cs="Times New Roman"/>
          <w:sz w:val="24"/>
          <w:szCs w:val="24"/>
        </w:rPr>
        <w:t>.</w:t>
      </w:r>
    </w:p>
    <w:p w14:paraId="5848C877" w14:textId="45944295" w:rsidR="007225ED" w:rsidRDefault="007225ED" w:rsidP="006B4A0E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maslaah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HPWP (High Performance Work Practices)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praktik-praktik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industrial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mentransformasikan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mengimbangi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</w:t>
      </w:r>
      <w:r w:rsidR="00B27487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kepura-puraan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pabrik-pabrik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praktik-praktik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748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(blue print)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Vulgo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Wood and de Menezes (1998)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</w:t>
      </w:r>
      <w:r w:rsidR="00B27487"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</w:t>
      </w:r>
      <w:r w:rsidR="00B27487"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(HCM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HCM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menegah-rendah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, HCM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rendah-menengah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, dan HCM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mecapai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HCM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HCM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pergantian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HCM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berkinerja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67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B5675">
        <w:rPr>
          <w:rFonts w:ascii="Times New Roman" w:hAnsi="Times New Roman" w:cs="Times New Roman"/>
          <w:sz w:val="24"/>
          <w:szCs w:val="24"/>
        </w:rPr>
        <w:t>.</w:t>
      </w:r>
    </w:p>
    <w:p w14:paraId="417B86C0" w14:textId="0204E25D" w:rsidR="00BB5675" w:rsidRDefault="00BB5675" w:rsidP="006B4A0E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HPWP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Addison (2009, </w:t>
      </w:r>
      <w:proofErr w:type="spellStart"/>
      <w:r>
        <w:rPr>
          <w:rFonts w:ascii="Times New Roman" w:hAnsi="Times New Roman" w:cs="Times New Roman"/>
          <w:sz w:val="24"/>
          <w:szCs w:val="24"/>
        </w:rPr>
        <w:t>hlm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84-93).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2748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2748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pro-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menghadapinya</w:t>
      </w:r>
      <w:proofErr w:type="spellEnd"/>
      <w:r w:rsidR="00B27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487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endogenitas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direalisasian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</w:t>
      </w:r>
      <w:r w:rsidR="00B2748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panel,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487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pergantian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ambiguitas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dipertanyakkan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kausalitas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waku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teramati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praktik-praktik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industrial yang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mengungkap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hierar</w:t>
      </w:r>
      <w:r w:rsidR="00B27487">
        <w:rPr>
          <w:rFonts w:ascii="Times New Roman" w:hAnsi="Times New Roman" w:cs="Times New Roman"/>
          <w:sz w:val="24"/>
          <w:szCs w:val="24"/>
        </w:rPr>
        <w:t>k</w:t>
      </w:r>
      <w:r w:rsidR="00D046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6E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046E4">
        <w:rPr>
          <w:rFonts w:ascii="Times New Roman" w:hAnsi="Times New Roman" w:cs="Times New Roman"/>
          <w:sz w:val="24"/>
          <w:szCs w:val="24"/>
        </w:rPr>
        <w:t>.</w:t>
      </w:r>
    </w:p>
    <w:p w14:paraId="3FBDF994" w14:textId="3882AF8C" w:rsidR="00D046E4" w:rsidRDefault="00D046E4" w:rsidP="00D046E4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negara-negara Anglo-Saxon,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3%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Addison Belfield 2004b).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pabrik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-Thatcher?)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pabrik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bentuk-bentuk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</w:t>
      </w:r>
      <w:r w:rsidR="00B2748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3083F6" w14:textId="6397507B" w:rsidR="007B2F44" w:rsidRDefault="00D046E4" w:rsidP="007B2F44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2000-2010,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Brandhle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Goerke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(2015)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0,8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cross-sectional.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>-d</w:t>
      </w:r>
      <w:r w:rsidR="00B27487">
        <w:rPr>
          <w:rFonts w:ascii="Times New Roman" w:hAnsi="Times New Roman" w:cs="Times New Roman"/>
          <w:sz w:val="24"/>
          <w:szCs w:val="24"/>
        </w:rPr>
        <w:t>emi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heterogenitas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invarian-waktu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</w:t>
      </w:r>
      <w:r w:rsidR="00B27487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cross-sectional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Kesimpulan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faktanya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industrial yang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indi</w:t>
      </w:r>
      <w:r w:rsidR="00B27487">
        <w:rPr>
          <w:rFonts w:ascii="Times New Roman" w:hAnsi="Times New Roman" w:cs="Times New Roman"/>
          <w:sz w:val="24"/>
          <w:szCs w:val="24"/>
        </w:rPr>
        <w:t>k</w:t>
      </w:r>
      <w:r w:rsidR="007B2F44">
        <w:rPr>
          <w:rFonts w:ascii="Times New Roman" w:hAnsi="Times New Roman" w:cs="Times New Roman"/>
          <w:sz w:val="24"/>
          <w:szCs w:val="24"/>
        </w:rPr>
        <w:t>ator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kebangkitan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4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B2F44">
        <w:rPr>
          <w:rFonts w:ascii="Times New Roman" w:hAnsi="Times New Roman" w:cs="Times New Roman"/>
          <w:sz w:val="24"/>
          <w:szCs w:val="24"/>
        </w:rPr>
        <w:t xml:space="preserve"> 2000.</w:t>
      </w:r>
    </w:p>
    <w:p w14:paraId="6FBB7540" w14:textId="275BCC4D" w:rsidR="007B2F44" w:rsidRDefault="007B2F44" w:rsidP="007B2F44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diringkas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kekakuan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sebgaian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mementingkan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didesentralisasi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pertimbangan-pertimbangan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lembaga-lembaga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pro-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mengagregasi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</w:t>
      </w:r>
      <w:r w:rsidR="00B27487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 ante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nominal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85D6AA" w14:textId="4ABD5A24" w:rsidR="00043F91" w:rsidRDefault="00043F91" w:rsidP="007B2F44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</w:t>
      </w:r>
      <w:r w:rsidR="00B27487"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negara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pesimisme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487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B27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487">
        <w:rPr>
          <w:rFonts w:ascii="Times New Roman" w:hAnsi="Times New Roman" w:cs="Times New Roman"/>
          <w:sz w:val="24"/>
          <w:szCs w:val="24"/>
        </w:rPr>
        <w:t>sektoral</w:t>
      </w:r>
      <w:proofErr w:type="spellEnd"/>
      <w:r w:rsidR="00B27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487">
        <w:rPr>
          <w:rFonts w:ascii="Times New Roman" w:hAnsi="Times New Roman" w:cs="Times New Roman"/>
          <w:sz w:val="24"/>
          <w:szCs w:val="24"/>
        </w:rPr>
        <w:t>ganda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codetermination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sui generis,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</w:t>
      </w:r>
      <w:r w:rsidR="00B27487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didesentralisasi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1980-an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Amerika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kemanjuran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transformati</w:t>
      </w:r>
      <w:r w:rsidR="00B27487"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3210C7" w14:textId="7D945C31" w:rsidR="00043F91" w:rsidRDefault="00043F91" w:rsidP="007B2F44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Nordik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korespondensi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Anglo-Saxon,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kohesi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Marsden (2015)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Lampiran 1).</w:t>
      </w:r>
    </w:p>
    <w:p w14:paraId="3FA1C1FB" w14:textId="59DE039C" w:rsidR="001F682F" w:rsidRDefault="001F682F" w:rsidP="001F682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086F5" w14:textId="353D6225" w:rsidR="001F682F" w:rsidRDefault="001F682F" w:rsidP="001F682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682F">
        <w:rPr>
          <w:rFonts w:ascii="Times New Roman" w:hAnsi="Times New Roman" w:cs="Times New Roman"/>
          <w:b/>
          <w:bCs/>
          <w:sz w:val="24"/>
          <w:szCs w:val="24"/>
        </w:rPr>
        <w:t xml:space="preserve">3.2.3 </w:t>
      </w:r>
      <w:proofErr w:type="spellStart"/>
      <w:r w:rsidRPr="001F682F">
        <w:rPr>
          <w:rFonts w:ascii="Times New Roman" w:hAnsi="Times New Roman" w:cs="Times New Roman"/>
          <w:b/>
          <w:bCs/>
          <w:sz w:val="24"/>
          <w:szCs w:val="24"/>
        </w:rPr>
        <w:t>Koordinasi</w:t>
      </w:r>
      <w:proofErr w:type="spellEnd"/>
      <w:r w:rsidRPr="001F68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682F">
        <w:rPr>
          <w:rFonts w:ascii="Times New Roman" w:hAnsi="Times New Roman" w:cs="Times New Roman"/>
          <w:b/>
          <w:bCs/>
          <w:sz w:val="24"/>
          <w:szCs w:val="24"/>
        </w:rPr>
        <w:t>tawar-menawar</w:t>
      </w:r>
      <w:proofErr w:type="spellEnd"/>
    </w:p>
    <w:p w14:paraId="0EEB038E" w14:textId="7BD2E77E" w:rsidR="001F682F" w:rsidRDefault="001F682F" w:rsidP="001F682F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tehadap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pengukurannya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. Visser (2013)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mode dan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parametrik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kelembagaan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06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30206E">
        <w:rPr>
          <w:rFonts w:ascii="Times New Roman" w:hAnsi="Times New Roman" w:cs="Times New Roman"/>
          <w:sz w:val="24"/>
          <w:szCs w:val="24"/>
        </w:rPr>
        <w:t>.</w:t>
      </w:r>
    </w:p>
    <w:p w14:paraId="6507C867" w14:textId="5F4874F0" w:rsidR="0030206E" w:rsidRDefault="0030206E" w:rsidP="001F682F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Traxler et al. (2001).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356D9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Yunani.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disponsori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Finlandia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Irlandia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baru-baru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Italia,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Spanyol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antar-asosiasi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dipraktikkan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Swedia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Norwegia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Denmark pada 1980-an,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kontemporer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Spanyol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6D93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35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D93"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kontemporer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akrab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Austria, Denmark, </w:t>
      </w:r>
      <w:proofErr w:type="spellStart"/>
      <w:r>
        <w:rPr>
          <w:rFonts w:ascii="Times New Roman" w:hAnsi="Times New Roman" w:cs="Times New Roman"/>
          <w:sz w:val="24"/>
          <w:szCs w:val="24"/>
        </w:rPr>
        <w:t>Norwegia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Swedia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hAnsi="Times New Roman" w:cs="Times New Roman"/>
          <w:sz w:val="24"/>
          <w:szCs w:val="24"/>
        </w:rPr>
        <w:t>. Intra-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konfederasi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SMIC (</w:t>
      </w:r>
      <w:proofErr w:type="spellStart"/>
      <w:r>
        <w:rPr>
          <w:rFonts w:ascii="Times New Roman" w:hAnsi="Times New Roman" w:cs="Times New Roman"/>
          <w:sz w:val="24"/>
          <w:szCs w:val="24"/>
        </w:rPr>
        <w:t>Salaire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Croissance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="00356D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6D93">
        <w:rPr>
          <w:rFonts w:ascii="Times New Roman" w:hAnsi="Times New Roman" w:cs="Times New Roman"/>
          <w:sz w:val="24"/>
          <w:szCs w:val="24"/>
        </w:rPr>
        <w:t>menopang</w:t>
      </w:r>
      <w:proofErr w:type="spellEnd"/>
      <w:r w:rsidR="0035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D9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35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D9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356D93">
        <w:rPr>
          <w:rFonts w:ascii="Times New Roman" w:hAnsi="Times New Roman" w:cs="Times New Roman"/>
          <w:sz w:val="24"/>
          <w:szCs w:val="24"/>
        </w:rPr>
        <w:t xml:space="preserve"> upah.</w:t>
      </w:r>
      <w:r w:rsidR="00356D93">
        <w:rPr>
          <w:rFonts w:ascii="Times New Roman" w:hAnsi="Times New Roman" w:cs="Times New Roman"/>
          <w:sz w:val="24"/>
          <w:szCs w:val="24"/>
          <w:vertAlign w:val="superscript"/>
        </w:rPr>
        <w:t>12</w:t>
      </w:r>
    </w:p>
    <w:p w14:paraId="79CF5871" w14:textId="77777777" w:rsidR="00AB728C" w:rsidRDefault="00356D93" w:rsidP="001F682F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Visser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1995-2010,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Belgia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negara; Finlandia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Pr="0035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Norwegia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Austria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Denmark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Swedia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Irlandia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2001-2014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Visser (2016,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4).</w:t>
      </w:r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negara-negara yang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pengecualian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Irlandia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Luksemburg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bergabungan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negara-negara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runtuhnya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disponsori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negara di negara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B728C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="00AB728C">
        <w:rPr>
          <w:rFonts w:ascii="Times New Roman" w:hAnsi="Times New Roman" w:cs="Times New Roman"/>
          <w:sz w:val="24"/>
          <w:szCs w:val="24"/>
        </w:rPr>
        <w:t xml:space="preserve"> Barat.</w:t>
      </w:r>
    </w:p>
    <w:p w14:paraId="3927CAC2" w14:textId="71A30CFE" w:rsidR="00356D93" w:rsidRDefault="00AB728C" w:rsidP="001F682F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diindikasikan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benuk-bentuk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temuan-temuan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Skandinavia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lagi-lagi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Visser (2013,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65)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kacau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366ECD" w14:textId="087DAB20" w:rsidR="00AB728C" w:rsidRDefault="00AB728C" w:rsidP="00AB728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728C"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 w:rsidRPr="00AB728C">
        <w:rPr>
          <w:rFonts w:ascii="Times New Roman" w:hAnsi="Times New Roman" w:cs="Times New Roman"/>
          <w:b/>
          <w:bCs/>
          <w:sz w:val="24"/>
          <w:szCs w:val="24"/>
        </w:rPr>
        <w:t>Kontroversi</w:t>
      </w:r>
      <w:proofErr w:type="spellEnd"/>
      <w:r w:rsidRPr="00AB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728C">
        <w:rPr>
          <w:rFonts w:ascii="Times New Roman" w:hAnsi="Times New Roman" w:cs="Times New Roman"/>
          <w:b/>
          <w:bCs/>
          <w:sz w:val="24"/>
          <w:szCs w:val="24"/>
        </w:rPr>
        <w:t>perundingan</w:t>
      </w:r>
      <w:proofErr w:type="spellEnd"/>
      <w:r w:rsidRPr="00AB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728C">
        <w:rPr>
          <w:rFonts w:ascii="Times New Roman" w:hAnsi="Times New Roman" w:cs="Times New Roman"/>
          <w:b/>
          <w:bCs/>
          <w:sz w:val="24"/>
          <w:szCs w:val="24"/>
        </w:rPr>
        <w:t>tawar-menawar</w:t>
      </w:r>
      <w:proofErr w:type="spellEnd"/>
      <w:r w:rsidRPr="00AB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728C">
        <w:rPr>
          <w:rFonts w:ascii="Times New Roman" w:hAnsi="Times New Roman" w:cs="Times New Roman"/>
          <w:b/>
          <w:bCs/>
          <w:sz w:val="24"/>
          <w:szCs w:val="24"/>
        </w:rPr>
        <w:t>tingkat</w:t>
      </w:r>
      <w:proofErr w:type="spellEnd"/>
      <w:r w:rsidRPr="00AB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728C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  <w:r w:rsidRPr="00AB728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AB728C">
        <w:rPr>
          <w:rFonts w:ascii="Times New Roman" w:hAnsi="Times New Roman" w:cs="Times New Roman"/>
          <w:b/>
          <w:bCs/>
          <w:sz w:val="24"/>
          <w:szCs w:val="24"/>
        </w:rPr>
        <w:t>sektor</w:t>
      </w:r>
      <w:proofErr w:type="spellEnd"/>
    </w:p>
    <w:p w14:paraId="581A9D80" w14:textId="0DDCCFBF" w:rsidR="00AB728C" w:rsidRDefault="00AB728C" w:rsidP="00AB728C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pabrik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dirangsang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Berthold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Fehn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1996; Dewan Ahli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1996).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Menariknya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bagaimanapun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Fitzenberger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dan Franz (1999a, b)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sektoral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bertumpu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-orang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di mana orang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menganggur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lama, yang pad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agilirannya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dungsi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actual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monopoli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utilitasnya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742FC">
        <w:rPr>
          <w:rFonts w:ascii="Times New Roman" w:hAnsi="Times New Roman" w:cs="Times New Roman"/>
          <w:sz w:val="24"/>
          <w:szCs w:val="24"/>
        </w:rPr>
        <w:t>.</w:t>
      </w:r>
    </w:p>
    <w:p w14:paraId="6B1A7CDE" w14:textId="54765602" w:rsidR="00656F45" w:rsidRDefault="00656F45" w:rsidP="00AB728C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36C4">
        <w:rPr>
          <w:rFonts w:ascii="Times New Roman" w:hAnsi="Times New Roman" w:cs="Times New Roman"/>
          <w:sz w:val="24"/>
          <w:szCs w:val="24"/>
        </w:rPr>
        <w:t xml:space="preserve">myopic union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ketenagakerjaan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ketenagakerjaan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(lima) parameter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model.</w:t>
      </w:r>
      <w:r w:rsidR="005D36C4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parameter-parameter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mengungguli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ketenagakerjaan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C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D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mengayunkan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disbanding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lastRenderedPageBreak/>
        <w:t>bergantung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scenario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moderasi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CD24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D2408">
        <w:rPr>
          <w:rFonts w:ascii="Times New Roman" w:hAnsi="Times New Roman" w:cs="Times New Roman"/>
          <w:sz w:val="24"/>
          <w:szCs w:val="24"/>
        </w:rPr>
        <w:t>.</w:t>
      </w:r>
    </w:p>
    <w:p w14:paraId="5ACE6444" w14:textId="78AB9C58" w:rsidR="00A84131" w:rsidRDefault="00A84131" w:rsidP="00AB728C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Jimeno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Thomas (2013)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endogen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penghancuran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heterogenitas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kehancuran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dihancurkan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rezim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Nash),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mka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Jimeno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dan Thomas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mengkalibrasi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kontinental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steady-state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pekerjanya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3,2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0507E4">
        <w:rPr>
          <w:rFonts w:ascii="Times New Roman" w:hAnsi="Times New Roman" w:cs="Times New Roman"/>
          <w:sz w:val="24"/>
          <w:szCs w:val="24"/>
        </w:rPr>
        <w:t>.</w:t>
      </w:r>
    </w:p>
    <w:p w14:paraId="6A99D56D" w14:textId="3C2ED5B4" w:rsidR="000507E4" w:rsidRDefault="000507E4" w:rsidP="00AB728C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menegosiasikan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penghancuran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</w:t>
      </w:r>
      <w:r w:rsidR="0060360D">
        <w:rPr>
          <w:rFonts w:ascii="Times New Roman" w:hAnsi="Times New Roman" w:cs="Times New Roman"/>
          <w:sz w:val="24"/>
          <w:szCs w:val="24"/>
        </w:rPr>
        <w:t>nawar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sektoral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meniru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tangkat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0D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60360D">
        <w:rPr>
          <w:rFonts w:ascii="Times New Roman" w:hAnsi="Times New Roman" w:cs="Times New Roman"/>
          <w:sz w:val="24"/>
          <w:szCs w:val="24"/>
        </w:rPr>
        <w:t>).</w:t>
      </w:r>
      <w:r w:rsidR="009F099F">
        <w:rPr>
          <w:rFonts w:ascii="Times New Roman" w:hAnsi="Times New Roman" w:cs="Times New Roman"/>
          <w:sz w:val="24"/>
          <w:szCs w:val="24"/>
          <w:vertAlign w:val="superscript"/>
        </w:rPr>
        <w:t>14</w:t>
      </w:r>
    </w:p>
    <w:p w14:paraId="6BC93BDF" w14:textId="5BD6E965" w:rsidR="009F099F" w:rsidRDefault="009F099F" w:rsidP="00AB728C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Boeri (2014)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>
        <w:rPr>
          <w:rFonts w:ascii="Times New Roman" w:hAnsi="Times New Roman" w:cs="Times New Roman"/>
          <w:sz w:val="24"/>
          <w:szCs w:val="24"/>
        </w:rPr>
        <w:t>majikan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Boeri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manjikan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>
        <w:rPr>
          <w:rFonts w:ascii="Times New Roman" w:hAnsi="Times New Roman" w:cs="Times New Roman"/>
          <w:sz w:val="24"/>
          <w:szCs w:val="24"/>
        </w:rPr>
        <w:t>majikan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ditafsirkan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>
        <w:rPr>
          <w:rFonts w:ascii="Times New Roman" w:hAnsi="Times New Roman" w:cs="Times New Roman"/>
          <w:sz w:val="24"/>
          <w:szCs w:val="24"/>
        </w:rPr>
        <w:t>majikan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pabrik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Pareto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C4A7D3" w14:textId="1A049190" w:rsidR="009F099F" w:rsidRDefault="009F099F" w:rsidP="00AB728C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dan wilayah,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mengompresi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mendistorsi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men</w:t>
      </w:r>
      <w:r w:rsidR="0025187F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56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9C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multi-level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kali”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dilampaui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diartikulasikan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perlakukan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Alih-alih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kekakuan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tersentralisasi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” (Boeri 2015, </w:t>
      </w:r>
      <w:proofErr w:type="spellStart"/>
      <w:r w:rsidR="0025187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5187F">
        <w:rPr>
          <w:rFonts w:ascii="Times New Roman" w:hAnsi="Times New Roman" w:cs="Times New Roman"/>
          <w:sz w:val="24"/>
          <w:szCs w:val="24"/>
        </w:rPr>
        <w:t xml:space="preserve"> 1).</w:t>
      </w:r>
      <w:r w:rsidR="0025187F">
        <w:rPr>
          <w:rFonts w:ascii="Times New Roman" w:hAnsi="Times New Roman" w:cs="Times New Roman"/>
          <w:sz w:val="24"/>
          <w:szCs w:val="24"/>
          <w:vertAlign w:val="superscript"/>
        </w:rPr>
        <w:t>15</w:t>
      </w:r>
    </w:p>
    <w:p w14:paraId="3C510A4B" w14:textId="32E07187" w:rsidR="0025187F" w:rsidRDefault="0025187F" w:rsidP="00AB728C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Boeri.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pabrik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>
        <w:rPr>
          <w:rFonts w:ascii="Times New Roman" w:hAnsi="Times New Roman" w:cs="Times New Roman"/>
          <w:sz w:val="24"/>
          <w:szCs w:val="24"/>
        </w:rPr>
        <w:t>majikan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Skandinavia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dipermasalahkan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mendamaikan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mako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se.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dipraktikkan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kea rah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ditafsirkan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="00FB6F59">
        <w:rPr>
          <w:rFonts w:ascii="Times New Roman" w:hAnsi="Times New Roman" w:cs="Times New Roman"/>
          <w:sz w:val="24"/>
          <w:szCs w:val="24"/>
        </w:rPr>
        <w:t xml:space="preserve">? Hal </w:t>
      </w:r>
      <w:proofErr w:type="spellStart"/>
      <w:r w:rsidR="00FB6F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70270D" w14:textId="7B1B5EB2" w:rsidR="00FB6F59" w:rsidRDefault="00FB6F59" w:rsidP="00AB728C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menundukkan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model-model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15A2BF" w14:textId="33FFAB6E" w:rsidR="0064378A" w:rsidRDefault="0064378A" w:rsidP="0064378A">
      <w:pPr>
        <w:pStyle w:val="ListParagraph"/>
        <w:numPr>
          <w:ilvl w:val="1"/>
          <w:numId w:val="2"/>
        </w:numPr>
        <w:spacing w:line="276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378A">
        <w:rPr>
          <w:rFonts w:ascii="Times New Roman" w:hAnsi="Times New Roman" w:cs="Times New Roman"/>
          <w:b/>
          <w:bCs/>
          <w:sz w:val="24"/>
          <w:szCs w:val="24"/>
        </w:rPr>
        <w:t>Heterogenitas</w:t>
      </w:r>
      <w:proofErr w:type="spellEnd"/>
      <w:r w:rsidRPr="006437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378A">
        <w:rPr>
          <w:rFonts w:ascii="Times New Roman" w:hAnsi="Times New Roman" w:cs="Times New Roman"/>
          <w:b/>
          <w:bCs/>
          <w:sz w:val="24"/>
          <w:szCs w:val="24"/>
        </w:rPr>
        <w:t>tawar-menawar</w:t>
      </w:r>
      <w:proofErr w:type="spellEnd"/>
    </w:p>
    <w:p w14:paraId="72606CDB" w14:textId="27DB065C" w:rsidR="0064378A" w:rsidRDefault="0064378A" w:rsidP="0064378A">
      <w:pPr>
        <w:pStyle w:val="ListParagraph"/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Traxler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(2012)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heterogenitas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dunia.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antarsektoral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perdangan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terlindung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D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FF2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="003D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FF2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3D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FF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3D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FF2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="003D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FF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3D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FF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3D7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7F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D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FF2">
        <w:rPr>
          <w:rFonts w:ascii="Times New Roman" w:hAnsi="Times New Roman" w:cs="Times New Roman"/>
          <w:sz w:val="24"/>
          <w:szCs w:val="24"/>
        </w:rPr>
        <w:t>egaliter</w:t>
      </w:r>
      <w:proofErr w:type="spellEnd"/>
      <w:r w:rsidR="003D7F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D7FF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3D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FF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3D7F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D7FF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3D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FF2">
        <w:rPr>
          <w:rFonts w:ascii="Times New Roman" w:hAnsi="Times New Roman" w:cs="Times New Roman"/>
          <w:sz w:val="24"/>
          <w:szCs w:val="24"/>
        </w:rPr>
        <w:t>hegemoni</w:t>
      </w:r>
      <w:proofErr w:type="spellEnd"/>
      <w:r w:rsidR="003D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FF2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3D7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7FF2"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 w:rsidR="003D7F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7FF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D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FF2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3D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FF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3D7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7F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D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FF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D7F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D7FF2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3D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FF2">
        <w:rPr>
          <w:rFonts w:ascii="Times New Roman" w:hAnsi="Times New Roman" w:cs="Times New Roman"/>
          <w:sz w:val="24"/>
          <w:szCs w:val="24"/>
        </w:rPr>
        <w:t>perdangan</w:t>
      </w:r>
      <w:proofErr w:type="spellEnd"/>
      <w:r w:rsidR="003D7FF2">
        <w:rPr>
          <w:rFonts w:ascii="Times New Roman" w:hAnsi="Times New Roman" w:cs="Times New Roman"/>
          <w:sz w:val="24"/>
          <w:szCs w:val="24"/>
        </w:rPr>
        <w:t>).</w:t>
      </w:r>
    </w:p>
    <w:p w14:paraId="188FC400" w14:textId="1DB53C2B" w:rsidR="00162680" w:rsidRDefault="00162680" w:rsidP="0064378A">
      <w:pPr>
        <w:pStyle w:val="ListParagraph"/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kompromi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afiliasi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vertical,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afiliasi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Traxler et al. 2001).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pemukiman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diinternalisasi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heterogenitas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lintas-sektoral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D205ED" w14:textId="4062C360" w:rsidR="00162680" w:rsidRPr="00C339B4" w:rsidRDefault="00162680" w:rsidP="0064378A">
      <w:pPr>
        <w:pStyle w:val="ListParagraph"/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cross-time series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nominal,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neraca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 negara, 1981-2002.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RHS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nominal,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berkinerja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dipaksakan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oleh negara,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antarsektor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peredam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melebar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bagiannya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neraca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memerintah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. Inti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moneter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lastRenderedPageBreak/>
        <w:t>memengaruhi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deregulasi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internasionalisasi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pasar,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per se.</w:t>
      </w:r>
      <w:r w:rsidR="00C339B4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: model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terkoordinasi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merangkul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komparatif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” (Traxler dan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Brandl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 xml:space="preserve"> 2012, </w:t>
      </w:r>
      <w:proofErr w:type="spellStart"/>
      <w:r w:rsidR="00C339B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339B4">
        <w:rPr>
          <w:rFonts w:ascii="Times New Roman" w:hAnsi="Times New Roman" w:cs="Times New Roman"/>
          <w:sz w:val="24"/>
          <w:szCs w:val="24"/>
        </w:rPr>
        <w:t>. 94).</w:t>
      </w:r>
    </w:p>
    <w:p w14:paraId="4E703F3A" w14:textId="630FBF17" w:rsidR="0064378A" w:rsidRDefault="0064378A" w:rsidP="0064378A">
      <w:pPr>
        <w:pStyle w:val="ListParagraph"/>
        <w:numPr>
          <w:ilvl w:val="1"/>
          <w:numId w:val="2"/>
        </w:numPr>
        <w:spacing w:line="276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</w:p>
    <w:p w14:paraId="6E22CF1D" w14:textId="6B87592F" w:rsidR="00CB2493" w:rsidRDefault="00CB2493" w:rsidP="00CB2493">
      <w:pPr>
        <w:pStyle w:val="ListParagraph"/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lembaga-lembaga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1990-an,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Visser’s (2013)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mengomentari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analog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temuan-temuan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studi-studi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praktik-praktik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75618D" w14:textId="685122AA" w:rsidR="00CB2493" w:rsidRDefault="00CB2493" w:rsidP="00CB2493">
      <w:pPr>
        <w:pStyle w:val="ListParagraph"/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modern yang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memuji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sektoral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majikan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meniru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majikan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terungkap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Visser,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sektoral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kekosongan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, yang juga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menyinggung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Skandinavia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modern yang </w:t>
      </w:r>
      <w:r w:rsidR="00AF60F5">
        <w:rPr>
          <w:rFonts w:ascii="Times New Roman" w:hAnsi="Times New Roman" w:cs="Times New Roman"/>
          <w:sz w:val="24"/>
          <w:szCs w:val="24"/>
        </w:rPr>
        <w:lastRenderedPageBreak/>
        <w:t xml:space="preserve">kami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maksudkan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idustri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traksi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sentralisasi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F5">
        <w:rPr>
          <w:rFonts w:ascii="Times New Roman" w:hAnsi="Times New Roman" w:cs="Times New Roman"/>
          <w:sz w:val="24"/>
          <w:szCs w:val="24"/>
        </w:rPr>
        <w:t>mediasi</w:t>
      </w:r>
      <w:proofErr w:type="spellEnd"/>
      <w:r w:rsidR="00AF60F5">
        <w:rPr>
          <w:rFonts w:ascii="Times New Roman" w:hAnsi="Times New Roman" w:cs="Times New Roman"/>
          <w:sz w:val="24"/>
          <w:szCs w:val="24"/>
        </w:rPr>
        <w:t>.</w:t>
      </w:r>
    </w:p>
    <w:p w14:paraId="1A2B8B0F" w14:textId="7CBE34D7" w:rsidR="003858C2" w:rsidRDefault="003858C2" w:rsidP="003858C2">
      <w:pPr>
        <w:pStyle w:val="ListParagraph"/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endogenitas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pengecualian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Boeri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2009),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vis-à-vis.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Ochel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(2005)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klausul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opt-out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Garloff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Guertzgen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(2012)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digarisbawahi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7A5B59" w14:textId="3D525BC2" w:rsidR="003858C2" w:rsidRDefault="003858C2" w:rsidP="003858C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58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056DD" wp14:editId="2E62A9C6">
            <wp:extent cx="5943600" cy="3745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6E6B6" w14:textId="348CE812" w:rsidR="00FA35F4" w:rsidRDefault="00FA35F4" w:rsidP="00FA35F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pengangguram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21 negara OECD</w:t>
      </w:r>
    </w:p>
    <w:p w14:paraId="1CAFBA01" w14:textId="77777777" w:rsidR="00FA35F4" w:rsidRDefault="00FA35F4" w:rsidP="00FA35F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77BFB" w14:textId="283C933E" w:rsidR="00ED6A79" w:rsidRDefault="00ED6A79" w:rsidP="00ED6A79">
      <w:pPr>
        <w:pStyle w:val="ListParagraph"/>
        <w:numPr>
          <w:ilvl w:val="0"/>
          <w:numId w:val="3"/>
        </w:numPr>
        <w:spacing w:line="276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6A79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ED6A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A79">
        <w:rPr>
          <w:rFonts w:ascii="Times New Roman" w:hAnsi="Times New Roman" w:cs="Times New Roman"/>
          <w:b/>
          <w:bCs/>
          <w:sz w:val="24"/>
          <w:szCs w:val="24"/>
        </w:rPr>
        <w:t>kepercayaan</w:t>
      </w:r>
      <w:proofErr w:type="spellEnd"/>
      <w:r w:rsidRPr="00ED6A79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ED6A79">
        <w:rPr>
          <w:rFonts w:ascii="Times New Roman" w:hAnsi="Times New Roman" w:cs="Times New Roman"/>
          <w:b/>
          <w:bCs/>
          <w:sz w:val="24"/>
          <w:szCs w:val="24"/>
        </w:rPr>
        <w:t>diabaikan</w:t>
      </w:r>
      <w:proofErr w:type="spellEnd"/>
    </w:p>
    <w:p w14:paraId="36E988AA" w14:textId="299BFD68" w:rsidR="005A39E1" w:rsidRDefault="005A39E1" w:rsidP="005A39E1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baru-baru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diperdebatkan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Blanchard et al. (2013,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20)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mengomentari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industrial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kooperatif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gejolak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lembaga-lembaga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didiagnosis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Visser (2013)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554E94" w14:textId="54FB791E" w:rsidR="005A39E1" w:rsidRDefault="005A39E1" w:rsidP="005A39E1">
      <w:pPr>
        <w:pStyle w:val="ListParagraph"/>
        <w:numPr>
          <w:ilvl w:val="1"/>
          <w:numId w:val="4"/>
        </w:numPr>
        <w:spacing w:line="276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39E1">
        <w:rPr>
          <w:rFonts w:ascii="Times New Roman" w:hAnsi="Times New Roman" w:cs="Times New Roman"/>
          <w:b/>
          <w:bCs/>
          <w:sz w:val="24"/>
          <w:szCs w:val="24"/>
        </w:rPr>
        <w:t>Kepercayaan</w:t>
      </w:r>
      <w:proofErr w:type="spellEnd"/>
      <w:r w:rsidRPr="005A39E1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A39E1">
        <w:rPr>
          <w:rFonts w:ascii="Times New Roman" w:hAnsi="Times New Roman" w:cs="Times New Roman"/>
          <w:b/>
          <w:bCs/>
          <w:sz w:val="24"/>
          <w:szCs w:val="24"/>
        </w:rPr>
        <w:t>Pengangguran</w:t>
      </w:r>
      <w:proofErr w:type="spellEnd"/>
    </w:p>
    <w:p w14:paraId="4E6261E5" w14:textId="6D8CB6FB" w:rsidR="00B73CAE" w:rsidRPr="00B73CAE" w:rsidRDefault="00B73CAE" w:rsidP="00B73CA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hasil-hasil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korelasi-korelasi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A35F4">
        <w:rPr>
          <w:rFonts w:ascii="Times New Roman" w:hAnsi="Times New Roman" w:cs="Times New Roman"/>
          <w:sz w:val="24"/>
          <w:szCs w:val="24"/>
        </w:rPr>
        <w:t xml:space="preserve">Gambar 1 </w:t>
      </w:r>
      <w:proofErr w:type="spellStart"/>
      <w:r w:rsidR="00FA35F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FA3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5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A3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5F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FA3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5F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FA3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5F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A3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5F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FA3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5F4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FA35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A35F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FA3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5F4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="00FA3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5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3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5F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FA3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5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A35F4">
        <w:rPr>
          <w:rFonts w:ascii="Times New Roman" w:hAnsi="Times New Roman" w:cs="Times New Roman"/>
          <w:sz w:val="24"/>
          <w:szCs w:val="24"/>
        </w:rPr>
        <w:t xml:space="preserve"> 21 negara OECD. </w:t>
      </w:r>
      <w:proofErr w:type="spellStart"/>
      <w:r w:rsidR="00FA35F4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FA3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5F4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FA35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35F4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="00FA3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5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A35F4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FA35F4">
        <w:rPr>
          <w:rFonts w:ascii="Times New Roman" w:hAnsi="Times New Roman" w:cs="Times New Roman"/>
          <w:sz w:val="24"/>
          <w:szCs w:val="24"/>
        </w:rPr>
        <w:t>Competiveness</w:t>
      </w:r>
      <w:proofErr w:type="spellEnd"/>
      <w:r w:rsidR="00FA35F4">
        <w:rPr>
          <w:rFonts w:ascii="Times New Roman" w:hAnsi="Times New Roman" w:cs="Times New Roman"/>
          <w:sz w:val="24"/>
          <w:szCs w:val="24"/>
        </w:rPr>
        <w:t xml:space="preserve"> Report 1999 </w:t>
      </w:r>
      <w:proofErr w:type="spellStart"/>
      <w:r w:rsidR="00FA35F4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="00FA35F4">
        <w:rPr>
          <w:rFonts w:ascii="Times New Roman" w:hAnsi="Times New Roman" w:cs="Times New Roman"/>
          <w:sz w:val="24"/>
          <w:szCs w:val="24"/>
        </w:rPr>
        <w:t xml:space="preserve"> oleh World Economic Forum (WEF), dan</w:t>
      </w:r>
      <w:bookmarkStart w:id="1" w:name="_GoBack"/>
      <w:bookmarkEnd w:id="1"/>
    </w:p>
    <w:sectPr w:rsidR="00B73CAE" w:rsidRPr="00B73C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89034" w14:textId="77777777" w:rsidR="0044601F" w:rsidRDefault="0044601F" w:rsidP="005A39E1">
      <w:pPr>
        <w:spacing w:after="0" w:line="240" w:lineRule="auto"/>
      </w:pPr>
      <w:r>
        <w:separator/>
      </w:r>
    </w:p>
  </w:endnote>
  <w:endnote w:type="continuationSeparator" w:id="0">
    <w:p w14:paraId="65C80678" w14:textId="77777777" w:rsidR="0044601F" w:rsidRDefault="0044601F" w:rsidP="005A3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F7EE4" w14:textId="77777777" w:rsidR="0044601F" w:rsidRDefault="0044601F" w:rsidP="005A39E1">
      <w:pPr>
        <w:spacing w:after="0" w:line="240" w:lineRule="auto"/>
      </w:pPr>
      <w:r>
        <w:separator/>
      </w:r>
    </w:p>
  </w:footnote>
  <w:footnote w:type="continuationSeparator" w:id="0">
    <w:p w14:paraId="17B42393" w14:textId="77777777" w:rsidR="0044601F" w:rsidRDefault="0044601F" w:rsidP="005A3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2E22"/>
    <w:multiLevelType w:val="hybridMultilevel"/>
    <w:tmpl w:val="0FA819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26DF6"/>
    <w:multiLevelType w:val="multilevel"/>
    <w:tmpl w:val="C2FCC7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D4937F8"/>
    <w:multiLevelType w:val="multilevel"/>
    <w:tmpl w:val="C2FCC7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80E48E1"/>
    <w:multiLevelType w:val="hybridMultilevel"/>
    <w:tmpl w:val="29DAD3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44"/>
    <w:rsid w:val="00043F91"/>
    <w:rsid w:val="000507E4"/>
    <w:rsid w:val="000A580D"/>
    <w:rsid w:val="000B1AD1"/>
    <w:rsid w:val="000D244E"/>
    <w:rsid w:val="0010556A"/>
    <w:rsid w:val="00162680"/>
    <w:rsid w:val="001742FC"/>
    <w:rsid w:val="001F682F"/>
    <w:rsid w:val="0025187F"/>
    <w:rsid w:val="00271EF0"/>
    <w:rsid w:val="002804DD"/>
    <w:rsid w:val="0030206E"/>
    <w:rsid w:val="00336C63"/>
    <w:rsid w:val="00356D93"/>
    <w:rsid w:val="003858C2"/>
    <w:rsid w:val="003A36FA"/>
    <w:rsid w:val="003C1B19"/>
    <w:rsid w:val="003D7FF2"/>
    <w:rsid w:val="003F5A61"/>
    <w:rsid w:val="00403C94"/>
    <w:rsid w:val="00421DA8"/>
    <w:rsid w:val="00423489"/>
    <w:rsid w:val="00432866"/>
    <w:rsid w:val="0044601F"/>
    <w:rsid w:val="00451CD5"/>
    <w:rsid w:val="00483723"/>
    <w:rsid w:val="004A076D"/>
    <w:rsid w:val="004C0A77"/>
    <w:rsid w:val="00564C9C"/>
    <w:rsid w:val="005A39E1"/>
    <w:rsid w:val="005D36C4"/>
    <w:rsid w:val="005E5133"/>
    <w:rsid w:val="0060360D"/>
    <w:rsid w:val="006353F1"/>
    <w:rsid w:val="0064378A"/>
    <w:rsid w:val="00656F45"/>
    <w:rsid w:val="00666512"/>
    <w:rsid w:val="006B4A0E"/>
    <w:rsid w:val="007225ED"/>
    <w:rsid w:val="007426F9"/>
    <w:rsid w:val="007B2F44"/>
    <w:rsid w:val="008A33F9"/>
    <w:rsid w:val="008D305C"/>
    <w:rsid w:val="00914161"/>
    <w:rsid w:val="00963176"/>
    <w:rsid w:val="009E3AF2"/>
    <w:rsid w:val="009F099F"/>
    <w:rsid w:val="009F3FAE"/>
    <w:rsid w:val="00A0077D"/>
    <w:rsid w:val="00A23F84"/>
    <w:rsid w:val="00A55AD4"/>
    <w:rsid w:val="00A71EB6"/>
    <w:rsid w:val="00A84131"/>
    <w:rsid w:val="00AA2E6B"/>
    <w:rsid w:val="00AB728C"/>
    <w:rsid w:val="00AE7DA0"/>
    <w:rsid w:val="00AF60F5"/>
    <w:rsid w:val="00B27487"/>
    <w:rsid w:val="00B50EA9"/>
    <w:rsid w:val="00B73CAE"/>
    <w:rsid w:val="00B94E31"/>
    <w:rsid w:val="00BA6B9E"/>
    <w:rsid w:val="00BB312F"/>
    <w:rsid w:val="00BB5675"/>
    <w:rsid w:val="00BE4902"/>
    <w:rsid w:val="00BF105A"/>
    <w:rsid w:val="00C1000F"/>
    <w:rsid w:val="00C339B4"/>
    <w:rsid w:val="00C47171"/>
    <w:rsid w:val="00C626B7"/>
    <w:rsid w:val="00C7565F"/>
    <w:rsid w:val="00C953B4"/>
    <w:rsid w:val="00CB2493"/>
    <w:rsid w:val="00CD2408"/>
    <w:rsid w:val="00CE05DF"/>
    <w:rsid w:val="00CF39D8"/>
    <w:rsid w:val="00D0104C"/>
    <w:rsid w:val="00D046E4"/>
    <w:rsid w:val="00D54C07"/>
    <w:rsid w:val="00DC48EF"/>
    <w:rsid w:val="00E028CE"/>
    <w:rsid w:val="00E24776"/>
    <w:rsid w:val="00E52C16"/>
    <w:rsid w:val="00EC2244"/>
    <w:rsid w:val="00ED6A79"/>
    <w:rsid w:val="00EE13A5"/>
    <w:rsid w:val="00F30F95"/>
    <w:rsid w:val="00FA35F4"/>
    <w:rsid w:val="00FA3BD2"/>
    <w:rsid w:val="00FB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697B"/>
  <w15:chartTrackingRefBased/>
  <w15:docId w15:val="{07EA74DA-AD2D-4ECB-B39A-B7B4AA7E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2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C2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2244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notranslate">
    <w:name w:val="notranslate"/>
    <w:basedOn w:val="DefaultParagraphFont"/>
    <w:rsid w:val="00EE13A5"/>
  </w:style>
  <w:style w:type="paragraph" w:styleId="Header">
    <w:name w:val="header"/>
    <w:basedOn w:val="Normal"/>
    <w:link w:val="HeaderChar"/>
    <w:uiPriority w:val="99"/>
    <w:unhideWhenUsed/>
    <w:rsid w:val="005A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9E1"/>
  </w:style>
  <w:style w:type="paragraph" w:styleId="Footer">
    <w:name w:val="footer"/>
    <w:basedOn w:val="Normal"/>
    <w:link w:val="FooterChar"/>
    <w:uiPriority w:val="99"/>
    <w:unhideWhenUsed/>
    <w:rsid w:val="005A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22D59-75B3-4922-A510-7D4D9400B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22</Pages>
  <Words>10656</Words>
  <Characters>60745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TIKA</dc:creator>
  <cp:keywords/>
  <dc:description/>
  <cp:lastModifiedBy>TIKA</cp:lastModifiedBy>
  <cp:revision>25</cp:revision>
  <dcterms:created xsi:type="dcterms:W3CDTF">2020-02-28T09:44:00Z</dcterms:created>
  <dcterms:modified xsi:type="dcterms:W3CDTF">2020-03-03T07:07:00Z</dcterms:modified>
</cp:coreProperties>
</file>