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of California, Berkeley</w:t>
      </w:r>
    </w:p>
    <w:p>
      <w:r>
        <w:rPr>
          <w:i/>
        </w:rPr>
        <w:t>Établi en référence aux normes GRI · généré le 2026-10-07 · données AASHE STARS 3.0</w:t>
      </w:r>
    </w:p>
    <w:p>
      <w:r>
        <w:rPr>
          <w:b/>
        </w:rPr>
        <w:t>À propos de ce rapport.</w:t>
      </w:r>
      <w:r>
        <w:t xml:space="preserve"> Ce rapport est généré automatiquement à partir de la soumission publique AASHE STARS 3.0 de University of California, Berkeley (19 février 2025),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of California, Berkeley STARS Report (https://reports.aashe.org/institutions/university-of-california-berkeley-ca/report/2025-02-19/)</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86,76</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60,67</w:t>
            </w:r>
          </w:p>
        </w:tc>
        <w:tc>
          <w:tcPr>
            <w:tcW w:type="dxa" w:w="1728"/>
          </w:tcPr>
          <w:p>
            <w:r>
              <w:rPr>
                <w:sz w:val="17"/>
              </w:rPr>
            </w:r>
            <w:r>
              <w:rPr>
                <w:sz w:val="17"/>
              </w:rPr>
              <w:t>86</w:t>
            </w:r>
          </w:p>
        </w:tc>
        <w:tc>
          <w:tcPr>
            <w:tcW w:type="dxa" w:w="1728"/>
          </w:tcPr>
          <w:p>
            <w:r>
              <w:rPr>
                <w:sz w:val="17"/>
              </w:rPr>
            </w:r>
            <w:r>
              <w:rPr>
                <w:sz w:val="17"/>
              </w:rPr>
              <w:t>70,5 %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21,40</w:t>
            </w:r>
          </w:p>
        </w:tc>
        <w:tc>
          <w:tcPr>
            <w:tcW w:type="dxa" w:w="1728"/>
          </w:tcPr>
          <w:p>
            <w:r>
              <w:rPr>
                <w:sz w:val="17"/>
              </w:rPr>
            </w:r>
            <w:r>
              <w:rPr>
                <w:sz w:val="17"/>
              </w:rPr>
              <w:t>25</w:t>
            </w:r>
          </w:p>
        </w:tc>
        <w:tc>
          <w:tcPr>
            <w:tcW w:type="dxa" w:w="1728"/>
          </w:tcPr>
          <w:p>
            <w:r>
              <w:rPr>
                <w:sz w:val="17"/>
              </w:rPr>
            </w:r>
            <w:r>
              <w:rPr>
                <w:sz w:val="17"/>
              </w:rPr>
              <w:t>85,6 %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17,01</w:t>
            </w:r>
          </w:p>
        </w:tc>
        <w:tc>
          <w:tcPr>
            <w:tcW w:type="dxa" w:w="1728"/>
          </w:tcPr>
          <w:p>
            <w:r>
              <w:rPr>
                <w:sz w:val="17"/>
              </w:rPr>
            </w:r>
            <w:r>
              <w:rPr>
                <w:sz w:val="17"/>
              </w:rPr>
              <w:t>21</w:t>
            </w:r>
          </w:p>
        </w:tc>
        <w:tc>
          <w:tcPr>
            <w:tcW w:type="dxa" w:w="1728"/>
          </w:tcPr>
          <w:p>
            <w:r>
              <w:rPr>
                <w:sz w:val="17"/>
              </w:rPr>
            </w:r>
            <w:r>
              <w:rPr>
                <w:sz w:val="17"/>
              </w:rPr>
              <w:t>81,0 %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107,83</w:t>
            </w:r>
          </w:p>
        </w:tc>
        <w:tc>
          <w:tcPr>
            <w:tcW w:type="dxa" w:w="1728"/>
          </w:tcPr>
          <w:p>
            <w:r>
              <w:rPr>
                <w:sz w:val="17"/>
              </w:rPr>
            </w:r>
            <w:r>
              <w:rPr>
                <w:sz w:val="17"/>
              </w:rPr>
              <w:t>118</w:t>
            </w:r>
          </w:p>
        </w:tc>
        <w:tc>
          <w:tcPr>
            <w:tcW w:type="dxa" w:w="1728"/>
          </w:tcPr>
          <w:p>
            <w:r>
              <w:rPr>
                <w:sz w:val="17"/>
              </w:rPr>
            </w:r>
            <w:r>
              <w:rPr>
                <w:sz w:val="17"/>
              </w:rPr>
              <w:t>91,4 %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L'Office de la durabilité de University of California, Berkeley (UC Berkeley), a mené le processus de collecte de données pour le rapport STARS, en utilisant divers outils et plateformes internes et externes pour recueillir et analyser les données. Des représentants de plusieurs services du campus, dont Facilities Services et Residential Life, y ont participé dès la planification ; l'Office de la durabilité a ensuite regroupé les données dans une base centrale et les a recoupées entre services.</w:t>
      </w:r>
    </w:p>
    <w:p>
      <w:r>
        <w:t>Le périmètre du rapport couvre les sites sur lesquels le campus exerce le contrôle opérationnel : le campus principal, le Hill campus voisin, la Richmond Field Station et d'autres stations et réserves gérées par le campus, ainsi que des bâtiments qu'il possède en divers lieux (GRI 2-2).</w:t>
      </w:r>
    </w:p>
    <w:p>
      <w:pPr>
        <w:pStyle w:val="Heading2"/>
      </w:pPr>
      <w:r>
        <w:rPr>
          <w:color w:val="2F6F5E"/>
        </w:rPr>
        <w:t>Limites et omissions</w:t>
      </w:r>
    </w:p>
    <w:p>
      <w:r>
        <w:t>Ce rapport ne peut pas établir la dénomination légale, le siège ou les pays d'activité de l'université, ni la période de reporting, la fréquence ou le point de contact. Les données STARS sont autodéclarées et non vérifiées par l'AASHE.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(2,5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Ces domaines sont fixés par STARS et sont identiques pour toutes les institutions.</w:t>
      </w:r>
    </w:p>
    <w:p>
      <w:r>
        <w:t>L'université a publié un plan de durabilité (Sustainability Plan) qui fixe des objectifs pour l'énergie, l'eau, la réduction des déchets, l'alimentation durable et la biodiversité ; il est aligné sur les politiques de durabilité du système de l'université de Californie, avec des objectifs et un calendrier propres au campus. Son volet climat et résilience vise une transition juste et équitable vers un campus résilient, à énergie propre et zéro carbone. Le centre étudiant SERC a aussi adopté un plan stratégique (2017-2022) avec des objectifs mesurables, comme élargir l'accès aux activités d'apprentissage co-curriculaires.</w:t>
      </w:r>
    </w:p>
    <w:p>
      <w:pPr>
        <w:pStyle w:val="Heading2"/>
      </w:pPr>
      <w:r>
        <w:rPr>
          <w:color w:val="2F6F5E"/>
        </w:rPr>
        <w:t>Limites et omissions</w:t>
      </w:r>
    </w:p>
    <w:p>
      <w:r>
        <w:t>Ce rapport ne peut pas établir les impacts environnementaux de la stratégie de durabilité de l'université, ni les enseignements tirés de ses activités de durabilité.</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(6 sur 6).</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PA-4 — Sustainable Investment Program</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PA-5 — Investment Holdings</w:t>
            </w:r>
          </w:p>
        </w:tc>
        <w:tc>
          <w:tcPr>
            <w:tcW w:type="dxa" w:w="2880"/>
          </w:tcPr>
          <w:p>
            <w:r>
              <w:rPr>
                <w:sz w:val="17"/>
              </w:rPr>
            </w:r>
            <w:r>
              <w:rPr>
                <w:sz w:val="17"/>
              </w:rPr>
              <w:t>2,51 / 6</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L'université obtient 3,5 points STARS sur 4 au crédit PA-3, niveau élevé.</w:t>
      </w:r>
    </w:p>
    <w:p>
      <w:r>
        <w:t>L'Office de la durabilité (Office of Sustainability) fournit une direction du campus en fixant des objectifs de durabilité ambitieux et des stratégies, et en accélérant la réalisation de ces objectifs grâce à la mise en œuvre de projets, à la planification, aux partenariats et à la participation de la communauté. (GRI 2-9)</w:t>
      </w:r>
    </w:p>
    <w:p>
      <w:r>
        <w:t>Les enseignants-chercheurs réunis au sein du Sénat académique (Academic Senate) exercent les responsabilités de gouvernance partagée fixées par les Régents : le conseil des Régents (Board of Regents) confie au Sénat le contrôle direct des questions académiques essentielles (politique académique, conditions d'admission et de délivrance des diplômes, cours et programmes) et un rôle de conseil sur les nominations, les promotions et les budgets. (GRI 2-9)</w:t>
      </w:r>
    </w:p>
    <w:p>
      <w:r>
        <w:t>Le conseil des Régents, plus haute instance de décision, comprend des représentants étudiants ; il gouverne l'ensemble du système de l'université de Californie, et pas seulement le campus de Berkeley, et exerce l'autorité ultime sur les politiques, les finances et la planification stratégique de tous les campus. (GRI 2-9)</w:t>
      </w:r>
    </w:p>
    <w:p>
      <w:pPr>
        <w:pStyle w:val="Heading2"/>
      </w:pPr>
      <w:r>
        <w:rPr>
          <w:color w:val="2F6F5E"/>
        </w:rPr>
        <w:t>Limites et omissions</w:t>
      </w:r>
    </w:p>
    <w:p>
      <w:r>
        <w:t>Ce rapport ne peut pas établir si l'université a défini des critères pour l'indépendance des membres de son organe de gouvernance, ou si elle a mis en place des procédures pour garantir la représentation de la diversité de genre au sein de son organe de gouvernance.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PA-4 Programme d'investissement durable (4 sur 4) ; PA-3 Gouvernance de l'établissement (3,5 sur 4).</w:t>
      </w:r>
    </w:p>
    <w:p>
      <w:pPr>
        <w:pStyle w:val="ListBullet"/>
      </w:pPr>
      <w:r>
        <w:rPr>
          <w:b/>
        </w:rPr>
        <w:t>Partiellement atteints</w:t>
      </w:r>
      <w:r>
        <w:t xml:space="preserve"> : PA-5 Portefeuille d'investissements (2,51 sur 6).</w:t>
      </w:r>
    </w:p>
    <w:p>
      <w:pPr>
        <w:pStyle w:val="ListBullet"/>
      </w:pPr>
      <w:r>
        <w:rPr>
          <w:b/>
        </w:rPr>
        <w:t>À améliorer</w:t>
      </w:r>
      <w:r>
        <w:t xml:space="preserve"> : aucun.</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a publié un plan de durabilité (Sustainability Plan), aligné sur les politiques de durabilité du système de l'université de Californie. Elle est aussi signataire des Climate Leadership Commitments de Second Nature, qui comprennent le Carbon Commitment, un engagement de réduction des émissions de carbone.</w:t>
      </w:r>
    </w:p>
    <w:p>
      <w:r>
        <w:t>L'Office de la Durabilité de University of California, Berkeley (UC Berkeley), est dirigé par une équipe dédiée qui travaille à l'avancement des objectifs de durabilité de l'université et à la réalisation des engagements climatiques. L'équipe, dirigée par le responsable de la durabilité et des solutions au carbone, collabore avec les départements et les parties prenantes de l'université pour développer des stratégies et des plans de mise en œuvre.</w:t>
      </w:r>
    </w:p>
    <w:p>
      <w:r>
        <w:t>UC Berkeley a également adopté une politique de durabilité dans ses procédures d'achat, qui oblige 100 % des demandes de propositions ou de qualifications à respecter les exigences de durabilité. L'université utilise EcoVadis pour évaluer les caractéristiques de durabilité de ses fournisseurs et ses lignes directrices de durabilité pour identifier les produits verts, qui incluent les certifications de durabilité requises et préférées.</w:t>
      </w:r>
    </w:p>
    <w:p>
      <w:r>
        <w:t>UC Berkeley a également mis en place un programme de formation du personnel sur la durabilité, qui comprend des modules complémentaires conçus pour permettre aux employés de travailler et de se former à leur propre rythme.</w:t>
      </w:r>
    </w:p>
    <w:p>
      <w:r>
        <w:t>(GRI 2-22, GRI 2-23, GRI 2-24, GRI 2-25, GRI 2-26, GRI 2-28)</w:t>
      </w:r>
    </w:p>
    <w:p>
      <w:pPr>
        <w:pStyle w:val="Heading2"/>
      </w:pPr>
      <w:r>
        <w:rPr>
          <w:color w:val="2F6F5E"/>
        </w:rPr>
        <w:t>Limites et omissions</w:t>
      </w:r>
    </w:p>
    <w:p>
      <w:r>
        <w:t>Ce rapport ne peut pas établir les engagements politiques de UC Berkeley, en matière de droits humains et de devoir de vigilance, car STARS ne couvre pas ces aspects. De plus, le rapport ne peut pas établir l'intégration des engagements politiques dans les procédures de l'université, car STARS ne fournit pas d'informations sur ces aspects. Enfin, le rapport ne peut pas établir les mécanismes de demande de conseil et de signalement pour les parties prenantes affectées, car STARS ne couvre que les salariés.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(6 sur 6) ; PA-1 Coordination de la durabilité (1 sur 1) ; OP-9 Système d'achats durables (7 sur 7) ; EN-3 Engagement et formation du personnel (8 sur 8) ; PA-12 Droits des salariés (2,5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EN-6 — Community Partnerships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Plusieurs groupes de parties prenantes participent à la gouvernance de l'université : les étudiants, les enseignants-chercheurs, par le Sénat académique, et des membres de la communauté locale, par des comités consultatifs sur la santé publique, la durabilité et la justice sociale (GRI 2-29).</w:t>
      </w:r>
    </w:p>
    <w:p>
      <w:r>
        <w:t>L'université obtient 3,5 points STARS sur 4 au crédit PA-3, niveau élevé. L'université a plusieurs organes en place qui permettent aux étudiants de participer de manière démocratique à la gouvernance de l'établissement. Ces organes permettent aux étudiants d'avoir une voix dans les processus de décision, en particulier autour des politiques et des initiatives qui impactent la vie sur le campus, la durabilité et d'autres domaines d'intérêt pour les étudiants.</w:t>
      </w:r>
    </w:p>
    <w:p>
      <w:r>
        <w:t>L'université obtient 8 points STARS sur 8 au crédit EN-5, niveau maximal. L'université a des programmes conçus pour soutenir le service communautaire des employés. L'une des principales initiatives est le Cal Civic Engagement Program, qui encourage les enseignants et le personnel à contribuer à la communauté par le bénévolat et l'engagement civique, conformément à la mission de responsabilité sociale de l'université.</w:t>
      </w:r>
    </w:p>
    <w:p>
      <w:r>
        <w:t>L'université obtient 9 points STARS sur 9 au crédit EN-6, niveau maximal. L'université a mis en place le Fonds de partenariats communautaires du chancelier (CCPF), qui emploie une approche structurée pour évaluer et améliorer les partenariats avec la communauté, en garantissant la réciprocité et le bénéfice mutuel.</w:t>
      </w:r>
    </w:p>
    <w:p>
      <w:r>
        <w:t>L'université obtient 2,5 points STARS sur 3 au crédit PA-12, niveau élevé. L'université a une section dédiée sur son site web des ressources humaines qui expose les politiques liées aux droits des salariés, notamment le traitement équitable, les procédures de réclamation et l'équilibre vie professionnelle et vie personnelle. Les politiques couvrent des domaines tels que la lutte contre les discriminations, la protection des lanceurs d'alerte et les avantages sociaux.</w:t>
      </w:r>
    </w:p>
    <w:p>
      <w:pPr>
        <w:pStyle w:val="Heading2"/>
      </w:pPr>
      <w:r>
        <w:rPr>
          <w:color w:val="2F6F5E"/>
        </w:rPr>
        <w:t>Limites et omissions</w:t>
      </w:r>
    </w:p>
    <w:p>
      <w:r>
        <w:t>Ce rapport ne peut pas établir si l'université a identifié les groupes vulnérables ou si elle a mis en place une méthode d'identification des parties prenantes.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EN-5 Engagement civique (8 sur 8) ; EN-6 Partenariats avec la communauté (9 sur 9) ; PA-3 Gouvernance de l'établissement (3,5 sur 4) ; PA-12 Droits des salariés (2,5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6,87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8,01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2,43 / 7</w:t>
            </w:r>
          </w:p>
        </w:tc>
        <w:tc>
          <w:tcPr>
            <w:tcW w:type="dxa" w:w="2880"/>
          </w:tcPr>
          <w:p>
            <w:r>
              <w:rPr>
                <w:sz w:val="17"/>
              </w:rPr>
            </w:r>
            <w:r>
              <w:rPr>
                <w:sz w:val="17"/>
              </w:rPr>
              <w:t>faible</w:t>
            </w:r>
          </w:p>
        </w:tc>
      </w:tr>
      <w:tr>
        <w:tc>
          <w:tcPr>
            <w:tcW w:type="dxa" w:w="2880"/>
          </w:tcPr>
          <w:p>
            <w:r>
              <w:rPr>
                <w:sz w:val="17"/>
              </w:rPr>
            </w:r>
            <w:r>
              <w:rPr>
                <w:sz w:val="17"/>
              </w:rPr>
              <w:t>OP-12 — Waste Generation and Recovery</w:t>
            </w:r>
          </w:p>
        </w:tc>
        <w:tc>
          <w:tcPr>
            <w:tcW w:type="dxa" w:w="2880"/>
          </w:tcPr>
          <w:p>
            <w:r>
              <w:rPr>
                <w:sz w:val="17"/>
              </w:rPr>
            </w:r>
            <w:r>
              <w:rPr>
                <w:sz w:val="17"/>
              </w:rPr>
              <w:t>3,27 / 5</w:t>
            </w:r>
          </w:p>
        </w:tc>
        <w:tc>
          <w:tcPr>
            <w:tcW w:type="dxa" w:w="2880"/>
          </w:tcPr>
          <w:p>
            <w:r>
              <w:rPr>
                <w:sz w:val="17"/>
              </w:rPr>
            </w:r>
            <w:r>
              <w:rPr>
                <w:sz w:val="17"/>
              </w:rPr>
              <w:t>intermédiaire</w:t>
            </w:r>
          </w:p>
        </w:tc>
      </w:tr>
      <w:tr>
        <w:tc>
          <w:tcPr>
            <w:tcW w:type="dxa" w:w="2880"/>
          </w:tcPr>
          <w:p>
            <w:r>
              <w:rPr>
                <w:sz w:val="17"/>
              </w:rPr>
            </w:r>
            <w:r>
              <w:rPr>
                <w:sz w:val="17"/>
              </w:rPr>
              <w:t>OP-11 — Materials Management</w:t>
            </w:r>
          </w:p>
        </w:tc>
        <w:tc>
          <w:tcPr>
            <w:tcW w:type="dxa" w:w="2880"/>
          </w:tcPr>
          <w:p>
            <w:r>
              <w:rPr>
                <w:sz w:val="17"/>
              </w:rPr>
            </w:r>
            <w:r>
              <w:rPr>
                <w:sz w:val="17"/>
              </w:rPr>
              <w:t>3,75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OP-10 — Purchased Goods</w:t>
            </w:r>
          </w:p>
        </w:tc>
        <w:tc>
          <w:tcPr>
            <w:tcW w:type="dxa" w:w="2880"/>
          </w:tcPr>
          <w:p>
            <w:r>
              <w:rPr>
                <w:sz w:val="17"/>
              </w:rPr>
            </w:r>
            <w:r>
              <w:rPr>
                <w:sz w:val="17"/>
              </w:rPr>
              <w:t>2,8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2,91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4 / 5</w:t>
            </w:r>
          </w:p>
        </w:tc>
        <w:tc>
          <w:tcPr>
            <w:tcW w:type="dxa" w:w="2880"/>
          </w:tcPr>
          <w:p>
            <w:r>
              <w:rPr>
                <w:sz w:val="17"/>
              </w:rPr>
            </w:r>
            <w:r>
              <w:rPr>
                <w:sz w:val="17"/>
              </w:rPr>
              <w:t>élevé</w:t>
            </w:r>
          </w:p>
        </w:tc>
      </w:tr>
      <w:tr>
        <w:tc>
          <w:tcPr>
            <w:tcW w:type="dxa" w:w="2880"/>
          </w:tcPr>
          <w:p>
            <w:r>
              <w:rPr>
                <w:sz w:val="17"/>
              </w:rPr>
            </w:r>
            <w:r>
              <w:rPr>
                <w:sz w:val="17"/>
              </w:rPr>
              <w:t>OP-13 — Vehicle Fleet</w:t>
            </w:r>
          </w:p>
        </w:tc>
        <w:tc>
          <w:tcPr>
            <w:tcW w:type="dxa" w:w="2880"/>
          </w:tcPr>
          <w:p>
            <w:r>
              <w:rPr>
                <w:sz w:val="17"/>
              </w:rPr>
            </w:r>
            <w:r>
              <w:rPr>
                <w:sz w:val="17"/>
              </w:rPr>
              <w:t>0,28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OP-4 — Ecologically Managed Grounds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Le système énergétique du campus repose sur une centrale de cogénération au gaz, construite en 1987, principale source d'électricité et de chauffage des bâtiments ; elle produit de l'électricité et de la vapeur. Une partie de l'électricité vient du programme UC Clean Power, dont la part solaire est déclarée comme électricité renouvelable hors site certifiée (GRI 302-1).</w:t>
      </w:r>
    </w:p>
    <w:p>
      <w:r>
        <w:t>Dans le cadre du programme de plafonnement et d'échange (Cap and Trade), l'université de Californie répartit chaque année des crédits de compensation entre ses campus selon leurs émissions ; cette année, les instruments de conformité retirés proviennent de projets forestiers aux États-Unis (GRI 305-1).</w:t>
      </w:r>
    </w:p>
    <w:p>
      <w:r>
        <w:t>Le système de récupération d'eau de pluie et la noue végétalisée du Hearst Field Annex ont été créés comme projet de recherche, et Chou Hall, à la Haas School of Business, récupère et réutilise aussi l'eau de pluie (GRI 303-1).</w:t>
      </w:r>
    </w:p>
    <w:p>
      <w:r>
        <w:t>Le compostage est intégré à tous les circuits de collecte du campus, avec envoi vers une installation de compostage industriel. La vaisselle réutilisable est en place dans tous les restaurants universitaires et la plupart des points de vente, et l'université travaille à remplacer les plastiques à usage unique et compostables des repas à emporter par de la fibre ou du réutilisable (GRI 306-2).</w:t>
      </w:r>
    </w:p>
    <w:p>
      <w:r>
        <w:t>Ses lignes directrices d'achats durables imposent des exigences de durabilité à 100 % des appels d'offres, et l'université évalue les caractéristiques de durabilité de ses fournisseurs avec EcoVadis (GRI 308-1).</w:t>
      </w:r>
    </w:p>
    <w:p>
      <w:r>
        <w:t>Plus de 35 % de la flotte du campus est considérée comme verte (OP-13). De nombreux bâtiments respectent la norme LEED-EBOM pour l'exploitation et la maintenance (OP-2). Tout le campus est entretenu sans engrais, fongicides ni pesticides inorganiques, sauf moins de 5 % des terrains (GRI 101-2). Le projet de rapport d'impact environnemental du plan de gestion de la végétation combustible dresse la liste des espèces menacées et vulnérables aux abords du Hill campus (GRI 101-5).</w:t>
      </w:r>
    </w:p>
    <w:p>
      <w:pPr>
        <w:pStyle w:val="Heading2"/>
      </w:pPr>
      <w:r>
        <w:rPr>
          <w:color w:val="2F6F5E"/>
        </w:rPr>
        <w:t>Limites et omissions</w:t>
      </w:r>
    </w:p>
    <w:p>
      <w:r>
        <w:t>Ce rapport ne peut pas établir les émissions indirectes liées à l'énergie (GRI 305-2) ni les autres émissions indirectes, dont celles de la chaîne d'approvisionnement (GRI 305-3) : les valeurs détaillées de STARS n'ont pas été extraites.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OP-9 Système d'achats durables (7 sur 7) ; OP-15 Voyages en avion (2 sur 2) ; OP-4 Gestion écologique des espaces verts (5 sur 5) ; IL-24 Évaluation de la biodiversité (1 sur 1) ; OP-1 Conception et construction des bâtiments (2,91 sur 3) ; OP-11 Gestion des matériaux (3,75 sur 4) ; OP-14 Modes de déplacement domicile-campus (4,89 sur 6) ; OP-2 Exploitation et maintenance des bâtiments (4 sur 5).</w:t>
      </w:r>
    </w:p>
    <w:p>
      <w:pPr>
        <w:pStyle w:val="ListBullet"/>
      </w:pPr>
      <w:r>
        <w:rPr>
          <w:b/>
        </w:rPr>
        <w:t>Partiellement atteints</w:t>
      </w:r>
      <w:r>
        <w:t xml:space="preserve"> : OP-10 Biens achetés (2,8 sur 4) ; OP-5 Consommation d'énergie (6,87 sur 10) ; OP-12 Production et valorisation des déchets (3,27 sur 5) ; OP-6 Émissions de gaz à effet de serre (8,01 sur 16).</w:t>
      </w:r>
    </w:p>
    <w:p>
      <w:pPr>
        <w:pStyle w:val="ListBullet"/>
      </w:pPr>
      <w:r>
        <w:rPr>
          <w:b/>
        </w:rPr>
        <w:t>À améliorer</w:t>
      </w:r>
      <w:r>
        <w:t xml:space="preserve"> : OP-13 Flotte de véhicules (0,28 sur 2) ; OP-3 Consommation d'eau (2,43 sur 7).</w:t>
      </w:r>
    </w:p>
    <w:p>
      <w:pPr>
        <w:pStyle w:val="Heading1"/>
      </w:pPr>
      <w:r>
        <w:rPr>
          <w:color w:val="2F6F5E"/>
        </w:rPr>
        <w:t>Performance sociale et économique</w:t>
      </w:r>
    </w:p>
    <w:p>
      <w:r>
        <w:rPr>
          <w:i/>
        </w:rPr>
        <w:t>Section à relire : le juge automatique n'a pas pu la valider entièrement (voir l'annexe « Validation du rapport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4,34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1,67 / 2</w:t>
            </w:r>
          </w:p>
        </w:tc>
        <w:tc>
          <w:tcPr>
            <w:tcW w:type="dxa" w:w="2880"/>
          </w:tcPr>
          <w:p>
            <w:r>
              <w:rPr>
                <w:sz w:val="17"/>
              </w:rPr>
            </w:r>
            <w:r>
              <w:rPr>
                <w:sz w:val="17"/>
              </w:rPr>
              <w:t>élevé</w:t>
            </w:r>
          </w:p>
        </w:tc>
      </w:tr>
      <w:tr>
        <w:tc>
          <w:tcPr>
            <w:tcW w:type="dxa" w:w="2880"/>
          </w:tcPr>
          <w:p>
            <w:r>
              <w:rPr>
                <w:sz w:val="17"/>
              </w:rPr>
            </w:r>
            <w:r>
              <w:rPr>
                <w:sz w:val="17"/>
              </w:rPr>
              <w:t>PA-7 — Racial and Ethnic Representation</w:t>
            </w:r>
          </w:p>
        </w:tc>
        <w:tc>
          <w:tcPr>
            <w:tcW w:type="dxa" w:w="2880"/>
          </w:tcPr>
          <w:p>
            <w:r>
              <w:rPr>
                <w:sz w:val="17"/>
              </w:rPr>
            </w:r>
            <w:r>
              <w:rPr>
                <w:sz w:val="17"/>
              </w:rPr>
              <w:t>1,59 / 3</w:t>
            </w:r>
          </w:p>
        </w:tc>
        <w:tc>
          <w:tcPr>
            <w:tcW w:type="dxa" w:w="2880"/>
          </w:tcPr>
          <w:p>
            <w:r>
              <w:rPr>
                <w:sz w:val="17"/>
              </w:rPr>
            </w:r>
            <w:r>
              <w:rPr>
                <w:sz w:val="17"/>
              </w:rPr>
              <w:t>intermédiaire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2,8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2"/>
      </w:pPr>
      <w:r>
        <w:rPr>
          <w:color w:val="2F6F5E"/>
        </w:rPr>
        <w:t>Équité salariale et salaire décent</w:t>
      </w:r>
    </w:p>
    <w:p>
      <w:r>
        <w:t>L'université obtient 4,34 points STARS sur 5 au crédit PA-13, niveau élevé. Le salaire décent de référence est calculé avec le calculateur du Massachusetts Institute of Technology (MIT) ; le seuil horaire retenu pour le personnel tient compte du taux composite des avantages sociaux, actuellement de 42,8 %. La dernière analyse d'équité salariale, menée en 2023 sur le personnel de carrière et contractuel (PPSM), compare les rémunérations selon l'origine ethnique, l'identité de genre, l'orientation sexuelle, l'âge et le handicap.</w:t>
      </w:r>
    </w:p>
    <w:p>
      <w:r>
        <w:t>(GRI 202-1)</w:t>
      </w:r>
    </w:p>
    <w:p>
      <w:pPr>
        <w:pStyle w:val="Heading2"/>
      </w:pPr>
      <w:r>
        <w:rPr>
          <w:color w:val="2F6F5E"/>
        </w:rPr>
        <w:t>Droits des salariés</w:t>
      </w:r>
    </w:p>
    <w:p>
      <w:r>
        <w:t>Le site des ressources humaines de l'université présente les politiques relatives aux droits des salariés : traitement équitable, procédures de réclamation, équilibre entre vie professionnelle et vie personnelle, lutte contre les discriminations, protection des lanceurs d'alerte et avantages sociaux. Pour bénéficier d'un congé familial ou médical, les salariés doivent remplir les conditions de la politique Family and Medical Leave.</w:t>
      </w:r>
    </w:p>
    <w:p>
      <w:r>
        <w:t>(GRI 401-2)</w:t>
      </w:r>
    </w:p>
    <w:p>
      <w:pPr>
        <w:pStyle w:val="Heading2"/>
      </w:pPr>
      <w:r>
        <w:rPr>
          <w:color w:val="2F6F5E"/>
        </w:rPr>
        <w:t>Santé, sécurité et bien-être</w:t>
      </w:r>
    </w:p>
    <w:p>
      <w:r>
        <w:t>L'université propose une série d'ateliers de bien-être (Mind-Body-Spirit Wellness Workshop Series) consacrés à la santé globale : yoga, pleine conscience, écriture et exercices de respiration ; on peut y participer sans suivre toutes les séances.</w:t>
      </w:r>
    </w:p>
    <w:p>
      <w:r>
        <w:t>(GRI 403-1)</w:t>
      </w:r>
    </w:p>
    <w:p>
      <w:pPr>
        <w:pStyle w:val="Heading2"/>
      </w:pPr>
      <w:r>
        <w:rPr>
          <w:color w:val="2F6F5E"/>
        </w:rPr>
        <w:t>Parité femmes-hommes</w:t>
      </w:r>
    </w:p>
    <w:p>
      <w:r>
        <w:t>Parmi les programmes de soutien aux femmes figurent le Gender Equity Resource Center (GenEq), le programme Empowering Womxn in STEAM (WiSE) et le programme de mentorat AWE.</w:t>
      </w:r>
    </w:p>
    <w:p>
      <w:r>
        <w:t>(GRI 405-1)</w:t>
      </w:r>
    </w:p>
    <w:p>
      <w:pPr>
        <w:pStyle w:val="Heading2"/>
      </w:pPr>
      <w:r>
        <w:rPr>
          <w:color w:val="2F6F5E"/>
        </w:rPr>
        <w:t>Représentation ethnique et raciale</w:t>
      </w:r>
    </w:p>
    <w:p>
      <w:r>
        <w:t>La représentation est comparée à la population de l'État de Californie, d'après les données du US Census Bureau (County Population by Characteristics, 2023) ; les données sont produites par l'équipe Equity Data Initiatives du service Equity &amp; Inclusion.</w:t>
      </w:r>
    </w:p>
    <w:p>
      <w:r>
        <w:t>(GRI 405-1)</w:t>
      </w:r>
    </w:p>
    <w:p>
      <w:pPr>
        <w:pStyle w:val="Heading2"/>
      </w:pPr>
      <w:r>
        <w:rPr>
          <w:color w:val="2F6F5E"/>
        </w:rPr>
        <w:t>Accessibilité financière et accès</w:t>
      </w:r>
    </w:p>
    <w:p>
      <w:r>
        <w:t>Le crédit s'appuie notamment sur la part des étudiants de premier cycle bénéficiant d'une bourse fédérale Pell, d'après l'IPEDS, pour l'année universitaire commençant en 2021 (la plus récente disponible).</w:t>
      </w:r>
    </w:p>
    <w:p>
      <w:pPr>
        <w:pStyle w:val="Heading2"/>
      </w:pPr>
      <w:r>
        <w:rPr>
          <w:color w:val="2F6F5E"/>
        </w:rPr>
        <w:t>Climat institutionnel (inclusion)</w:t>
      </w:r>
    </w:p>
    <w:p>
      <w:r>
        <w:t>Le personnel peut rejoindre des organisations fondées sur l'origine ethnique, comme Alianza, Asian Pacific American Systemwide Alliance, Black Staff &amp; Faculty Organization, MENASA et Native &amp; Indigenous Council.</w:t>
      </w:r>
    </w:p>
    <w:p>
      <w:pPr>
        <w:pStyle w:val="Heading2"/>
      </w:pPr>
      <w:r>
        <w:rPr>
          <w:color w:val="2F6F5E"/>
        </w:rPr>
        <w:t>Réussite étudiante</w:t>
      </w:r>
    </w:p>
    <w:p>
      <w:r>
        <w:t>Ce rapport ne peut pas établir les actions de l'université pour la réussite étudiante : les extraits STARS de ce crédit ne donnent que la source des données (Office of Planning and Analysis).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PA-11 Santé, sécurité et bien-être (3 sur 3) ; PA-6 Climat institutionnel (3 sur 3) ; PA-10 Réussite étudiante (2,8 sur 3) ; PA-13 Équité salariale et salaire décent (4,34 sur 5) ; PA-8 Parité femmes-hommes (1,67 sur 2) ; PA-12 Droits des salariés (2,5 sur 3) ; PA-9 Accessibilité financière et accès (2,5 sur 3).</w:t>
      </w:r>
    </w:p>
    <w:p>
      <w:pPr>
        <w:pStyle w:val="ListBullet"/>
      </w:pPr>
      <w:r>
        <w:rPr>
          <w:b/>
        </w:rPr>
        <w:t>Partiellement atteints</w:t>
      </w:r>
      <w:r>
        <w:t xml:space="preserve"> : PA-7 Représentation ethnique et raciale (1,59 sur 3).</w:t>
      </w:r>
    </w:p>
    <w:p>
      <w:pPr>
        <w:pStyle w:val="ListBullet"/>
      </w:pPr>
      <w:r>
        <w:rPr>
          <w:b/>
        </w:rPr>
        <w:t>À améliorer</w:t>
      </w:r>
      <w:r>
        <w:t xml:space="preserve"> : aucun.</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13,01 / 14</w:t>
            </w:r>
          </w:p>
        </w:tc>
        <w:tc>
          <w:tcPr>
            <w:tcW w:type="dxa" w:w="2880"/>
          </w:tcPr>
          <w:p>
            <w:r>
              <w:rPr>
                <w:sz w:val="17"/>
              </w:rPr>
            </w:r>
            <w:r>
              <w:rPr>
                <w:sz w:val="17"/>
              </w:rPr>
              <w:t>élevé</w:t>
            </w:r>
          </w:p>
        </w:tc>
      </w:tr>
      <w:tr>
        <w:tc>
          <w:tcPr>
            <w:tcW w:type="dxa" w:w="2880"/>
          </w:tcPr>
          <w:p>
            <w:r>
              <w:rPr>
                <w:sz w:val="17"/>
              </w:rPr>
            </w:r>
            <w:r>
              <w:rPr>
                <w:sz w:val="17"/>
              </w:rPr>
              <w:t>AC-2 — Undergraduate Programs</w:t>
            </w:r>
          </w:p>
        </w:tc>
        <w:tc>
          <w:tcPr>
            <w:tcW w:type="dxa" w:w="2880"/>
          </w:tcPr>
          <w:p>
            <w:r>
              <w:rPr>
                <w:sz w:val="17"/>
              </w:rPr>
            </w:r>
            <w:r>
              <w:rPr>
                <w:sz w:val="17"/>
              </w:rPr>
              <w:t>10,22 / 15</w:t>
            </w:r>
          </w:p>
        </w:tc>
        <w:tc>
          <w:tcPr>
            <w:tcW w:type="dxa" w:w="2880"/>
          </w:tcPr>
          <w:p>
            <w:r>
              <w:rPr>
                <w:sz w:val="17"/>
              </w:rPr>
            </w:r>
            <w:r>
              <w:rPr>
                <w:sz w:val="17"/>
              </w:rPr>
              <w:t>intermédiaire</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7,35 / 10</w:t>
            </w:r>
          </w:p>
        </w:tc>
        <w:tc>
          <w:tcPr>
            <w:tcW w:type="dxa" w:w="2880"/>
          </w:tcPr>
          <w:p>
            <w:r>
              <w:rPr>
                <w:sz w:val="17"/>
              </w:rPr>
            </w:r>
            <w:r>
              <w:rPr>
                <w:sz w:val="17"/>
              </w:rPr>
              <w:t>intermédiaire</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Offre de cours en durabilité</w:t>
      </w:r>
    </w:p>
    <w:p>
      <w:r>
        <w:t>L'offre de cours en durabilité a été recensée à partir de l'inventaire des cours de 2021 à 2024 : le bureau Planning &amp; Analysis a recherché les mots-clés de durabilité de l'AASHE dans les descriptions du catalogue, puis des étudiants du Bureau de la durabilité ont classé les cours comme axés sur la durabilité ou liés à la durabilité.</w:t>
      </w:r>
    </w:p>
    <w:p>
      <w:pPr>
        <w:pStyle w:val="Heading3"/>
      </w:pPr>
      <w:r>
        <w:rPr>
          <w:color w:val="2F6F5E"/>
        </w:rPr>
        <w:t>Programmes de premier cycle</w:t>
      </w:r>
    </w:p>
    <w:p>
      <w:r>
        <w:t>Les diplômes de premier cycle axés sur la durabilité, et ceux qui exigent au moins un cours axé sur la durabilité, sont listés dans le document joint au rapport STARS.</w:t>
      </w:r>
    </w:p>
    <w:p>
      <w:pPr>
        <w:pStyle w:val="Heading3"/>
      </w:pPr>
      <w:r>
        <w:rPr>
          <w:color w:val="2F6F5E"/>
        </w:rPr>
        <w:t>Programmes de cycles supérieurs</w:t>
      </w:r>
    </w:p>
    <w:p>
      <w:r>
        <w:t>Les programmes de cycles supérieurs axés sur la durabilité, et ceux qui comportent un apprentissage axé sur la durabilité, sont aussi listés dans ce document.</w:t>
      </w:r>
    </w:p>
    <w:p>
      <w:pPr>
        <w:pStyle w:val="Heading3"/>
      </w:pPr>
      <w:r>
        <w:rPr>
          <w:color w:val="2F6F5E"/>
        </w:rPr>
        <w:t>Recherche en durabilité</w:t>
      </w:r>
    </w:p>
    <w:p>
      <w:r>
        <w:t>L'université soutient la recherche interdisciplinaire en durabilité par des partenariats, notamment avec le Lawrence Berkeley National Laboratory ; le Berkeley Climate Change Network, par exemple, met en relation chercheurs et étudiants avec des financements et des collaborations sur la durabilité et la résilience. La recherche en durabilité a été repérée par mots-clés dans l'inventaire de la recherche des exercices 2022 à 2024, puis vérifiée par un étudiant du Bureau de la durabilité.</w:t>
      </w:r>
    </w:p>
    <w:p>
      <w:pPr>
        <w:pStyle w:val="Heading3"/>
      </w:pPr>
      <w:r>
        <w:rPr>
          <w:color w:val="2F6F5E"/>
        </w:rPr>
        <w:t>Centre de recherche en durabilité</w:t>
      </w:r>
    </w:p>
    <w:p>
      <w:r>
        <w:t>Outre le Berkeley Climate Change Network et le centre de recherche CITRUS, plusieurs centres travaillent sur la durabilité, comme le Sutardja Center for Entrepreneurship and Technology, qui abrite l'Alternative Meats X Lab.</w:t>
      </w:r>
    </w:p>
    <w:p>
      <w:pPr>
        <w:pStyle w:val="Heading3"/>
      </w:pPr>
      <w:r>
        <w:rPr>
          <w:color w:val="2F6F5E"/>
        </w:rPr>
        <w:t>Communication et sensibilisation</w:t>
      </w:r>
    </w:p>
    <w:p>
      <w:r>
        <w:t>Le campus a mené plusieurs campagnes de sensibilisation à la durabilité ces dernières années, sur la protection de l'environnement et la justice sociale, notamment par des lettres d'information et des invitations envoyées sur les listes de diffusion de tout le campus.</w:t>
      </w:r>
    </w:p>
    <w:p>
      <w:pPr>
        <w:pStyle w:val="Heading3"/>
      </w:pPr>
      <w:r>
        <w:rPr>
          <w:color w:val="2F6F5E"/>
        </w:rPr>
        <w:t>Activités parascolaires</w:t>
      </w:r>
    </w:p>
    <w:p>
      <w:r>
        <w:t>Le Student Environmental Resource Center (SERC), service du campus consacré aux activités co-curriculaires des étudiants intéressés par l'environnement, organise chaque semestre de nombreux événements, dont la Climate Justice Week et l'Earth Week, ainsi que le SERC Membership program et le Student Leadership Institute for Climate Resilience.</w:t>
      </w:r>
    </w:p>
    <w:p>
      <w:pPr>
        <w:pStyle w:val="Heading3"/>
      </w:pPr>
      <w:r>
        <w:rPr>
          <w:color w:val="2F6F5E"/>
        </w:rPr>
        <w:t>Engagement et formation du personnel</w:t>
      </w:r>
    </w:p>
    <w:p>
      <w:r>
        <w:t>Le Bureau de la durabilité a créé une formation à la durabilité pour le personnel (UC Berkeley Sustainability Staff Training), composée de modules que chacun suit à son rythme.</w:t>
      </w:r>
    </w:p>
    <w:p>
      <w:pPr>
        <w:pStyle w:val="Heading3"/>
      </w:pPr>
      <w:r>
        <w:rPr>
          <w:color w:val="2F6F5E"/>
        </w:rPr>
        <w:t>Engagement civique</w:t>
      </w:r>
    </w:p>
    <w:p>
      <w:r>
        <w:t>Le Public Service Center réunit étudiants, enseignants et communautés au service de la justice sociale et de l'engagement civique, et le Cal Civic Engagement Program encourage les enseignants et le personnel à s'engager par le bénévolat.</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AC-3 Programmes de cycles supérieurs (8 sur 8) ; AC-7 Centre de recherche en durabilité (6 sur 6) ; EN-1 Communication et sensibilisation (5 sur 5) ; EN-2 Activités parascolaires (9 sur 9) ; EN-3 Engagement et formation du personnel (8 sur 8) ; EN-5 Engagement civique (8 sur 8) ; EN-7 Formation continue (3 sur 3) ; AC-1 Offre de cours en durabilité (13,01 sur 14).</w:t>
      </w:r>
    </w:p>
    <w:p>
      <w:pPr>
        <w:pStyle w:val="ListBullet"/>
      </w:pPr>
      <w:r>
        <w:rPr>
          <w:b/>
        </w:rPr>
        <w:t>Partiellement atteints</w:t>
      </w:r>
      <w:r>
        <w:t xml:space="preserve"> : AC-6 Recherche en durabilité (7,35 sur 10) ; AC-2 Programmes de premier cycle (10,22 sur 15).</w:t>
      </w:r>
    </w:p>
    <w:p>
      <w:pPr>
        <w:pStyle w:val="ListBullet"/>
      </w:pPr>
      <w:r>
        <w:rPr>
          <w:b/>
        </w:rPr>
        <w:t>À améliorer</w:t>
      </w:r>
      <w:r>
        <w:t xml:space="preserve"> : aucun.</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29</w:t>
            </w:r>
          </w:p>
        </w:tc>
        <w:tc>
          <w:tcPr>
            <w:tcW w:type="dxa" w:w="2160"/>
          </w:tcPr>
          <w:p>
            <w:r>
              <w:rPr>
                <w:sz w:val="17"/>
              </w:rPr>
            </w:r>
            <w:r>
              <w:rPr>
                <w:sz w:val="17"/>
              </w:rPr>
              <w:t>43</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(PRE-1) ; les champs structurés n'ont pas été extraits.</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L'organisation, son périmètre et ses effectifs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5 sur 8</w:t>
            </w:r>
          </w:p>
        </w:tc>
        <w:tc>
          <w:tcPr>
            <w:tcW w:type="dxa" w:w="960"/>
          </w:tcPr>
          <w:p>
            <w:r>
              <w:rPr>
                <w:sz w:val="17"/>
              </w:rPr>
            </w:r>
            <w:r>
              <w:rPr>
                <w:sz w:val="17"/>
              </w:rPr>
              <w:t>7.5 min</w:t>
            </w:r>
          </w:p>
        </w:tc>
      </w:tr>
      <w:tr>
        <w:tc>
          <w:tcPr>
            <w:tcW w:type="dxa" w:w="960"/>
          </w:tcPr>
          <w:p>
            <w:r>
              <w:rPr>
                <w:sz w:val="17"/>
              </w:rPr>
            </w:r>
            <w:r>
              <w:rPr>
                <w:sz w:val="17"/>
              </w:rPr>
              <w:t>Thèmes matériels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0%</w:t>
            </w:r>
          </w:p>
        </w:tc>
        <w:tc>
          <w:tcPr>
            <w:tcW w:type="dxa" w:w="960"/>
          </w:tcPr>
          <w:p>
            <w:r>
              <w:rPr>
                <w:sz w:val="17"/>
              </w:rPr>
            </w:r>
            <w:r>
              <w:rPr>
                <w:sz w:val="17"/>
              </w:rPr>
              <w:t>2 sur 3</w:t>
            </w:r>
          </w:p>
        </w:tc>
        <w:tc>
          <w:tcPr>
            <w:tcW w:type="dxa" w:w="960"/>
          </w:tcPr>
          <w:p>
            <w:r>
              <w:rPr>
                <w:sz w:val="17"/>
              </w:rPr>
            </w:r>
            <w:r>
              <w:rPr>
                <w:sz w:val="17"/>
              </w:rPr>
              <w:t>5.4 min</w:t>
            </w:r>
          </w:p>
        </w:tc>
      </w:tr>
      <w:tr>
        <w:tc>
          <w:tcPr>
            <w:tcW w:type="dxa" w:w="960"/>
          </w:tcPr>
          <w:p>
            <w:r>
              <w:rPr>
                <w:sz w:val="17"/>
              </w:rPr>
            </w:r>
            <w:r>
              <w:rPr>
                <w:sz w:val="17"/>
              </w:rPr>
              <w:t>Gouvernance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3 sur 13</w:t>
            </w:r>
          </w:p>
        </w:tc>
        <w:tc>
          <w:tcPr>
            <w:tcW w:type="dxa" w:w="960"/>
          </w:tcPr>
          <w:p>
            <w:r>
              <w:rPr>
                <w:sz w:val="17"/>
              </w:rPr>
            </w:r>
            <w:r>
              <w:rPr>
                <w:sz w:val="17"/>
              </w:rPr>
              <w:t>8.4 min</w:t>
            </w:r>
          </w:p>
        </w:tc>
      </w:tr>
      <w:tr>
        <w:tc>
          <w:tcPr>
            <w:tcW w:type="dxa" w:w="960"/>
          </w:tcPr>
          <w:p>
            <w:r>
              <w:rPr>
                <w:sz w:val="17"/>
              </w:rPr>
            </w:r>
            <w:r>
              <w:rPr>
                <w:sz w:val="17"/>
              </w:rPr>
              <w:t>Stratégie, politiques et pratiques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6 sur 7</w:t>
            </w:r>
          </w:p>
        </w:tc>
        <w:tc>
          <w:tcPr>
            <w:tcW w:type="dxa" w:w="960"/>
          </w:tcPr>
          <w:p>
            <w:r>
              <w:rPr>
                <w:sz w:val="17"/>
              </w:rPr>
            </w:r>
            <w:r>
              <w:rPr>
                <w:sz w:val="17"/>
              </w:rPr>
              <w:t>11.6 min</w:t>
            </w:r>
          </w:p>
        </w:tc>
      </w:tr>
      <w:tr>
        <w:tc>
          <w:tcPr>
            <w:tcW w:type="dxa" w:w="960"/>
          </w:tcPr>
          <w:p>
            <w:r>
              <w:rPr>
                <w:sz w:val="17"/>
              </w:rPr>
            </w:r>
            <w:r>
              <w:rPr>
                <w:sz w:val="17"/>
              </w:rPr>
              <w:t>Engagement des parties prenantes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0%</w:t>
            </w:r>
          </w:p>
        </w:tc>
        <w:tc>
          <w:tcPr>
            <w:tcW w:type="dxa" w:w="960"/>
          </w:tcPr>
          <w:p>
            <w:r>
              <w:rPr>
                <w:sz w:val="17"/>
              </w:rPr>
            </w:r>
            <w:r>
              <w:rPr>
                <w:sz w:val="17"/>
              </w:rPr>
              <w:t>1 sur 2</w:t>
            </w:r>
          </w:p>
        </w:tc>
        <w:tc>
          <w:tcPr>
            <w:tcW w:type="dxa" w:w="960"/>
          </w:tcPr>
          <w:p>
            <w:r>
              <w:rPr>
                <w:sz w:val="17"/>
              </w:rPr>
            </w:r>
            <w:r>
              <w:rPr>
                <w:sz w:val="17"/>
              </w:rPr>
              <w:t>8.8 min</w:t>
            </w:r>
          </w:p>
        </w:tc>
      </w:tr>
      <w:tr>
        <w:tc>
          <w:tcPr>
            <w:tcW w:type="dxa" w:w="960"/>
          </w:tcPr>
          <w:p>
            <w:r>
              <w:rPr>
                <w:sz w:val="17"/>
              </w:rPr>
            </w:r>
            <w:r>
              <w:rPr>
                <w:sz w:val="17"/>
              </w:rPr>
              <w:t>Performance environnementale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6 sur 35</w:t>
            </w:r>
          </w:p>
        </w:tc>
        <w:tc>
          <w:tcPr>
            <w:tcW w:type="dxa" w:w="960"/>
          </w:tcPr>
          <w:p>
            <w:r>
              <w:rPr>
                <w:sz w:val="17"/>
              </w:rPr>
            </w:r>
            <w:r>
              <w:rPr>
                <w:sz w:val="17"/>
              </w:rPr>
              <w:t>17.5 min</w:t>
            </w:r>
          </w:p>
        </w:tc>
      </w:tr>
      <w:tr>
        <w:tc>
          <w:tcPr>
            <w:tcW w:type="dxa" w:w="960"/>
          </w:tcPr>
          <w:p>
            <w:r>
              <w:rPr>
                <w:sz w:val="17"/>
              </w:rPr>
            </w:r>
            <w:r>
              <w:rPr>
                <w:sz w:val="17"/>
              </w:rPr>
              <w:t>Performance sociale et économique</w:t>
            </w:r>
          </w:p>
        </w:tc>
        <w:tc>
          <w:tcPr>
            <w:tcW w:type="dxa" w:w="960"/>
          </w:tcPr>
          <w:p>
            <w:r>
              <w:rPr>
                <w:sz w:val="17"/>
              </w:rPr>
            </w:r>
            <w:r>
              <w:rPr>
                <w:sz w:val="17"/>
              </w:rPr>
              <w:t>à relire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2/5</w:t>
            </w:r>
          </w:p>
        </w:tc>
        <w:tc>
          <w:tcPr>
            <w:tcW w:type="dxa" w:w="960"/>
          </w:tcPr>
          <w:p>
            <w:r>
              <w:rPr>
                <w:sz w:val="17"/>
              </w:rPr>
            </w:r>
            <w:r>
              <w:rPr>
                <w:sz w:val="17"/>
              </w:rPr>
              <w:t>67%</w:t>
            </w:r>
          </w:p>
        </w:tc>
        <w:tc>
          <w:tcPr>
            <w:tcW w:type="dxa" w:w="960"/>
          </w:tcPr>
          <w:p>
            <w:r>
              <w:rPr>
                <w:sz w:val="17"/>
              </w:rPr>
            </w:r>
            <w:r>
              <w:rPr>
                <w:sz w:val="17"/>
              </w:rPr>
              <w:t>88%</w:t>
            </w:r>
          </w:p>
        </w:tc>
        <w:tc>
          <w:tcPr>
            <w:tcW w:type="dxa" w:w="960"/>
          </w:tcPr>
          <w:p>
            <w:r>
              <w:rPr>
                <w:sz w:val="17"/>
              </w:rPr>
            </w:r>
            <w:r>
              <w:rPr>
                <w:sz w:val="17"/>
              </w:rPr>
              <w:t>6 sur 18</w:t>
            </w:r>
          </w:p>
        </w:tc>
        <w:tc>
          <w:tcPr>
            <w:tcW w:type="dxa" w:w="960"/>
          </w:tcPr>
          <w:p>
            <w:r>
              <w:rPr>
                <w:sz w:val="17"/>
              </w:rPr>
            </w:r>
            <w:r>
              <w:rPr>
                <w:sz w:val="17"/>
              </w:rPr>
              <w:t>16.4 min</w:t>
            </w:r>
          </w:p>
        </w:tc>
      </w:tr>
      <w:tr>
        <w:tc>
          <w:tcPr>
            <w:tcW w:type="dxa" w:w="960"/>
          </w:tcPr>
          <w:p>
            <w:r>
              <w:rPr>
                <w:sz w:val="17"/>
              </w:rPr>
            </w:r>
            <w:r>
              <w:rPr>
                <w:sz w:val="17"/>
              </w:rPr>
              <w:t>Enseignement, recherche et engagement (hors GRI)</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13.7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7 section(s) validée(s) sur 8 ; fidélité moyenne 92% ; 1 version(s) rejetée(s) par le garde-fou avant le juge. Aucun nombre du texte final n'a été écrit par le modèle.</w:t>
      </w:r>
    </w:p>
    <w:p>
      <w:r>
        <w:t>4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34 correction(s) dans 8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relecture/berkeley.yaml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r>
        <w:rPr>
          <w:b/>
        </w:rPr>
        <w:t>À relire par un humain</w:t>
      </w:r>
      <w:r>
        <w:t xml:space="preserve"> — affirmations que le juge n'a pas trouvées dans les sources :</w:t>
      </w:r>
    </w:p>
    <w:p>
      <w:pPr>
        <w:pStyle w:val="ListBullet"/>
      </w:pPr>
      <w:r>
        <w:rPr>
          <w:i/>
        </w:rPr>
        <w:t>Performance sociale et économique</w:t>
      </w:r>
      <w:r>
        <w:t xml:space="preserve"> : « Le salaire minimum local est utilisé pour calculer le salaire décent. »</w:t>
      </w:r>
    </w:p>
    <w:p>
      <w:pPr>
        <w:pStyle w:val="ListBullet"/>
      </w:pPr>
      <w:r>
        <w:rPr>
          <w:i/>
        </w:rPr>
        <w:t>Performance sociale et économique</w:t>
      </w:r>
      <w:r>
        <w:t xml:space="preserve"> : « L'université a mis en place des politiques pour protéger les droits des salariés, notamment la lutte contre la discrimination, la protection »</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of California, Berkeley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