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University College Cork</w:t>
      </w:r>
    </w:p>
    <w:p>
      <w:r>
        <w:rPr>
          <w:i/>
        </w:rPr>
        <w:t>Établi en référence aux normes GRI · généré le 2026-10-07 · données AASHE STARS 3.0</w:t>
      </w:r>
    </w:p>
    <w:p>
      <w:r>
        <w:rPr>
          <w:b/>
        </w:rPr>
        <w:t>À propos de ce rapport.</w:t>
      </w:r>
      <w:r>
        <w:t xml:space="preserve"> Ce rapport est généré automatiquement à partir de la soumission publique AASHE STARS 3.0 de University College Cork (5 mars 2026),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University College Cork STARS Report (https://reports.aashe.org/institutions/university-college-cork-national-university-of-ireland-cork-co-corcaigh/report/2026-03-05/)</w:t>
      </w:r>
      <w:r>
        <w:t>, AASHE, note « Platinum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Platinum</w:t>
      </w:r>
      <w:r>
        <w:t xml:space="preserve"> — score global </w:t>
      </w:r>
      <w:r>
        <w:rPr>
          <w:b/>
        </w:rPr>
        <w:t>85,99</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53,58</w:t>
            </w:r>
          </w:p>
        </w:tc>
        <w:tc>
          <w:tcPr>
            <w:tcW w:type="dxa" w:w="1728"/>
          </w:tcPr>
          <w:p>
            <w:r>
              <w:rPr>
                <w:sz w:val="17"/>
              </w:rPr>
            </w:r>
            <w:r>
              <w:rPr>
                <w:sz w:val="17"/>
              </w:rPr>
              <w:t>85</w:t>
            </w:r>
          </w:p>
        </w:tc>
        <w:tc>
          <w:tcPr>
            <w:tcW w:type="dxa" w:w="1728"/>
          </w:tcPr>
          <w:p>
            <w:r>
              <w:rPr>
                <w:sz w:val="17"/>
              </w:rPr>
            </w:r>
            <w:r>
              <w:rPr>
                <w:sz w:val="17"/>
              </w:rPr>
              <w:t>63,0 %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20,50</w:t>
            </w:r>
          </w:p>
        </w:tc>
        <w:tc>
          <w:tcPr>
            <w:tcW w:type="dxa" w:w="1728"/>
          </w:tcPr>
          <w:p>
            <w:r>
              <w:rPr>
                <w:sz w:val="17"/>
              </w:rPr>
            </w:r>
            <w:r>
              <w:rPr>
                <w:sz w:val="17"/>
              </w:rPr>
              <w:t>25</w:t>
            </w:r>
          </w:p>
        </w:tc>
        <w:tc>
          <w:tcPr>
            <w:tcW w:type="dxa" w:w="1728"/>
          </w:tcPr>
          <w:p>
            <w:r>
              <w:rPr>
                <w:sz w:val="17"/>
              </w:rPr>
            </w:r>
            <w:r>
              <w:rPr>
                <w:sz w:val="17"/>
              </w:rPr>
              <w:t>82,0 %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15,93</w:t>
            </w:r>
          </w:p>
        </w:tc>
        <w:tc>
          <w:tcPr>
            <w:tcW w:type="dxa" w:w="1728"/>
          </w:tcPr>
          <w:p>
            <w:r>
              <w:rPr>
                <w:sz w:val="17"/>
              </w:rPr>
            </w:r>
            <w:r>
              <w:rPr>
                <w:sz w:val="17"/>
              </w:rPr>
              <w:t>18</w:t>
            </w:r>
          </w:p>
        </w:tc>
        <w:tc>
          <w:tcPr>
            <w:tcW w:type="dxa" w:w="1728"/>
          </w:tcPr>
          <w:p>
            <w:r>
              <w:rPr>
                <w:sz w:val="17"/>
              </w:rPr>
            </w:r>
            <w:r>
              <w:rPr>
                <w:sz w:val="17"/>
              </w:rPr>
              <w:t>88,5 %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111,53</w:t>
            </w:r>
          </w:p>
        </w:tc>
        <w:tc>
          <w:tcPr>
            <w:tcW w:type="dxa" w:w="1728"/>
          </w:tcPr>
          <w:p>
            <w:r>
              <w:rPr>
                <w:sz w:val="17"/>
              </w:rPr>
            </w:r>
            <w:r>
              <w:rPr>
                <w:sz w:val="17"/>
              </w:rPr>
              <w:t>118</w:t>
            </w:r>
          </w:p>
        </w:tc>
        <w:tc>
          <w:tcPr>
            <w:tcW w:type="dxa" w:w="1728"/>
          </w:tcPr>
          <w:p>
            <w:r>
              <w:rPr>
                <w:sz w:val="17"/>
              </w:rPr>
            </w:r>
            <w:r>
              <w:rPr>
                <w:sz w:val="17"/>
              </w:rPr>
              <w:t>94,5 %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IntenseQuote"/>
      </w:pPr>
      <w:r>
        <w:rPr>
          <w:b/>
        </w:rPr>
        <w:t>Point de vigilance.</w:t>
      </w:r>
      <w:r>
        <w:t xml:space="preserve"> Le périmètre de Cork exclut ses sociétés filiales (logement étudiant notamment) : tout ratio par personne est biaisé et ne doit pas être comparé tel quel aux autres établissements.</w:t>
      </w:r>
    </w:p>
    <w:p>
      <w:pPr>
        <w:pStyle w:val="Heading2"/>
      </w:pPr>
      <w:r>
        <w:rPr>
          <w:color w:val="2F6F5E"/>
        </w:rPr>
        <w:t>Organisation, périmètre et effectifs</w:t>
      </w:r>
    </w:p>
    <w:p>
      <w:r>
        <w:t>University College Cork (UCC) est une institution d'enseignement supérieur située en Irlande.</w:t>
      </w:r>
    </w:p>
    <w:p>
      <w:r>
        <w:t>Le périmètre de l'UCC exclut ses sociétés filiales, telles que Campus Accommodation, le Mardyke Arena, le Student Centre et l'Irish Management Institute (Dublin). Ces entités ne sont pas incluses dans la soumission STARS de l'université.</w:t>
      </w:r>
    </w:p>
    <w:p>
      <w:r>
        <w:t>L'université a effectué une cartographie approfondie pour identifier les parties responsables de chaque crédit. Ce processus a été mené par l'office de la Durabilité et de l'Action Climatique, avec l'appui de la fonction « Data and Institutional Research Officer » de l'université.</w:t>
      </w:r>
    </w:p>
    <w:p>
      <w:r>
        <w:t>L'université a également présenté des mises à jour régulières sur le processus de collecte de données au sous-comité de l'équipe de direction de l'université sur la durabilité et l'action climatique, présidé par la présidence de l'université.</w:t>
      </w:r>
    </w:p>
    <w:p>
      <w:r>
        <w:t>(GRI 2-1, GRI 2-2, GRI 2-3)</w:t>
      </w:r>
    </w:p>
    <w:p>
      <w:pPr>
        <w:pStyle w:val="Heading2"/>
      </w:pPr>
      <w:r>
        <w:rPr>
          <w:color w:val="2F6F5E"/>
        </w:rPr>
        <w:t>Limites et omissions</w:t>
      </w:r>
    </w:p>
    <w:p>
      <w:r>
        <w:t>Ce rapport ne peut pas établir le nombre d'effectifs de l'université, ni les ratios par personne ou par m², en raison de la différence de périmètre entre les établissements.</w:t>
      </w:r>
    </w:p>
    <w:p>
      <w:r>
        <w:t>(GRI 2-7)</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PA-12 Droits des salariés (3 sur 3).</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Ces domaines sont définis par STARS et sont identiques pour toutes les institutions.</w:t>
      </w:r>
    </w:p>
    <w:p>
      <w:r>
        <w:t>L'université a adopté un plan de durabilité et d'action climatique (Sustainability and Climate Action Plan, 2023-2028), qui prolonge sa stratégie de durabilité de 2016. Ce plan vise à intégrer les objectifs de durabilité dans toutes les activités de l'université, notamment dans les opérations du campus, la recherche, l'enseignement et les interactions avec la communauté.</w:t>
      </w:r>
    </w:p>
    <w:p>
      <w:r>
        <w:t>L'université a également mis en place des objectifs spécifiques, notamment devenir un campus sans déchets (zero waste campus) d'ici 2030 et un campus neutre en carbone (carbon neutral campus) d'ici 2040.</w:t>
      </w:r>
    </w:p>
    <w:p>
      <w:r>
        <w:t>Le plan prévoit de dépasser l'objectif fixé par le gouvernement irlandais, soit une baisse de 51 % des émissions de scopes 1 et 2 d'ici 2030, et d'atteindre zéro émission nette de gaz à effet de serre au total d'ici 2040.</w:t>
      </w:r>
    </w:p>
    <w:p>
      <w:r>
        <w:t>L'université a également mis en place des plans pour aligner son programme de durabilité avec les stratégies de l'université, notamment la stratégie d'égalité, de diversité et d'inclusion (EDI), la stratégie d'enseignement et d'apprentissage, et la stratégie de recherche.</w:t>
      </w:r>
    </w:p>
    <w:p>
      <w:r>
        <w:t>L'université a également mis en place des plans pour exposer les étudiants à l'agenda de durabilité mondiale à travers leur formation ou leur éducation informelle.</w:t>
      </w:r>
    </w:p>
    <w:p>
      <w:r>
        <w:t>(GRI 3-2)</w:t>
      </w:r>
    </w:p>
    <w:p>
      <w:pPr>
        <w:pStyle w:val="Heading2"/>
      </w:pPr>
      <w:r>
        <w:rPr>
          <w:color w:val="2F6F5E"/>
        </w:rPr>
        <w:t>Limites et omissions</w:t>
      </w:r>
    </w:p>
    <w:p>
      <w:r>
        <w:t>Ce rapport ne peut pas établir, pour chaque thème matériel, les impacts, les actions engagées et le suivi de leur efficacité.</w:t>
      </w:r>
    </w:p>
    <w:p>
      <w:r>
        <w:t>(GRI 3-3)</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PA-2 Engagements et planification (5,67 sur 6).</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PA-4 — Sustainable Investment Program</w:t>
            </w:r>
          </w:p>
        </w:tc>
        <w:tc>
          <w:tcPr>
            <w:tcW w:type="dxa" w:w="2880"/>
          </w:tcPr>
          <w:p>
            <w:r>
              <w:rPr>
                <w:sz w:val="17"/>
              </w:rPr>
            </w:r>
            <w:r>
              <w:rPr>
                <w:sz w:val="17"/>
              </w:rPr>
              <w:t>3,33 / 4</w:t>
            </w:r>
          </w:p>
        </w:tc>
        <w:tc>
          <w:tcPr>
            <w:tcW w:type="dxa" w:w="2880"/>
          </w:tcPr>
          <w:p>
            <w:r>
              <w:rPr>
                <w:sz w:val="17"/>
              </w:rPr>
            </w:r>
            <w:r>
              <w:rPr>
                <w:sz w:val="17"/>
              </w:rPr>
              <w:t>élevé</w:t>
            </w:r>
          </w:p>
        </w:tc>
      </w:tr>
      <w:tr>
        <w:tc>
          <w:tcPr>
            <w:tcW w:type="dxa" w:w="2880"/>
          </w:tcPr>
          <w:p>
            <w:r>
              <w:rPr>
                <w:sz w:val="17"/>
              </w:rPr>
            </w:r>
            <w:r>
              <w:rPr>
                <w:sz w:val="17"/>
              </w:rPr>
              <w:t>PA-5 — Investment Holdings</w:t>
            </w:r>
          </w:p>
        </w:tc>
        <w:tc>
          <w:tcPr>
            <w:tcW w:type="dxa" w:w="2880"/>
          </w:tcPr>
          <w:p>
            <w:r>
              <w:rPr>
                <w:sz w:val="17"/>
              </w:rPr>
            </w:r>
            <w:r>
              <w:rPr>
                <w:sz w:val="17"/>
              </w:rPr>
              <w:t>1,93 / 3</w:t>
            </w:r>
          </w:p>
        </w:tc>
        <w:tc>
          <w:tcPr>
            <w:tcW w:type="dxa" w:w="2880"/>
          </w:tcPr>
          <w:p>
            <w:r>
              <w:rPr>
                <w:sz w:val="17"/>
              </w:rPr>
            </w:r>
            <w:r>
              <w:rPr>
                <w:sz w:val="17"/>
              </w:rPr>
              <w:t>intermédiaire</w:t>
            </w:r>
          </w:p>
        </w:tc>
      </w:tr>
    </w:tbl>
    <w:p/>
    <w:p>
      <w:r>
        <w:rPr>
          <w:i/>
        </w:rPr>
        <w:t>Valeurs insérées par le code depuis la table des faits ; le texte ci-dessous est rédigé par le modèle puis validé.</w:t>
      </w:r>
    </w:p>
    <w:p>
      <w:r>
        <w:t>Le poste de Head of Sustainability and Climate Action est occupé par Dr Maria Kirrane, qui coordonne l'Office de la durabilité et de l'action climatique. L'office est responsable de la mise en œuvre du plan de durabilité et d'action climatique et coordonne diverses initiatives et programmes universitaires.</w:t>
      </w:r>
    </w:p>
    <w:p>
      <w:r>
        <w:t>L'université a également mis en place un système de gouvernance participatif, qui implique les étudiants dans les décisions importantes. Les membres du syndicat des étudiants (SU) siègent au sein de l'autorité de gouvernance de l'université, la plus haute instance décisionnelle. Les étudiants sont également représentés dans divers comités autonomes, tels que le Societies Guild Executive et le Clubs Executive, qui gèrent les activités extrascolaires des étudiants.</w:t>
      </w:r>
    </w:p>
    <w:p>
      <w:r>
        <w:t>L'université est signataire des Principes pour l'investissement responsable des Nations unies (UN PRI). Elle s'est ainsi engagée à intégrer les questions environnementales, sociales et de gouvernance (ESG) dans l'analyse et les décisions d'investissement, à être un actionnaire actif et à intégrer ces questions dans ses politiques et pratiques d'actionnaire.</w:t>
      </w:r>
    </w:p>
    <w:p>
      <w:r>
        <w:t>Les fonds de l'université sont gérés par Cantor Fitzgerald, qui publie une présentation de ses fonds d'investissement ; le rapport de transparence UN PRI de l'université détaille les types d'investissements.</w:t>
      </w:r>
    </w:p>
    <w:p>
      <w:r>
        <w:t>(GRI 2-9)</w:t>
      </w:r>
    </w:p>
    <w:p>
      <w:pPr>
        <w:pStyle w:val="Heading2"/>
      </w:pPr>
      <w:r>
        <w:rPr>
          <w:color w:val="2F6F5E"/>
        </w:rPr>
        <w:t>Limites et omissions</w:t>
      </w:r>
    </w:p>
    <w:p>
      <w:r>
        <w:t>Ce rapport ne peut pas établir les informations relatives à la composition de l'autorité de gouvernance de l'université, ni les informations sur la fréquence de la réunion des responsables de la gestion des impacts.</w:t>
      </w:r>
    </w:p>
    <w:p>
      <w:r>
        <w:t>(GRI 2-13)</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 Coordination de la durabilité (1 sur 1) ; PA-3 Gouvernance de l'établissement (4 sur 4) ; PA-4 Programme d'investissement durable (3,33 sur 4).</w:t>
      </w:r>
    </w:p>
    <w:p>
      <w:pPr>
        <w:pStyle w:val="ListBullet"/>
      </w:pPr>
      <w:r>
        <w:rPr>
          <w:b/>
        </w:rPr>
        <w:t>Partiellement atteints</w:t>
      </w:r>
      <w:r>
        <w:t xml:space="preserve"> : PA-5 Portefeuille d'investissements (1,93 sur 3).</w:t>
      </w:r>
    </w:p>
    <w:p>
      <w:pPr>
        <w:pStyle w:val="ListBullet"/>
      </w:pPr>
      <w:r>
        <w:rPr>
          <w:b/>
        </w:rPr>
        <w:t>À améliorer</w:t>
      </w:r>
      <w:r>
        <w:t xml:space="preserve"> : aucun.</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OP-9 — Sustainable Procurement System</w:t>
            </w:r>
          </w:p>
        </w:tc>
        <w:tc>
          <w:tcPr>
            <w:tcW w:type="dxa" w:w="2880"/>
          </w:tcPr>
          <w:p>
            <w:r>
              <w:rPr>
                <w:sz w:val="17"/>
              </w:rPr>
            </w:r>
            <w:r>
              <w:rPr>
                <w:sz w:val="17"/>
              </w:rPr>
              <w:t>2,15 / 7</w:t>
            </w:r>
          </w:p>
        </w:tc>
        <w:tc>
          <w:tcPr>
            <w:tcW w:type="dxa" w:w="2880"/>
          </w:tcPr>
          <w:p>
            <w:r>
              <w:rPr>
                <w:sz w:val="17"/>
              </w:rPr>
            </w:r>
            <w:r>
              <w:rPr>
                <w:sz w:val="17"/>
              </w:rPr>
              <w:t>faible</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University College Cork (UCC) a élaboré un plan de durabilité et d'action climatique (Sustainability and Climate Action Plan), qui vise à intégrer les objectifs de durabilité dans toutes les activités de l'université.</w:t>
      </w:r>
    </w:p>
    <w:p>
      <w:r>
        <w:t>L'université a décidé d'aligner son programme de durabilité avec les stratégies pertinentes, notamment la participation à la communauté, l'égalité, la diversité et l'inclusion, l'enseignement et l'apprentissage, ainsi que les stratégies de recherche.</w:t>
      </w:r>
    </w:p>
    <w:p>
      <w:r>
        <w:t>L'Office de la durabilité et de l'action climatique (The Office of Sustainability and Climate Action) est situé dans le Bureau du président de l'université et s'appuie sur le plan de durabilité et d'action climatique. Ce plan a été élaboré après une consultation approfondie avec le personnel et les étudiants.</w:t>
      </w:r>
    </w:p>
    <w:p>
      <w:r>
        <w:t>L'université a également mis en place des politiques pour promouvoir la durabilité, notamment dans ses appels d'offres : 21 % des appels d'offres ont inclus des spécifications de durabilité pour les fournisseurs, et 54 % des appels d'offres ont inclus des conditions de durabilité pour les produits.</w:t>
      </w:r>
    </w:p>
    <w:p>
      <w:r>
        <w:t>(GRI 2-22, GRI 2-23, GRI 2-24, GRI 2-25, GRI 2-26, GRI 2-28)</w:t>
      </w:r>
    </w:p>
    <w:p>
      <w:pPr>
        <w:pStyle w:val="Heading2"/>
      </w:pPr>
      <w:r>
        <w:rPr>
          <w:color w:val="2F6F5E"/>
        </w:rPr>
        <w:t>Limites et omissions</w:t>
      </w:r>
    </w:p>
    <w:p>
      <w:r>
        <w:t>Ce rapport ne peut pas établir les mécanismes de demande de conseil et de signalement pour les parties prenantes autres que les salariés, ni les engagements politiques de l'université en matière de droits humains et de devoir de vigilance.</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 Coordination de la durabilité (1 sur 1) ; PA-12 Droits des salariés (3 sur 3) ; EN-3 Engagement et formation du personnel (8 sur 8) ; PA-2 Engagements et planification (5,67 sur 6).</w:t>
      </w:r>
    </w:p>
    <w:p>
      <w:pPr>
        <w:pStyle w:val="ListBullet"/>
      </w:pPr>
      <w:r>
        <w:rPr>
          <w:b/>
        </w:rPr>
        <w:t>Partiellement atteints</w:t>
      </w:r>
      <w:r>
        <w:t xml:space="preserve"> : aucun.</w:t>
      </w:r>
    </w:p>
    <w:p>
      <w:pPr>
        <w:pStyle w:val="ListBullet"/>
      </w:pPr>
      <w:r>
        <w:rPr>
          <w:b/>
        </w:rPr>
        <w:t>À améliorer</w:t>
      </w:r>
      <w:r>
        <w:t xml:space="preserve"> : OP-9 Système d'achats durables (2,15 sur 7).</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7 / 8</w:t>
            </w:r>
          </w:p>
        </w:tc>
        <w:tc>
          <w:tcPr>
            <w:tcW w:type="dxa" w:w="2880"/>
          </w:tcPr>
          <w:p>
            <w:r>
              <w:rPr>
                <w:sz w:val="17"/>
              </w:rPr>
            </w:r>
            <w:r>
              <w:rPr>
                <w:sz w:val="17"/>
              </w:rPr>
              <w:t>élevé</w:t>
            </w:r>
          </w:p>
        </w:tc>
      </w:tr>
      <w:tr>
        <w:tc>
          <w:tcPr>
            <w:tcW w:type="dxa" w:w="2880"/>
          </w:tcPr>
          <w:p>
            <w:r>
              <w:rPr>
                <w:sz w:val="17"/>
              </w:rPr>
            </w:r>
            <w:r>
              <w:rPr>
                <w:sz w:val="17"/>
              </w:rPr>
              <w:t>EN-6 — Community Partnerships</w:t>
            </w:r>
          </w:p>
        </w:tc>
        <w:tc>
          <w:tcPr>
            <w:tcW w:type="dxa" w:w="2880"/>
          </w:tcPr>
          <w:p>
            <w:r>
              <w:rPr>
                <w:sz w:val="17"/>
              </w:rPr>
            </w:r>
            <w:r>
              <w:rPr>
                <w:sz w:val="17"/>
              </w:rPr>
              <w:t>8 / 9</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Selon le rapport STARS, l'université a obtenu 4 points STARS sur 4 au crédit PA-3, niveau maximal (GRI 2-29).</w:t>
      </w:r>
    </w:p>
    <w:p>
      <w:r>
        <w:t>Les membres de l'Union des étudiants siègent au sein de l'autorité de gouvernance de l'université (Governing Authority), le plus haut organe décisionnel de l'université. Cette approche délibérative et participative permet aux étudiants de participer activement aux décisions stratégiques et politiques qui touchent la communauté universitaire.</w:t>
      </w:r>
    </w:p>
    <w:p>
      <w:r>
        <w:t>La création du Forum des étudiants, inspiré par l'Assemblée des citoyens irlandais, vise à renforcer la transparence et l'intégrité dans la prise de décision et à faciliter une prise de décision éclairée.</w:t>
      </w:r>
    </w:p>
    <w:p>
      <w:r>
        <w:t>L'université a également établi des partenariats avec la communauté locale, comme le programme UNIC, qui a donné lieu à la création de l'Urban Climate Collab, un projet de recherche visant à renforcer les collaborations entre universités et municipalités pour atteindre les objectifs de lutte contre le changement climatique dans les villes (EN-5).</w:t>
      </w:r>
    </w:p>
    <w:p>
      <w:r>
        <w:t>En outre, l'université a développé des lignes directrices et des ressources pour la participation communautaire, notamment le Civic Engagement Toolkit et les lignes directrices de la science shop, qui guident les participants à suivre les lignes directrices nationales de Campus Engage (EN-6).</w:t>
      </w:r>
    </w:p>
    <w:p>
      <w:r>
        <w:t>Enfin, la liberté d'association est rappelée comme un droit fondamental garanti par la Constitution irlandaise, et le syndicat IFUT est présenté sur le site de l'université (PA-12).</w:t>
      </w:r>
    </w:p>
    <w:p>
      <w:r>
        <w:t>(GRI 2-29)</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PA-3 Gouvernance de l'établissement (4 sur 4) ; PA-12 Droits des salariés (3 sur 3) ; EN-6 Partenariats avec la communauté (8 sur 9) ; EN-5 Engagement civique (7 sur 8).</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5,62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10,63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4,67 / 6</w:t>
            </w:r>
          </w:p>
        </w:tc>
        <w:tc>
          <w:tcPr>
            <w:tcW w:type="dxa" w:w="2880"/>
          </w:tcPr>
          <w:p>
            <w:r>
              <w:rPr>
                <w:sz w:val="17"/>
              </w:rPr>
            </w:r>
            <w:r>
              <w:rPr>
                <w:sz w:val="17"/>
              </w:rPr>
              <w:t>élevé</w:t>
            </w:r>
          </w:p>
        </w:tc>
      </w:tr>
      <w:tr>
        <w:tc>
          <w:tcPr>
            <w:tcW w:type="dxa" w:w="2880"/>
          </w:tcPr>
          <w:p>
            <w:r>
              <w:rPr>
                <w:sz w:val="17"/>
              </w:rPr>
            </w:r>
            <w:r>
              <w:rPr>
                <w:sz w:val="17"/>
              </w:rPr>
              <w:t>OP-12 — Waste Generation and Recovery</w:t>
            </w:r>
          </w:p>
        </w:tc>
        <w:tc>
          <w:tcPr>
            <w:tcW w:type="dxa" w:w="2880"/>
          </w:tcPr>
          <w:p>
            <w:r>
              <w:rPr>
                <w:sz w:val="17"/>
              </w:rPr>
            </w:r>
            <w:r>
              <w:rPr>
                <w:sz w:val="17"/>
              </w:rPr>
              <w:t>3,99 / 5</w:t>
            </w:r>
          </w:p>
        </w:tc>
        <w:tc>
          <w:tcPr>
            <w:tcW w:type="dxa" w:w="2880"/>
          </w:tcPr>
          <w:p>
            <w:r>
              <w:rPr>
                <w:sz w:val="17"/>
              </w:rPr>
            </w:r>
            <w:r>
              <w:rPr>
                <w:sz w:val="17"/>
              </w:rPr>
              <w:t>élevé</w:t>
            </w:r>
          </w:p>
        </w:tc>
      </w:tr>
      <w:tr>
        <w:tc>
          <w:tcPr>
            <w:tcW w:type="dxa" w:w="2880"/>
          </w:tcPr>
          <w:p>
            <w:r>
              <w:rPr>
                <w:sz w:val="17"/>
              </w:rPr>
            </w:r>
            <w:r>
              <w:rPr>
                <w:sz w:val="17"/>
              </w:rPr>
              <w:t>OP-11 — Materials Management</w:t>
            </w:r>
          </w:p>
        </w:tc>
        <w:tc>
          <w:tcPr>
            <w:tcW w:type="dxa" w:w="2880"/>
          </w:tcPr>
          <w:p>
            <w:r>
              <w:rPr>
                <w:sz w:val="17"/>
              </w:rPr>
            </w:r>
            <w:r>
              <w:rPr>
                <w:sz w:val="17"/>
              </w:rPr>
              <w:t>3 / 4</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2,15 / 7</w:t>
            </w:r>
          </w:p>
        </w:tc>
        <w:tc>
          <w:tcPr>
            <w:tcW w:type="dxa" w:w="2880"/>
          </w:tcPr>
          <w:p>
            <w:r>
              <w:rPr>
                <w:sz w:val="17"/>
              </w:rPr>
            </w:r>
            <w:r>
              <w:rPr>
                <w:sz w:val="17"/>
              </w:rPr>
              <w:t>faible</w:t>
            </w:r>
          </w:p>
        </w:tc>
      </w:tr>
      <w:tr>
        <w:tc>
          <w:tcPr>
            <w:tcW w:type="dxa" w:w="2880"/>
          </w:tcPr>
          <w:p>
            <w:r>
              <w:rPr>
                <w:sz w:val="17"/>
              </w:rPr>
            </w:r>
            <w:r>
              <w:rPr>
                <w:sz w:val="17"/>
              </w:rPr>
              <w:t>OP-10 — Purchased Goods</w:t>
            </w:r>
          </w:p>
        </w:tc>
        <w:tc>
          <w:tcPr>
            <w:tcW w:type="dxa" w:w="2880"/>
          </w:tcPr>
          <w:p>
            <w:r>
              <w:rPr>
                <w:sz w:val="17"/>
              </w:rPr>
            </w:r>
            <w:r>
              <w:rPr>
                <w:sz w:val="17"/>
              </w:rPr>
              <w:t>1,13 / 4</w:t>
            </w:r>
          </w:p>
        </w:tc>
        <w:tc>
          <w:tcPr>
            <w:tcW w:type="dxa" w:w="2880"/>
          </w:tcPr>
          <w:p>
            <w:r>
              <w:rPr>
                <w:sz w:val="17"/>
              </w:rPr>
            </w:r>
            <w:r>
              <w:rPr>
                <w:sz w:val="17"/>
              </w:rPr>
              <w:t>faible</w:t>
            </w:r>
          </w:p>
        </w:tc>
      </w:tr>
      <w:tr>
        <w:tc>
          <w:tcPr>
            <w:tcW w:type="dxa" w:w="2880"/>
          </w:tcPr>
          <w:p>
            <w:r>
              <w:rPr>
                <w:sz w:val="17"/>
              </w:rPr>
            </w:r>
            <w:r>
              <w:rPr>
                <w:sz w:val="17"/>
              </w:rPr>
              <w:t>OP-1 — Building Design and Construction</w:t>
            </w:r>
          </w:p>
        </w:tc>
        <w:tc>
          <w:tcPr>
            <w:tcW w:type="dxa" w:w="2880"/>
          </w:tcPr>
          <w:p>
            <w:r>
              <w:rPr>
                <w:sz w:val="17"/>
              </w:rPr>
            </w:r>
            <w:r>
              <w:rPr>
                <w:sz w:val="17"/>
              </w:rPr>
              <w:t>2,95 / 3</w:t>
            </w:r>
          </w:p>
        </w:tc>
        <w:tc>
          <w:tcPr>
            <w:tcW w:type="dxa" w:w="2880"/>
          </w:tcPr>
          <w:p>
            <w:r>
              <w:rPr>
                <w:sz w:val="17"/>
              </w:rPr>
            </w:r>
            <w:r>
              <w:rPr>
                <w:sz w:val="17"/>
              </w:rPr>
              <w:t>élevé</w:t>
            </w:r>
          </w:p>
        </w:tc>
      </w:tr>
      <w:tr>
        <w:tc>
          <w:tcPr>
            <w:tcW w:type="dxa" w:w="2880"/>
          </w:tcPr>
          <w:p>
            <w:r>
              <w:rPr>
                <w:sz w:val="17"/>
              </w:rPr>
            </w:r>
            <w:r>
              <w:rPr>
                <w:sz w:val="17"/>
              </w:rPr>
              <w:t>OP-2 — Building Operations and Maintenance</w:t>
            </w:r>
          </w:p>
        </w:tc>
        <w:tc>
          <w:tcPr>
            <w:tcW w:type="dxa" w:w="2880"/>
          </w:tcPr>
          <w:p>
            <w:r>
              <w:rPr>
                <w:sz w:val="17"/>
              </w:rPr>
            </w:r>
            <w:r>
              <w:rPr>
                <w:sz w:val="17"/>
              </w:rPr>
              <w:t>2,08 / 5</w:t>
            </w:r>
          </w:p>
        </w:tc>
        <w:tc>
          <w:tcPr>
            <w:tcW w:type="dxa" w:w="2880"/>
          </w:tcPr>
          <w:p>
            <w:r>
              <w:rPr>
                <w:sz w:val="17"/>
              </w:rPr>
            </w:r>
            <w:r>
              <w:rPr>
                <w:sz w:val="17"/>
              </w:rPr>
              <w:t>intermédiaire</w:t>
            </w:r>
          </w:p>
        </w:tc>
      </w:tr>
      <w:tr>
        <w:tc>
          <w:tcPr>
            <w:tcW w:type="dxa" w:w="2880"/>
          </w:tcPr>
          <w:p>
            <w:r>
              <w:rPr>
                <w:sz w:val="17"/>
              </w:rPr>
            </w:r>
            <w:r>
              <w:rPr>
                <w:sz w:val="17"/>
              </w:rPr>
              <w:t>OP-13 — Vehicle Fleet</w:t>
            </w:r>
          </w:p>
        </w:tc>
        <w:tc>
          <w:tcPr>
            <w:tcW w:type="dxa" w:w="2880"/>
          </w:tcPr>
          <w:p>
            <w:r>
              <w:rPr>
                <w:sz w:val="17"/>
              </w:rPr>
            </w:r>
            <w:r>
              <w:rPr>
                <w:sz w:val="17"/>
              </w:rPr>
              <w:t>0,67 / 2</w:t>
            </w:r>
          </w:p>
        </w:tc>
        <w:tc>
          <w:tcPr>
            <w:tcW w:type="dxa" w:w="2880"/>
          </w:tcPr>
          <w:p>
            <w:r>
              <w:rPr>
                <w:sz w:val="17"/>
              </w:rPr>
            </w:r>
            <w:r>
              <w:rPr>
                <w:sz w:val="17"/>
              </w:rPr>
              <w:t>faible</w:t>
            </w:r>
          </w:p>
        </w:tc>
      </w:tr>
      <w:tr>
        <w:tc>
          <w:tcPr>
            <w:tcW w:type="dxa" w:w="2880"/>
          </w:tcPr>
          <w:p>
            <w:r>
              <w:rPr>
                <w:sz w:val="17"/>
              </w:rPr>
            </w:r>
            <w:r>
              <w:rPr>
                <w:sz w:val="17"/>
              </w:rPr>
              <w:t>OP-14 — Commute Modal Split</w:t>
            </w:r>
          </w:p>
        </w:tc>
        <w:tc>
          <w:tcPr>
            <w:tcW w:type="dxa" w:w="2880"/>
          </w:tcPr>
          <w:p>
            <w:r>
              <w:rPr>
                <w:sz w:val="17"/>
              </w:rPr>
            </w:r>
            <w:r>
              <w:rPr>
                <w:sz w:val="17"/>
              </w:rPr>
              <w:t>4,83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0 / 2</w:t>
            </w:r>
          </w:p>
        </w:tc>
        <w:tc>
          <w:tcPr>
            <w:tcW w:type="dxa" w:w="2880"/>
          </w:tcPr>
          <w:p>
            <w:r>
              <w:rPr>
                <w:sz w:val="17"/>
              </w:rPr>
            </w:r>
            <w:r>
              <w:rPr>
                <w:sz w:val="17"/>
              </w:rPr>
              <w:t>nul (aucun point obtenu)</w:t>
            </w:r>
          </w:p>
        </w:tc>
      </w:tr>
      <w:tr>
        <w:tc>
          <w:tcPr>
            <w:tcW w:type="dxa" w:w="2880"/>
          </w:tcPr>
          <w:p>
            <w:r>
              <w:rPr>
                <w:sz w:val="17"/>
              </w:rPr>
            </w:r>
            <w:r>
              <w:rPr>
                <w:sz w:val="17"/>
              </w:rPr>
              <w:t>OP-4 — Ecologically Managed Grounds</w:t>
            </w:r>
          </w:p>
        </w:tc>
        <w:tc>
          <w:tcPr>
            <w:tcW w:type="dxa" w:w="2880"/>
          </w:tcPr>
          <w:p>
            <w:r>
              <w:rPr>
                <w:sz w:val="17"/>
              </w:rPr>
            </w:r>
            <w:r>
              <w:rPr>
                <w:sz w:val="17"/>
              </w:rPr>
              <w:t>4,06 / 5</w:t>
            </w:r>
          </w:p>
        </w:tc>
        <w:tc>
          <w:tcPr>
            <w:tcW w:type="dxa" w:w="2880"/>
          </w:tcPr>
          <w:p>
            <w:r>
              <w:rPr>
                <w:sz w:val="17"/>
              </w:rPr>
            </w:r>
            <w:r>
              <w:rPr>
                <w:sz w:val="17"/>
              </w:rPr>
              <w:t>élevé</w:t>
            </w:r>
          </w:p>
        </w:tc>
      </w:tr>
      <w:tr>
        <w:tc>
          <w:tcPr>
            <w:tcW w:type="dxa" w:w="2880"/>
          </w:tcPr>
          <w:p>
            <w:r>
              <w:rPr>
                <w:sz w:val="17"/>
              </w:rPr>
            </w:r>
            <w:r>
              <w:rPr>
                <w:sz w:val="17"/>
              </w:rPr>
              <w:t>IL-24 — Biodiversity Assessment</w:t>
            </w:r>
          </w:p>
        </w:tc>
        <w:tc>
          <w:tcPr>
            <w:tcW w:type="dxa" w:w="2880"/>
          </w:tcPr>
          <w:p>
            <w:r>
              <w:rPr>
                <w:sz w:val="17"/>
              </w:rPr>
            </w:r>
            <w:r>
              <w:rPr>
                <w:sz w:val="17"/>
              </w:rPr>
              <w:t>1 / 1</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rPr>
          <w:b/>
        </w:rPr>
        <w:t>Consommation d'énergie (OP-5)</w:t>
      </w:r>
    </w:p>
    <w:p>
      <w:r>
        <w:t>L'établissement a obtenu un score de 5,62 points STARS sur 10 au crédit OP-5, niveau intermédiaire.</w:t>
      </w:r>
    </w:p>
    <w:p>
      <w:r>
        <w:rPr>
          <w:b/>
        </w:rPr>
        <w:t>Émissions de gaz à effet de serre (OP-6)</w:t>
      </w:r>
    </w:p>
    <w:p>
      <w:r>
        <w:t>L'établissement a obtenu un score de 10,63 points STARS sur 16 au crédit OP-6, niveau intermédiaire. Les émissions sont calculées par le prestataire Sustineo selon le GHG Protocol et la norme ISO 14064-1 : une approche descendante à partir des dépenses repère les postes principaux, puis une approche ascendante utilise des données primaires. L'université transmet aussi ses données à l'Autorité irlandaise de l'énergie durable (SEAI), pour rendre compte au gouvernement de son mandat climatique ; ces données sont mises à jour chaque année.</w:t>
      </w:r>
    </w:p>
    <w:p>
      <w:r>
        <w:rPr>
          <w:b/>
        </w:rPr>
        <w:t>Consommation d'eau (OP-3)</w:t>
      </w:r>
    </w:p>
    <w:p>
      <w:r>
        <w:t>L'établissement a obtenu un score de 4,67 points STARS sur 6 au crédit OP-3, niveau élevé. Dans le bâtiment Western Gateway, l'eau rejetée par la pompe à chaleur géothermique (Ground Source Heat Pump) sert à remplir les réservoirs des chasses d'eau des toilettes.</w:t>
      </w:r>
    </w:p>
    <w:p>
      <w:r>
        <w:rPr>
          <w:b/>
        </w:rPr>
        <w:t>Production et valorisation des déchets (OP-12)</w:t>
      </w:r>
    </w:p>
    <w:p>
      <w:r>
        <w:t>L'établissement a obtenu un score de 3,99 points STARS sur 5 au crédit OP-12, niveau élevé. Les données sur les déchets non dangereux sont collectées au nom de l'université par le fournisseur de déchets contractuel, Panda. Les données sur les déchets de construction et de démolition sont fournies par la société de construction contractuelle.</w:t>
      </w:r>
    </w:p>
    <w:p>
      <w:r>
        <w:rPr>
          <w:b/>
        </w:rPr>
        <w:t>Gestion des matériaux (OP-11)</w:t>
      </w:r>
    </w:p>
    <w:p>
      <w:r>
        <w:t>L'établissement a obtenu un score de 3 points STARS sur 4 au crédit OP-11, niveau élevé. L'Office de la santé et de la sécurité de l'université maintient des protocoles et des ressources de formation pour la gestion sécurisée des déchets chimiques et biologiques dangereux.</w:t>
      </w:r>
    </w:p>
    <w:p>
      <w:r>
        <w:rPr>
          <w:b/>
        </w:rPr>
        <w:t>Système d'achats durables (OP-9)</w:t>
      </w:r>
    </w:p>
    <w:p>
      <w:r>
        <w:t>L'établissement a obtenu un score de 2,15 points STARS sur 7 au crédit OP-9, niveau faible. En moyenne, 5 % des points d'évaluation des appels d'offres portent sur la durabilité, et davantage pour les achats à fort impact environnemental : 20 % pour l'appel d'offres sur les déchets de 2023.</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IL-24 Évaluation de la biodiversité (1 sur 1) ; OP-1 Conception et construction des bâtiments (2,95 sur 3) ; OP-4 Gestion écologique des espaces verts (4,06 sur 5) ; OP-14 Modes de déplacement domicile-campus (4,83 sur 6) ; OP-12 Production et valorisation des déchets (3,99 sur 5) ; OP-3 Consommation d'eau (4,67 sur 6) ; OP-11 Gestion des matériaux (3 sur 4).</w:t>
      </w:r>
    </w:p>
    <w:p>
      <w:pPr>
        <w:pStyle w:val="ListBullet"/>
      </w:pPr>
      <w:r>
        <w:rPr>
          <w:b/>
        </w:rPr>
        <w:t>Partiellement atteints</w:t>
      </w:r>
      <w:r>
        <w:t xml:space="preserve"> : OP-6 Émissions de gaz à effet de serre (10,63 sur 16) ; OP-5 Consommation d'énergie (5,62 sur 10) ; OP-2 Exploitation et maintenance des bâtiments (2,08 sur 5).</w:t>
      </w:r>
    </w:p>
    <w:p>
      <w:pPr>
        <w:pStyle w:val="ListBullet"/>
      </w:pPr>
      <w:r>
        <w:rPr>
          <w:b/>
        </w:rPr>
        <w:t>À améliorer</w:t>
      </w:r>
      <w:r>
        <w:t xml:space="preserve"> : OP-15 Voyages en avion (0 sur 2) ; OP-10 Biens achetés (1,13 sur 4) ; OP-9 Système d'achats durables (2,15 sur 7) ; OP-13 Flotte de véhicules (0,67 sur 2).</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3,8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PA-7 — Racial and Ethnic Representation</w:t>
            </w:r>
          </w:p>
        </w:tc>
        <w:tc>
          <w:tcPr>
            <w:tcW w:type="dxa" w:w="2880"/>
          </w:tcPr>
          <w:p>
            <w:r>
              <w:rPr>
                <w:sz w:val="17"/>
              </w:rPr>
            </w:r>
            <w:r>
              <w:rPr>
                <w:sz w:val="17"/>
              </w:rPr>
              <w:t>1,2 / 3</w:t>
            </w:r>
          </w:p>
        </w:tc>
        <w:tc>
          <w:tcPr>
            <w:tcW w:type="dxa" w:w="2880"/>
          </w:tcPr>
          <w:p>
            <w:r>
              <w:rPr>
                <w:sz w:val="17"/>
              </w:rPr>
            </w:r>
            <w:r>
              <w:rPr>
                <w:sz w:val="17"/>
              </w:rPr>
              <w:t>faible</w:t>
            </w:r>
          </w:p>
        </w:tc>
      </w:tr>
      <w:tr>
        <w:tc>
          <w:tcPr>
            <w:tcW w:type="dxa" w:w="2880"/>
          </w:tcPr>
          <w:p>
            <w:r>
              <w:rPr>
                <w:sz w:val="17"/>
              </w:rPr>
            </w:r>
            <w:r>
              <w:rPr>
                <w:sz w:val="17"/>
              </w:rPr>
              <w:t>PA-9 — Affordability and Access</w:t>
            </w:r>
          </w:p>
        </w:tc>
        <w:tc>
          <w:tcPr>
            <w:tcW w:type="dxa" w:w="2880"/>
          </w:tcPr>
          <w:p>
            <w:r>
              <w:rPr>
                <w:sz w:val="17"/>
              </w:rPr>
            </w:r>
            <w:r>
              <w:rPr>
                <w:sz w:val="17"/>
              </w:rPr>
              <w:t>2 / 3</w:t>
            </w:r>
          </w:p>
        </w:tc>
        <w:tc>
          <w:tcPr>
            <w:tcW w:type="dxa" w:w="2880"/>
          </w:tcPr>
          <w:p>
            <w:r>
              <w:rPr>
                <w:sz w:val="17"/>
              </w:rPr>
            </w:r>
            <w:r>
              <w:rPr>
                <w:sz w:val="17"/>
              </w:rPr>
              <w:t>intermédiaire</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University College Cork (UCC) a obtenu 3,8 points STARS sur 5 au crédit PA-13, niveau élevé, et 3 points STARS sur 3 au crédit PA-12, niveau maximal.</w:t>
      </w:r>
    </w:p>
    <w:p>
      <w:r>
        <w:t>Les différents congés du personnel, dont le congé de maternité, sont décrits dans le rapport STARS.</w:t>
      </w:r>
    </w:p>
    <w:p>
      <w:r>
        <w:t>L'UCC a également obtenu 3 points STARS sur 3 au crédit PA-11, niveau maximal, et 2 points STARS sur 2 au crédit PA-8, niveau maximal.</w:t>
      </w:r>
    </w:p>
    <w:p>
      <w:r>
        <w:t>La politique de diversité et d'inclusion de l'UCC est décrite dans le rapport STARS, notamment dans le cadre de l'Action Plan 2025 - 2028.</w:t>
      </w:r>
    </w:p>
    <w:p>
      <w:r>
        <w:t>La politique de santé, de sécurité et de bien-être de l'UCC est décrite dans le rapport STARS.</w:t>
      </w:r>
    </w:p>
    <w:p>
      <w:r>
        <w:t>La politique d'équité salariale et de salaire décent de l'UCC est décrite dans le rapport STARS.</w:t>
      </w:r>
    </w:p>
    <w:p>
      <w:r>
        <w:t>L'UCC a également obtenu 2,5 points STARS sur 3 au crédit PA-10, niveau élevé.</w:t>
      </w:r>
    </w:p>
    <w:p>
      <w:pPr>
        <w:pStyle w:val="Heading2"/>
      </w:pPr>
      <w:r>
        <w:rPr>
          <w:color w:val="2F6F5E"/>
        </w:rPr>
        <w:t>Limites et omissions</w:t>
      </w:r>
    </w:p>
    <w:p>
      <w:r>
        <w:t>Ce rapport ne peut pas établir les effectifs ni les taux de participation, de retour ou de rétention liés aux politiques de congé, de santé, de sécurité et de bien-être, d'équité salariale et de salaire décent, et de diversité et d'inclusion.</w:t>
      </w:r>
    </w:p>
    <w:p>
      <w:r>
        <w:t>(GRI 202-1, GRI 401-2, GRI 401-3, GRI 403-1, GRI 403-3, GRI 403-4, GRI 403-6, GRI 405-1)</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PA-12 Droits des salariés (3 sur 3) ; PA-11 Santé, sécurité et bien-être (3 sur 3) ; PA-8 Parité femmes-hommes (2 sur 2) ; PA-6 Climat institutionnel (3 sur 3) ; PA-10 Réussite étudiante (2,5 sur 3) ; PA-13 Équité salariale et salaire décent (3,8 sur 5).</w:t>
      </w:r>
    </w:p>
    <w:p>
      <w:pPr>
        <w:pStyle w:val="ListBullet"/>
      </w:pPr>
      <w:r>
        <w:rPr>
          <w:b/>
        </w:rPr>
        <w:t>Partiellement atteints</w:t>
      </w:r>
      <w:r>
        <w:t xml:space="preserve"> : PA-9 Accessibilité financière et accès (2 sur 3).</w:t>
      </w:r>
    </w:p>
    <w:p>
      <w:pPr>
        <w:pStyle w:val="ListBullet"/>
      </w:pPr>
      <w:r>
        <w:rPr>
          <w:b/>
        </w:rPr>
        <w:t>À améliorer</w:t>
      </w:r>
      <w:r>
        <w:t xml:space="preserve"> : PA-7 Représentation ethnique et raciale (1,2 sur 3).</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14 / 14</w:t>
            </w:r>
          </w:p>
        </w:tc>
        <w:tc>
          <w:tcPr>
            <w:tcW w:type="dxa" w:w="2880"/>
          </w:tcPr>
          <w:p>
            <w:r>
              <w:rPr>
                <w:sz w:val="17"/>
              </w:rPr>
            </w:r>
            <w:r>
              <w:rPr>
                <w:sz w:val="17"/>
              </w:rPr>
              <w:t>maximal (tous les points obtenus)</w:t>
            </w:r>
          </w:p>
        </w:tc>
      </w:tr>
      <w:tr>
        <w:tc>
          <w:tcPr>
            <w:tcW w:type="dxa" w:w="2880"/>
          </w:tcPr>
          <w:p>
            <w:r>
              <w:rPr>
                <w:sz w:val="17"/>
              </w:rPr>
            </w:r>
            <w:r>
              <w:rPr>
                <w:sz w:val="17"/>
              </w:rPr>
              <w:t>AC-2 — Undergraduate Programs</w:t>
            </w:r>
          </w:p>
        </w:tc>
        <w:tc>
          <w:tcPr>
            <w:tcW w:type="dxa" w:w="2880"/>
          </w:tcPr>
          <w:p>
            <w:r>
              <w:rPr>
                <w:sz w:val="17"/>
              </w:rPr>
            </w:r>
            <w:r>
              <w:rPr>
                <w:sz w:val="17"/>
              </w:rPr>
              <w:t>14,69 / 15</w:t>
            </w:r>
          </w:p>
        </w:tc>
        <w:tc>
          <w:tcPr>
            <w:tcW w:type="dxa" w:w="2880"/>
          </w:tcPr>
          <w:p>
            <w:r>
              <w:rPr>
                <w:sz w:val="17"/>
              </w:rPr>
            </w:r>
            <w:r>
              <w:rPr>
                <w:sz w:val="17"/>
              </w:rPr>
              <w:t>élevé</w:t>
            </w:r>
          </w:p>
        </w:tc>
      </w:tr>
      <w:tr>
        <w:tc>
          <w:tcPr>
            <w:tcW w:type="dxa" w:w="2880"/>
          </w:tcPr>
          <w:p>
            <w:r>
              <w:rPr>
                <w:sz w:val="17"/>
              </w:rPr>
            </w:r>
            <w:r>
              <w:rPr>
                <w:sz w:val="17"/>
              </w:rPr>
              <w:t>AC-3 — Graduate Programs</w:t>
            </w:r>
          </w:p>
        </w:tc>
        <w:tc>
          <w:tcPr>
            <w:tcW w:type="dxa" w:w="2880"/>
          </w:tcPr>
          <w:p>
            <w:r>
              <w:rPr>
                <w:sz w:val="17"/>
              </w:rPr>
            </w:r>
            <w:r>
              <w:rPr>
                <w:sz w:val="17"/>
              </w:rPr>
              <w:t>7,09 / 8</w:t>
            </w:r>
          </w:p>
        </w:tc>
        <w:tc>
          <w:tcPr>
            <w:tcW w:type="dxa" w:w="2880"/>
          </w:tcPr>
          <w:p>
            <w:r>
              <w:rPr>
                <w:sz w:val="17"/>
              </w:rPr>
            </w:r>
            <w:r>
              <w:rPr>
                <w:sz w:val="17"/>
              </w:rPr>
              <w:t>élevé</w:t>
            </w:r>
          </w:p>
        </w:tc>
      </w:tr>
      <w:tr>
        <w:tc>
          <w:tcPr>
            <w:tcW w:type="dxa" w:w="2880"/>
          </w:tcPr>
          <w:p>
            <w:r>
              <w:rPr>
                <w:sz w:val="17"/>
              </w:rPr>
            </w:r>
            <w:r>
              <w:rPr>
                <w:sz w:val="17"/>
              </w:rPr>
              <w:t>AC-6 — Sustainability Research</w:t>
            </w:r>
          </w:p>
        </w:tc>
        <w:tc>
          <w:tcPr>
            <w:tcW w:type="dxa" w:w="2880"/>
          </w:tcPr>
          <w:p>
            <w:r>
              <w:rPr>
                <w:sz w:val="17"/>
              </w:rPr>
            </w:r>
            <w:r>
              <w:rPr>
                <w:sz w:val="17"/>
              </w:rPr>
              <w:t>10 / 10</w:t>
            </w:r>
          </w:p>
        </w:tc>
        <w:tc>
          <w:tcPr>
            <w:tcW w:type="dxa" w:w="2880"/>
          </w:tcPr>
          <w:p>
            <w:r>
              <w:rPr>
                <w:sz w:val="17"/>
              </w:rPr>
            </w:r>
            <w:r>
              <w:rPr>
                <w:sz w:val="17"/>
              </w:rPr>
              <w:t>maximal (tous les points obtenus)</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7 / 8</w:t>
            </w:r>
          </w:p>
        </w:tc>
        <w:tc>
          <w:tcPr>
            <w:tcW w:type="dxa" w:w="2880"/>
          </w:tcPr>
          <w:p>
            <w:r>
              <w:rPr>
                <w:sz w:val="17"/>
              </w:rPr>
            </w:r>
            <w:r>
              <w:rPr>
                <w:sz w:val="17"/>
              </w:rPr>
              <w:t>élevé</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Enseignement, recherche et engagement</w:t>
      </w:r>
    </w:p>
    <w:p>
      <w:r>
        <w:t>Les résultats des crédits STARS suivants reflètent cette approche :</w:t>
      </w:r>
    </w:p>
    <w:p>
      <w:pPr>
        <w:pStyle w:val="ListBullet"/>
      </w:pPr>
      <w:r>
        <w:t>L'université obtient 14 points STARS sur 14 au crédit AC-1, niveau maximal.</w:t>
      </w:r>
    </w:p>
    <w:p>
      <w:pPr>
        <w:pStyle w:val="ListBullet"/>
      </w:pPr>
      <w:r>
        <w:t>L'université obtient 14,69 points STARS sur 15 au crédit AC-2, niveau élevé.</w:t>
      </w:r>
    </w:p>
    <w:p>
      <w:pPr>
        <w:pStyle w:val="ListBullet"/>
      </w:pPr>
      <w:r>
        <w:t>L'université obtient 7,09 points STARS sur 8 au crédit AC-3, niveau élevé.</w:t>
      </w:r>
    </w:p>
    <w:p>
      <w:pPr>
        <w:pStyle w:val="ListBullet"/>
      </w:pPr>
      <w:r>
        <w:t>L'université obtient 10 points STARS sur 10 au crédit AC-6, niveau maximal.</w:t>
      </w:r>
    </w:p>
    <w:p>
      <w:pPr>
        <w:pStyle w:val="ListBullet"/>
      </w:pPr>
      <w:r>
        <w:t>L'université obtient 6 points STARS sur 6 au crédit AC-7, niveau maximal.</w:t>
      </w:r>
    </w:p>
    <w:p>
      <w:pPr>
        <w:pStyle w:val="ListBullet"/>
      </w:pPr>
      <w:r>
        <w:t>L'université obtient 5 points STARS sur 5 au crédit EN-1, niveau maximal.</w:t>
      </w:r>
    </w:p>
    <w:p>
      <w:pPr>
        <w:pStyle w:val="ListBullet"/>
      </w:pPr>
      <w:r>
        <w:t>L'université obtient 9 points STARS sur 9 au crédit EN-2, niveau maximal.</w:t>
      </w:r>
    </w:p>
    <w:p>
      <w:pPr>
        <w:pStyle w:val="ListBullet"/>
      </w:pPr>
      <w:r>
        <w:t>L'université obtient 8 points STARS sur 8 au crédit EN-3, niveau maximal.</w:t>
      </w:r>
    </w:p>
    <w:p>
      <w:pPr>
        <w:pStyle w:val="ListBullet"/>
      </w:pPr>
      <w:r>
        <w:t>L'université obtient 7 points STARS sur 8 au crédit EN-5, niveau élevé.</w:t>
      </w:r>
    </w:p>
    <w:p>
      <w:pPr>
        <w:pStyle w:val="ListBullet"/>
      </w:pPr>
      <w:r>
        <w:t>L'université obtient 3 points STARS sur 3 au crédit EN-7, niveau maximal.</w:t>
      </w:r>
    </w:p>
    <w:p>
      <w:pPr>
        <w:pStyle w:val="Heading2"/>
      </w:pPr>
      <w:r>
        <w:rPr>
          <w:color w:val="2F6F5E"/>
        </w:rPr>
        <w:t>Limites et omissions</w:t>
      </w:r>
    </w:p>
    <w:p>
      <w:r>
        <w:t>Ce rapport ne peut pas établir si les programmes et activités de l'université sont accessibles à tous les étudiants et membres du personnel.</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AC-1 Offre de cours en durabilité (14 sur 14) ; AC-6 Recherche en durabilité (10 sur 10) ; AC-7 Centre de recherche en durabilité (6 sur 6) ; EN-1 Communication et sensibilisation (5 sur 5) ; EN-2 Activités parascolaires (9 sur 9) ; EN-3 Engagement et formation du personnel (8 sur 8) ; EN-7 Formation continue (3 sur 3) ; AC-2 Programmes de premier cycle (14,69 sur 15) ; AC-3 Programmes de cycles supérieurs (7,09 sur 8) ; EN-5 Engagement civique (7 sur 8).</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0</w:t>
            </w:r>
          </w:p>
        </w:tc>
        <w:tc>
          <w:tcPr>
            <w:tcW w:type="dxa" w:w="2160"/>
          </w:tcPr>
          <w:p>
            <w:r>
              <w:rPr>
                <w:sz w:val="17"/>
              </w:rPr>
            </w:r>
            <w:r>
              <w:rPr>
                <w:sz w:val="17"/>
              </w:rPr>
              <w:t>28</w:t>
            </w:r>
          </w:p>
        </w:tc>
        <w:tc>
          <w:tcPr>
            <w:tcW w:type="dxa" w:w="2160"/>
          </w:tcPr>
          <w:p>
            <w:r>
              <w:rPr>
                <w:sz w:val="17"/>
              </w:rPr>
            </w:r>
            <w:r>
              <w:rPr>
                <w:sz w:val="17"/>
              </w:rPr>
              <w:t>44</w:t>
            </w:r>
          </w:p>
        </w:tc>
        <w:tc>
          <w:tcPr>
            <w:tcW w:type="dxa" w:w="2160"/>
          </w:tcPr>
          <w:p>
            <w:r>
              <w:rPr>
                <w:sz w:val="17"/>
              </w:rPr>
            </w:r>
            <w:r>
              <w:rPr>
                <w:sz w:val="17"/>
              </w:rPr>
              <w:t>14</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évalué</w:t>
            </w:r>
          </w:p>
        </w:tc>
        <w:tc>
          <w:tcPr>
            <w:tcW w:type="dxa" w:w="2160"/>
          </w:tcPr>
          <w:p>
            <w:r>
              <w:rPr>
                <w:sz w:val="17"/>
              </w:rPr>
            </w:r>
            <w:r>
              <w:rPr>
                <w:sz w:val="17"/>
              </w:rPr>
              <w:t>Champ STARS identifié (PRE-3) mais valeur non extraite : nécessite les pages STARS authentifiées.</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 ; les champs structurés n'ont pas été extraits.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Non rapporté</w:t>
            </w:r>
          </w:p>
        </w:tc>
        <w:tc>
          <w:tcPr>
            <w:tcW w:type="dxa" w:w="2160"/>
          </w:tcPr>
          <w:p>
            <w:r>
              <w:rPr>
                <w:sz w:val="17"/>
              </w:rPr>
            </w:r>
            <w:r>
              <w:rPr>
                <w:sz w:val="17"/>
              </w:rPr>
              <w:t>Aucune donnée : PRE-1 non renseigné par l'établissement.</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rapporté</w:t>
            </w:r>
          </w:p>
        </w:tc>
        <w:tc>
          <w:tcPr>
            <w:tcW w:type="dxa" w:w="2160"/>
          </w:tcPr>
          <w:p>
            <w:r>
              <w:rPr>
                <w:sz w:val="17"/>
              </w:rPr>
            </w:r>
            <w:r>
              <w:rPr>
                <w:sz w:val="17"/>
              </w:rPr>
              <w:t>Aucune donnée : IL-62 non renseigné par l'établissement.</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EN-3, PA-1)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PA-1)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OP-12)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 les champs structurés n'ont pas été extraits.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(deux essais au plus ; sinon texte de repli écrit par le code).</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r>
            <w:r>
              <w:rPr>
                <w:b/>
                <w:sz w:val="17"/>
              </w:rPr>
              <w:t>Section</w:t>
            </w:r>
          </w:p>
        </w:tc>
        <w:tc>
          <w:tcPr>
            <w:tcW w:type="dxa" w:w="960"/>
          </w:tcPr>
          <w:p>
            <w:r>
              <w:rPr>
                <w:b/>
                <w:sz w:val="17"/>
              </w:rPr>
            </w:r>
            <w:r>
              <w:rPr>
                <w:b/>
                <w:sz w:val="17"/>
              </w:rPr>
              <w:t>Décision</w:t>
            </w:r>
          </w:p>
        </w:tc>
        <w:tc>
          <w:tcPr>
            <w:tcW w:type="dxa" w:w="960"/>
          </w:tcPr>
          <w:p>
            <w:r>
              <w:rPr>
                <w:b/>
                <w:sz w:val="17"/>
              </w:rPr>
            </w:r>
            <w:r>
              <w:rPr>
                <w:b/>
                <w:sz w:val="17"/>
              </w:rPr>
              <w:t>Tentatives</w:t>
            </w:r>
          </w:p>
        </w:tc>
        <w:tc>
          <w:tcPr>
            <w:tcW w:type="dxa" w:w="960"/>
          </w:tcPr>
          <w:p>
            <w:r>
              <w:rPr>
                <w:b/>
                <w:sz w:val="17"/>
              </w:rPr>
            </w:r>
            <w:r>
              <w:rPr>
                <w:b/>
                <w:sz w:val="17"/>
              </w:rPr>
              <w:t>Rejets garde-fou</w:t>
            </w:r>
          </w:p>
        </w:tc>
        <w:tc>
          <w:tcPr>
            <w:tcW w:type="dxa" w:w="960"/>
          </w:tcPr>
          <w:p>
            <w:r>
              <w:rPr>
                <w:b/>
                <w:sz w:val="17"/>
              </w:rPr>
            </w:r>
            <w:r>
              <w:rPr>
                <w:b/>
                <w:sz w:val="17"/>
              </w:rPr>
              <w:t>Note du juge</w:t>
            </w:r>
          </w:p>
        </w:tc>
        <w:tc>
          <w:tcPr>
            <w:tcW w:type="dxa" w:w="960"/>
          </w:tcPr>
          <w:p>
            <w:r>
              <w:rPr>
                <w:b/>
                <w:sz w:val="17"/>
              </w:rPr>
            </w:r>
            <w:r>
              <w:rPr>
                <w:b/>
                <w:sz w:val="17"/>
              </w:rPr>
              <w:t>Fidélité</w:t>
            </w:r>
          </w:p>
        </w:tc>
        <w:tc>
          <w:tcPr>
            <w:tcW w:type="dxa" w:w="960"/>
          </w:tcPr>
          <w:p>
            <w:r>
              <w:rPr>
                <w:b/>
                <w:sz w:val="17"/>
              </w:rPr>
            </w:r>
            <w:r>
              <w:rPr>
                <w:b/>
                <w:sz w:val="17"/>
              </w:rPr>
              <w:t>Codes GRI cités dans le texte</w:t>
            </w:r>
          </w:p>
        </w:tc>
        <w:tc>
          <w:tcPr>
            <w:tcW w:type="dxa" w:w="960"/>
          </w:tcPr>
          <w:p>
            <w:r>
              <w:rPr>
                <w:b/>
                <w:sz w:val="17"/>
              </w:rPr>
            </w:r>
            <w:r>
              <w:rPr>
                <w:b/>
                <w:sz w:val="17"/>
              </w:rPr>
              <w:t>Publications GRI avec données (index)</w:t>
            </w:r>
          </w:p>
        </w:tc>
        <w:tc>
          <w:tcPr>
            <w:tcW w:type="dxa" w:w="960"/>
          </w:tcPr>
          <w:p>
            <w:r>
              <w:rPr>
                <w:b/>
                <w:sz w:val="17"/>
              </w:rPr>
            </w:r>
            <w:r>
              <w:rPr>
                <w:b/>
                <w:sz w:val="17"/>
              </w:rPr>
              <w:t>Durée</w:t>
            </w:r>
          </w:p>
        </w:tc>
      </w:tr>
      <w:tr>
        <w:tc>
          <w:tcPr>
            <w:tcW w:type="dxa" w:w="960"/>
          </w:tcPr>
          <w:p>
            <w:r>
              <w:rPr>
                <w:sz w:val="17"/>
              </w:rPr>
            </w:r>
            <w:r>
              <w:rPr>
                <w:sz w:val="17"/>
              </w:rPr>
              <w:t>L'organisation, son périmètre et ses effectifs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67%</w:t>
            </w:r>
          </w:p>
        </w:tc>
        <w:tc>
          <w:tcPr>
            <w:tcW w:type="dxa" w:w="960"/>
          </w:tcPr>
          <w:p>
            <w:r>
              <w:rPr>
                <w:sz w:val="17"/>
              </w:rPr>
            </w:r>
            <w:r>
              <w:rPr>
                <w:sz w:val="17"/>
              </w:rPr>
              <w:t>5 sur 8</w:t>
            </w:r>
          </w:p>
        </w:tc>
        <w:tc>
          <w:tcPr>
            <w:tcW w:type="dxa" w:w="960"/>
          </w:tcPr>
          <w:p>
            <w:r>
              <w:rPr>
                <w:sz w:val="17"/>
              </w:rPr>
            </w:r>
            <w:r>
              <w:rPr>
                <w:sz w:val="17"/>
              </w:rPr>
              <w:t>6.9 min</w:t>
            </w:r>
          </w:p>
        </w:tc>
      </w:tr>
      <w:tr>
        <w:tc>
          <w:tcPr>
            <w:tcW w:type="dxa" w:w="960"/>
          </w:tcPr>
          <w:p>
            <w:r>
              <w:rPr>
                <w:sz w:val="17"/>
              </w:rPr>
            </w:r>
            <w:r>
              <w:rPr>
                <w:sz w:val="17"/>
              </w:rPr>
              <w:t>Thèmes matériels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83%</w:t>
            </w:r>
          </w:p>
        </w:tc>
        <w:tc>
          <w:tcPr>
            <w:tcW w:type="dxa" w:w="960"/>
          </w:tcPr>
          <w:p>
            <w:r>
              <w:rPr>
                <w:sz w:val="17"/>
              </w:rPr>
            </w:r>
            <w:r>
              <w:rPr>
                <w:sz w:val="17"/>
              </w:rPr>
              <w:t>100%</w:t>
            </w:r>
          </w:p>
        </w:tc>
        <w:tc>
          <w:tcPr>
            <w:tcW w:type="dxa" w:w="960"/>
          </w:tcPr>
          <w:p>
            <w:r>
              <w:rPr>
                <w:sz w:val="17"/>
              </w:rPr>
            </w:r>
            <w:r>
              <w:rPr>
                <w:sz w:val="17"/>
              </w:rPr>
              <w:t>2 sur 3</w:t>
            </w:r>
          </w:p>
        </w:tc>
        <w:tc>
          <w:tcPr>
            <w:tcW w:type="dxa" w:w="960"/>
          </w:tcPr>
          <w:p>
            <w:r>
              <w:rPr>
                <w:sz w:val="17"/>
              </w:rPr>
            </w:r>
            <w:r>
              <w:rPr>
                <w:sz w:val="17"/>
              </w:rPr>
              <w:t>8.6 min</w:t>
            </w:r>
          </w:p>
        </w:tc>
      </w:tr>
      <w:tr>
        <w:tc>
          <w:tcPr>
            <w:tcW w:type="dxa" w:w="960"/>
          </w:tcPr>
          <w:p>
            <w:r>
              <w:rPr>
                <w:sz w:val="17"/>
              </w:rPr>
            </w:r>
            <w:r>
              <w:rPr>
                <w:sz w:val="17"/>
              </w:rPr>
              <w:t>Gouvernance</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2 sur 13</w:t>
            </w:r>
          </w:p>
        </w:tc>
        <w:tc>
          <w:tcPr>
            <w:tcW w:type="dxa" w:w="960"/>
          </w:tcPr>
          <w:p>
            <w:r>
              <w:rPr>
                <w:sz w:val="17"/>
              </w:rPr>
            </w:r>
            <w:r>
              <w:rPr>
                <w:sz w:val="17"/>
              </w:rPr>
              <w:t>7.8 min</w:t>
            </w:r>
          </w:p>
        </w:tc>
      </w:tr>
      <w:tr>
        <w:tc>
          <w:tcPr>
            <w:tcW w:type="dxa" w:w="960"/>
          </w:tcPr>
          <w:p>
            <w:r>
              <w:rPr>
                <w:sz w:val="17"/>
              </w:rPr>
            </w:r>
            <w:r>
              <w:rPr>
                <w:sz w:val="17"/>
              </w:rPr>
              <w:t>Stratégie, politiques et pratiques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6 sur 7</w:t>
            </w:r>
          </w:p>
        </w:tc>
        <w:tc>
          <w:tcPr>
            <w:tcW w:type="dxa" w:w="960"/>
          </w:tcPr>
          <w:p>
            <w:r>
              <w:rPr>
                <w:sz w:val="17"/>
              </w:rPr>
            </w:r>
            <w:r>
              <w:rPr>
                <w:sz w:val="17"/>
              </w:rPr>
              <w:t>10.6 min</w:t>
            </w:r>
          </w:p>
        </w:tc>
      </w:tr>
      <w:tr>
        <w:tc>
          <w:tcPr>
            <w:tcW w:type="dxa" w:w="960"/>
          </w:tcPr>
          <w:p>
            <w:r>
              <w:rPr>
                <w:sz w:val="17"/>
              </w:rPr>
            </w:r>
            <w:r>
              <w:rPr>
                <w:sz w:val="17"/>
              </w:rPr>
              <w:t>Engagement des parties prenantes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1 sur 2</w:t>
            </w:r>
          </w:p>
        </w:tc>
        <w:tc>
          <w:tcPr>
            <w:tcW w:type="dxa" w:w="960"/>
          </w:tcPr>
          <w:p>
            <w:r>
              <w:rPr>
                <w:sz w:val="17"/>
              </w:rPr>
            </w:r>
            <w:r>
              <w:rPr>
                <w:sz w:val="17"/>
              </w:rPr>
              <w:t>8.1 min</w:t>
            </w:r>
          </w:p>
        </w:tc>
      </w:tr>
      <w:tr>
        <w:tc>
          <w:tcPr>
            <w:tcW w:type="dxa" w:w="960"/>
          </w:tcPr>
          <w:p>
            <w:r>
              <w:rPr>
                <w:sz w:val="17"/>
              </w:rPr>
            </w:r>
            <w:r>
              <w:rPr>
                <w:sz w:val="17"/>
              </w:rPr>
              <w:t>Performance environnementale</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0%</w:t>
            </w:r>
          </w:p>
        </w:tc>
        <w:tc>
          <w:tcPr>
            <w:tcW w:type="dxa" w:w="960"/>
          </w:tcPr>
          <w:p>
            <w:r>
              <w:rPr>
                <w:sz w:val="17"/>
              </w:rPr>
            </w:r>
            <w:r>
              <w:rPr>
                <w:sz w:val="17"/>
              </w:rPr>
              <w:t>6 sur 35</w:t>
            </w:r>
          </w:p>
        </w:tc>
        <w:tc>
          <w:tcPr>
            <w:tcW w:type="dxa" w:w="960"/>
          </w:tcPr>
          <w:p>
            <w:r>
              <w:rPr>
                <w:sz w:val="17"/>
              </w:rPr>
            </w:r>
            <w:r>
              <w:rPr>
                <w:sz w:val="17"/>
              </w:rPr>
              <w:t>8.0 min</w:t>
            </w:r>
          </w:p>
        </w:tc>
      </w:tr>
      <w:tr>
        <w:tc>
          <w:tcPr>
            <w:tcW w:type="dxa" w:w="960"/>
          </w:tcPr>
          <w:p>
            <w:r>
              <w:rPr>
                <w:sz w:val="17"/>
              </w:rPr>
            </w:r>
            <w:r>
              <w:rPr>
                <w:sz w:val="17"/>
              </w:rPr>
              <w:t>Performance sociale et économique</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6 sur 18</w:t>
            </w:r>
          </w:p>
        </w:tc>
        <w:tc>
          <w:tcPr>
            <w:tcW w:type="dxa" w:w="960"/>
          </w:tcPr>
          <w:p>
            <w:r>
              <w:rPr>
                <w:sz w:val="17"/>
              </w:rPr>
            </w:r>
            <w:r>
              <w:rPr>
                <w:sz w:val="17"/>
              </w:rPr>
              <w:t>11.1 min</w:t>
            </w:r>
          </w:p>
        </w:tc>
      </w:tr>
      <w:tr>
        <w:tc>
          <w:tcPr>
            <w:tcW w:type="dxa" w:w="960"/>
          </w:tcPr>
          <w:p>
            <w:r>
              <w:rPr>
                <w:sz w:val="17"/>
              </w:rPr>
            </w:r>
            <w:r>
              <w:rPr>
                <w:sz w:val="17"/>
              </w:rPr>
              <w:t>Enseignement, recherche et engagement (hors GRI)</w:t>
            </w:r>
          </w:p>
        </w:tc>
        <w:tc>
          <w:tcPr>
            <w:tcW w:type="dxa" w:w="960"/>
          </w:tcPr>
          <w:p>
            <w:r>
              <w:rPr>
                <w:sz w:val="17"/>
              </w:rPr>
            </w:r>
            <w:r>
              <w:rPr>
                <w:sz w:val="17"/>
              </w:rPr>
              <w:t>validée</w:t>
            </w:r>
          </w:p>
        </w:tc>
        <w:tc>
          <w:tcPr>
            <w:tcW w:type="dxa" w:w="960"/>
          </w:tcPr>
          <w:p>
            <w:r>
              <w:rPr>
                <w:sz w:val="17"/>
              </w:rPr>
            </w:r>
            <w:r>
              <w:rPr>
                <w:sz w:val="17"/>
              </w:rPr>
              <w:t>2</w:t>
            </w:r>
          </w:p>
        </w:tc>
        <w:tc>
          <w:tcPr>
            <w:tcW w:type="dxa" w:w="960"/>
          </w:tcPr>
          <w:p>
            <w:r>
              <w:rPr>
                <w:sz w:val="17"/>
              </w:rPr>
            </w:r>
            <w:r>
              <w:rPr>
                <w:sz w:val="17"/>
              </w:rPr>
              <w:t>1</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8.6 min</w:t>
            </w:r>
          </w:p>
        </w:tc>
      </w:tr>
    </w:tbl>
    <w:p/>
    <w:p>
      <w:r>
        <w:rPr>
          <w:i/>
        </w:rPr>
        <w:t>« Codes GRI cités dans le texte » : part des publications GRI de la section dont le code (par exemple GRI 305-1) est cité dans le texte rédigé ; c'est une mesure de citation, pas de couverture des données. « Publications GRI avec données » : publications de la section rapportées ou partiellement rapportées dans l'index de contenu GRI, sur le total de la section.</w:t>
      </w:r>
    </w:p>
    <w:p>
      <w:r>
        <w:rPr>
          <w:b/>
        </w:rPr>
        <w:t>Bilan :</w:t>
      </w:r>
      <w:r>
        <w:t xml:space="preserve"> 8 section(s) validée(s) sur 8 ; fidélité moyenne 98% ; 1 version(s) rejetée(s) par le garde-fou avant le juge. Aucun nombre du texte final n'a été écrit par le modèle.</w:t>
      </w:r>
    </w:p>
    <w:p>
      <w:r>
        <w:t>1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27 correction(s) dans 7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relecture/cork.yaml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University College Cork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