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Technological University Dublin</w:t>
      </w:r>
    </w:p>
    <w:p>
      <w:r>
        <w:rPr>
          <w:i/>
        </w:rPr>
        <w:t>Établi en référence aux normes GRI · généré le 2026-10-07 · données AASHE STARS 3.0</w:t>
      </w:r>
    </w:p>
    <w:p>
      <w:r>
        <w:rPr>
          <w:b/>
        </w:rPr>
        <w:t>À propos de ce rapport.</w:t>
      </w:r>
      <w:r>
        <w:t xml:space="preserve"> Ce rapport est généré automatiquement à partir de la soumission publique AASHE STARS 3.0 de Technological University Dublin (2 décembre 2024),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Technological University Dublin STARS Report (https://reports.aashe.org/institutions/technological-university-dublin-dublin/report/2024-12-02/)</w:t>
      </w:r>
      <w:r>
        <w:t>, AASHE, note « Gold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Gold</w:t>
      </w:r>
      <w:r>
        <w:t xml:space="preserve"> — score global </w:t>
      </w:r>
      <w:r>
        <w:rPr>
          <w:b/>
        </w:rPr>
        <w:t>83,35</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50,77</w:t>
            </w:r>
          </w:p>
        </w:tc>
        <w:tc>
          <w:tcPr>
            <w:tcW w:type="dxa" w:w="1728"/>
          </w:tcPr>
          <w:p>
            <w:r>
              <w:rPr>
                <w:sz w:val="17"/>
              </w:rPr>
            </w:r>
            <w:r>
              <w:rPr>
                <w:sz w:val="17"/>
              </w:rPr>
              <w:t>85</w:t>
            </w:r>
          </w:p>
        </w:tc>
        <w:tc>
          <w:tcPr>
            <w:tcW w:type="dxa" w:w="1728"/>
          </w:tcPr>
          <w:p>
            <w:r>
              <w:rPr>
                <w:sz w:val="17"/>
              </w:rPr>
            </w:r>
            <w:r>
              <w:rPr>
                <w:sz w:val="17"/>
              </w:rPr>
              <w:t>59,7 %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20,40</w:t>
            </w:r>
          </w:p>
        </w:tc>
        <w:tc>
          <w:tcPr>
            <w:tcW w:type="dxa" w:w="1728"/>
          </w:tcPr>
          <w:p>
            <w:r>
              <w:rPr>
                <w:sz w:val="17"/>
              </w:rPr>
            </w:r>
            <w:r>
              <w:rPr>
                <w:sz w:val="17"/>
              </w:rPr>
              <w:t>25</w:t>
            </w:r>
          </w:p>
        </w:tc>
        <w:tc>
          <w:tcPr>
            <w:tcW w:type="dxa" w:w="1728"/>
          </w:tcPr>
          <w:p>
            <w:r>
              <w:rPr>
                <w:sz w:val="17"/>
              </w:rPr>
            </w:r>
            <w:r>
              <w:rPr>
                <w:sz w:val="17"/>
              </w:rPr>
              <w:t>81,6 %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10,67</w:t>
            </w:r>
          </w:p>
        </w:tc>
        <w:tc>
          <w:tcPr>
            <w:tcW w:type="dxa" w:w="1728"/>
          </w:tcPr>
          <w:p>
            <w:r>
              <w:rPr>
                <w:sz w:val="17"/>
              </w:rPr>
            </w:r>
            <w:r>
              <w:rPr>
                <w:sz w:val="17"/>
              </w:rPr>
              <w:t>11</w:t>
            </w:r>
          </w:p>
        </w:tc>
        <w:tc>
          <w:tcPr>
            <w:tcW w:type="dxa" w:w="1728"/>
          </w:tcPr>
          <w:p>
            <w:r>
              <w:rPr>
                <w:sz w:val="17"/>
              </w:rPr>
            </w:r>
            <w:r>
              <w:rPr>
                <w:sz w:val="17"/>
              </w:rPr>
              <w:t>97,0 %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107,36</w:t>
            </w:r>
          </w:p>
        </w:tc>
        <w:tc>
          <w:tcPr>
            <w:tcW w:type="dxa" w:w="1728"/>
          </w:tcPr>
          <w:p>
            <w:r>
              <w:rPr>
                <w:sz w:val="17"/>
              </w:rPr>
            </w:r>
            <w:r>
              <w:rPr>
                <w:sz w:val="17"/>
              </w:rPr>
              <w:t>118</w:t>
            </w:r>
          </w:p>
        </w:tc>
        <w:tc>
          <w:tcPr>
            <w:tcW w:type="dxa" w:w="1728"/>
          </w:tcPr>
          <w:p>
            <w:r>
              <w:rPr>
                <w:sz w:val="17"/>
              </w:rPr>
            </w:r>
            <w:r>
              <w:rPr>
                <w:sz w:val="17"/>
              </w:rPr>
              <w:t>91,0 %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Organisation, périmètre et effectifs</w:t>
      </w:r>
    </w:p>
    <w:p>
      <w:r>
        <w:t>Technological University Dublin (TU Dublin) est une institution d'enseignement supérieur irlandaise. Le rapport STARS 3.0 de l'université a obtenu un score STARS global de 83,35. Le rapport a été soumis le 2 décembre 2024.</w:t>
      </w:r>
    </w:p>
    <w:p>
      <w:r>
        <w:t>L'université a mené une vaste étude de cartographie pour identifier les personnes qui collectent, traitent et valident les informations derrière chaque question STARS. Cette étude a permis de suivre la chaîne d'approvisionnement de l'information. Une deuxième étude a identifié les systèmes d'information qui détiennent les informations requises par STARS ou exploitable pour le rapport.</w:t>
      </w:r>
    </w:p>
    <w:p>
      <w:r>
        <w:t>Les représentants de l'Union des étudiants et les membres du Conseil de durabilité de l'université ont contribué à répondre aux questions liées aux étudiants.</w:t>
      </w:r>
    </w:p>
    <w:p>
      <w:r>
        <w:t>(GRI 2-3)</w:t>
      </w:r>
    </w:p>
    <w:p>
      <w:pPr>
        <w:pStyle w:val="Heading2"/>
      </w:pPr>
      <w:r>
        <w:rPr>
          <w:color w:val="2F6F5E"/>
        </w:rPr>
        <w:t>Limites et omissions</w:t>
      </w:r>
    </w:p>
    <w:p>
      <w:r>
        <w:t>Ce rapport ne peut pas établir la période de reporting, la fréquence et le point de contact de l'université. Les données STARS sont autodéclarées et non vérifiées par l'AASHE. (GRI 2-5)</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Engagement et planification</w:t>
      </w:r>
    </w:p>
    <w:p>
      <w:r>
        <w:t>Le plan stratégique de l'université 2024 - 2028 comprend des objectifs de durabilité mesurables, dont la réduction des émissions de gaz à effet de serre de 46,5 % et l'augmentation de l'efficacité énergétique de 45 %.</w:t>
      </w:r>
    </w:p>
    <w:p>
      <w:pPr>
        <w:pStyle w:val="Heading3"/>
      </w:pPr>
      <w:r>
        <w:rPr>
          <w:color w:val="2F6F5E"/>
        </w:rPr>
        <w:t>Égalité, diversité et inclusion</w:t>
      </w:r>
    </w:p>
    <w:p>
      <w:r>
        <w:t>Le plan stratégique de l'université 2024 - 2028 comprend un indicateur clé de performance (KPI) sur la « livraison réussie des plans d'action EDI », mené par Prof. Yvonne Galligan, directrice de l'égalité, de la diversité et de l'inclusion. Les objectifs incluent l'obtention de la certification d'Athena Swan, le plan pour l'égalité raciale (Race Equality Plan), et la fin de la violence et du harcèlement sexuels (ESVH). L'université vise à atteindre un équilibre entre les genres (au moins 40 % de femmes et au moins 40 % d'hommes) à tous les niveaux de décision de la direction.</w:t>
      </w:r>
    </w:p>
    <w:p>
      <w:r>
        <w:t>(GRI 3-2)</w:t>
      </w:r>
    </w:p>
    <w:p>
      <w:pPr>
        <w:pStyle w:val="Heading2"/>
      </w:pPr>
      <w:r>
        <w:rPr>
          <w:color w:val="2F6F5E"/>
        </w:rPr>
        <w:t>Limites et omissions</w:t>
      </w:r>
    </w:p>
    <w:p>
      <w:r>
        <w:t>Ce rapport ne peut pas établir les impacts, les mesures de prévention et de remédiation, ou les enseignements tirés des thèmes matériels. Les données ne permettent pas d'établir une distinction entre les impacts des différents thèmes matériels.</w:t>
      </w:r>
    </w:p>
    <w:p>
      <w:r>
        <w:t>(GRI 3-3)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(5,67 sur 6).</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Les crédits PA-4 (programme d'investissement durable) et PA-5 (portefeuille d'investissements) sont « Non applicables » : TU Dublin est une université publique sans fonds de dotation. C'est un constat sur l'adéquation des référentiels au secteur, pas une défaillance.</w:t>
      </w:r>
    </w:p>
    <w:p>
      <w:r>
        <w:t>L'université obtient 4 points STARS sur 4 au crédit PA-3, niveau maximal.</w:t>
      </w:r>
    </w:p>
    <w:p>
      <w:r>
        <w:t>La gouvernance de l'université est assurée par le Technological Universities Act 2018, qui impose la représentation des étudiants dans les organes de gouvernance. Le site web de l'Union des étudiants (SU) liste diverses instances où les étudiants sont représentés. Le président de l'Union des étudiants (SU) est le porte-parole principal de l'Union et représente tous les étudiants de l'université. Il est également membre ex officio du corps de gouvernance et du conseil académique de l'université.</w:t>
      </w:r>
    </w:p>
    <w:p>
      <w:r>
        <w:t>En février 2025, les membres étudiants du corps de gouvernance étaient Shauna O'Toole (présidence de l'Union des étudiants), Princewill Aguele (vice-présidence de l'Union des étudiants chargée des événements et de l'engagement) et Avice Meya (membre au titre des étudiants de troisième cycle).</w:t>
      </w:r>
    </w:p>
    <w:p>
      <w:r>
        <w:t>Le corps de gouvernance compte également des membres non-académiques, dont un membre du personnel non-académique (professionnel) légiféré dans le TU Act 2018.</w:t>
      </w:r>
    </w:p>
    <w:p>
      <w:r>
        <w:t>L'université a également mis en place des comités et des groupes de travail formels, ainsi que des enquêtes universitaires, où les membres du personnel participent régulièrement. La représentation du personnel est souvent filtrée par le TUI (Syndicat des enseignants d'Irlande).</w:t>
      </w:r>
    </w:p>
    <w:p>
      <w:r>
        <w:t>(GRI 2-9)</w:t>
      </w:r>
    </w:p>
    <w:p>
      <w:pPr>
        <w:pStyle w:val="Heading2"/>
      </w:pPr>
      <w:r>
        <w:rPr>
          <w:color w:val="2F6F5E"/>
        </w:rPr>
        <w:t>Limites et omissions</w:t>
      </w:r>
    </w:p>
    <w:p>
      <w:r>
        <w:t>Ce rapport ne peut pas établir la rémunération totale annuelle des membres du corps de gouvernance, car ce chiffre n'est pas disponible.</w:t>
      </w:r>
    </w:p>
    <w:p>
      <w:r>
        <w:t>(GRI 2-21)</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PA-3 Gouvernance de l'établissement (4 sur 4).</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Stratégie de développement durable</w:t>
      </w:r>
    </w:p>
    <w:p>
      <w:r>
        <w:t>Technological University Dublin (TU Dublin) a mis en place une stratégie de développement durable dans son TU Dublin Strategic Plan 2024 – 2028. Cette stratégie comprend des objectifs de durabilité mesurables, dont la réduction des émissions de gaz à effet de serre et l'augmentation de l'efficacité énergétique.</w:t>
      </w:r>
    </w:p>
    <w:p>
      <w:pPr>
        <w:pStyle w:val="Heading3"/>
      </w:pPr>
      <w:r>
        <w:rPr>
          <w:color w:val="2F6F5E"/>
        </w:rPr>
        <w:t>Engagements politiques</w:t>
      </w:r>
    </w:p>
    <w:p>
      <w:r>
        <w:t>Ces objectifs sont alignés sur le Climate Action Plan 2021 (CAP), qui demande au secteur public de montrer l'exemple pour réduire de 51 % les émissions de gaz à effet de serre de l'Irlande d'ici 2030 et atteindre la neutralité climatique au plus tard en 2050. Des membres de son Office de la durabilité participent à des Sustainable Energy Communities (SEC) voisines du campus de Grangegorman, soutenues par la SEAI, et mènent avec elles des activités de résilience climatique.</w:t>
      </w:r>
    </w:p>
    <w:p>
      <w:pPr>
        <w:pStyle w:val="Heading3"/>
      </w:pPr>
      <w:r>
        <w:rPr>
          <w:color w:val="2F6F5E"/>
        </w:rPr>
        <w:t>Intégration des engagements politiques</w:t>
      </w:r>
    </w:p>
    <w:p>
      <w:r>
        <w:t>Les SEC membres peuvent soulever des préoccupations, des besoins et des demandes d'aide auprès des agences de développement de Grangegorman et des fonctions de TU Dublin (par exemple, l'Office de la durabilité, les Affaires et la planification des campus) pour développer des actions stratégiques collaboratives.</w:t>
      </w:r>
    </w:p>
    <w:p>
      <w:pPr>
        <w:pStyle w:val="Heading3"/>
      </w:pPr>
      <w:r>
        <w:rPr>
          <w:color w:val="2F6F5E"/>
        </w:rPr>
        <w:t>Processus de remédiation des impacts négatifs</w:t>
      </w:r>
    </w:p>
    <w:p>
      <w:r>
        <w:t>Ce rapport ne peut pas établir les mécanismes de remédiation des impacts négatifs sur toutes les parties prenantes affectées.</w:t>
      </w:r>
    </w:p>
    <w:p>
      <w:pPr>
        <w:pStyle w:val="Heading3"/>
      </w:pPr>
      <w:r>
        <w:rPr>
          <w:color w:val="2F6F5E"/>
        </w:rPr>
        <w:t>Adhésion à des associations</w:t>
      </w:r>
    </w:p>
    <w:p>
      <w:r>
        <w:t>Parmi ses communautés de pratique, TU Dublin compte la SDG Literacy Community of Practice, qui permet aux enseignants et aux étudiants de construire ensemble des occasions d'apprendre sur les objectifs de développement durable des Nations unies. TU Dublin est par ailleurs membre de l'Université européenne de technologie (European University of Technology).</w:t>
      </w:r>
    </w:p>
    <w:p>
      <w:pPr>
        <w:pStyle w:val="Heading2"/>
      </w:pPr>
      <w:r>
        <w:rPr>
          <w:color w:val="2F6F5E"/>
        </w:rPr>
        <w:t>Limites et omissions</w:t>
      </w:r>
    </w:p>
    <w:p>
      <w:r>
        <w:t>De plus, certaines informations sur les engagements politiques et la stratégie de développement durable ne sont pas disponibles ou ne peuvent pas être établies.</w:t>
      </w:r>
    </w:p>
    <w:p>
      <w:r>
        <w:t>(GRI 2-22, GRI 2-23, GRI 2-24, GRI 2-25)</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PA-12 Droits des salariés (3 sur 3) ; EN-3 Engagement et formation du personnel (8 sur 8) ; PA-2 Engagements et planification (5,67 sur 6).</w:t>
      </w:r>
    </w:p>
    <w:p>
      <w:pPr>
        <w:pStyle w:val="ListBullet"/>
      </w:pPr>
      <w:r>
        <w:rPr>
          <w:b/>
        </w:rPr>
        <w:t>Partiellement atteints</w:t>
      </w:r>
      <w:r>
        <w:t xml:space="preserve"> : aucun.</w:t>
      </w:r>
    </w:p>
    <w:p>
      <w:pPr>
        <w:pStyle w:val="ListBullet"/>
      </w:pPr>
      <w:r>
        <w:rPr>
          <w:b/>
        </w:rPr>
        <w:t>À améliorer</w:t>
      </w:r>
      <w:r>
        <w:t xml:space="preserve"> : OP-9 Système d'achats durables (2,4 sur 7).</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EN-6 — Community Partnerships</w:t>
            </w:r>
          </w:p>
        </w:tc>
        <w:tc>
          <w:tcPr>
            <w:tcW w:type="dxa" w:w="2880"/>
          </w:tcPr>
          <w:p>
            <w:r>
              <w:rPr>
                <w:sz w:val="17"/>
              </w:rPr>
            </w:r>
            <w:r>
              <w:rPr>
                <w:sz w:val="17"/>
              </w:rPr>
              <w:t>7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Cette approche est mise en œuvre en vertu de la Technological Universities Act 2018, qui prévoit la représentation obligatoire des étudiants dans les organes de gouvernance des universités techniques, y compris TU Dublin.</w:t>
      </w:r>
    </w:p>
    <w:p>
      <w:r>
        <w:t>La Students' Union (SU) joue un rôle clé dans la représentation des étudiants. Le président de la SU est le porte-parole principal de l'union, représentant tous les étudiants de l'université, et est membre ex officio du corps gouvernemental et du conseil académique de l'université. Cela est établi par la constitution de la SU.</w:t>
      </w:r>
    </w:p>
    <w:p>
      <w:r>
        <w:t>TU Dublin s'engage également dans des activités communautaires à travers divers programmes, comme les programmes de bénévolat étudiant, les comités des sports et des sociétés, les mentorats pairs et la représentation de classe.</w:t>
      </w:r>
    </w:p>
    <w:p>
      <w:r>
        <w:t>L'université offre diverses opportunités de service communautaire, notamment :</w:t>
      </w:r>
    </w:p>
    <w:p>
      <w:pPr>
        <w:pStyle w:val="ListBullet"/>
      </w:pPr>
      <w:r>
        <w:t>Les comités des sports et des sociétés qui gèrent des groupes étudiants pour le bénéfice d'autres étudiants ;</w:t>
      </w:r>
    </w:p>
    <w:p>
      <w:pPr>
        <w:pStyle w:val="ListBullet"/>
      </w:pPr>
      <w:r>
        <w:t>Les sociétés étudiantes qui sont principalement engagées dans le bénévolat et les entreprises sociales, y compris la Société St. Vincent de Paul de TU Dublin, la Société d'urbanisme environnemental de TU Dublin, la Société Enactus de TU Dublin - qui reçoit un soutien important de notre GrowthHub ;</w:t>
      </w:r>
    </w:p>
    <w:p>
      <w:pPr>
        <w:pStyle w:val="ListBullet"/>
      </w:pPr>
      <w:r>
        <w:t>Le programme de bénévolat étudiant est facilité par la plateforme de bénévolat étudiant ;</w:t>
      </w:r>
    </w:p>
    <w:p>
      <w:pPr>
        <w:pStyle w:val="ListBullet"/>
      </w:pPr>
      <w:r>
        <w:t>Le programme de représentation de la classe de l'Union des étudiants ;</w:t>
      </w:r>
    </w:p>
    <w:p>
      <w:pPr>
        <w:pStyle w:val="ListBullet"/>
      </w:pPr>
      <w:r>
        <w:t>Le programme de mentorat pairs de TU Dublin.</w:t>
      </w:r>
    </w:p>
    <w:p>
      <w:r>
        <w:t>Enfin, l'université a mis en place un programme de partenariats avec la communauté, comme le programme SLWC+ pilot, qui prévoit une déclaration de réciprocité dans l'accord de collaboration et sert de base pour l'évaluation conjointe du programme avec le partenaire de collaboration. Cependant, ce document n'est pas accessible au public, car il s'agit de la première fois que ce programme est mis en œuvre et que l'université met l'accent sur le bénéfice mutuel et la réciprocité.</w:t>
      </w:r>
    </w:p>
    <w:p>
      <w:r>
        <w:t>(GRI 2-29)</w:t>
      </w:r>
    </w:p>
    <w:p>
      <w:pPr>
        <w:pStyle w:val="Heading2"/>
      </w:pPr>
      <w:r>
        <w:rPr>
          <w:color w:val="2F6F5E"/>
        </w:rPr>
        <w:t>Limites et omissions</w:t>
      </w:r>
    </w:p>
    <w:p>
      <w:r>
        <w:t>Ce rapport ne peut pas établir les informations sur la méthode d'identification des parties prenantes, les groupes vulnérables ou les fournisseurs. Ce rapport ne peut pas établir la liste complète des partenariats de l'université avec la communauté pour la durabilité.</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PA-3 Gouvernance de l'établissement (4 sur 4) ; PA-12 Droits des salariés (3 sur 3) ; EN-6 Partenariats avec la communauté (7 sur 9).</w:t>
      </w:r>
    </w:p>
    <w:p>
      <w:pPr>
        <w:pStyle w:val="ListBullet"/>
      </w:pPr>
      <w:r>
        <w:rPr>
          <w:b/>
        </w:rPr>
        <w:t>Partiellement atteints</w:t>
      </w:r>
      <w:r>
        <w:t xml:space="preserve"> : EN-5 Engagement civique (4,5 sur 8).</w:t>
      </w:r>
    </w:p>
    <w:p>
      <w:pPr>
        <w:pStyle w:val="ListBullet"/>
      </w:pPr>
      <w:r>
        <w:rPr>
          <w:b/>
        </w:rPr>
        <w:t>À améliorer</w:t>
      </w:r>
      <w:r>
        <w:t xml:space="preserve"> : aucun.</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6,34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10,79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4,33 / 6</w:t>
            </w:r>
          </w:p>
        </w:tc>
        <w:tc>
          <w:tcPr>
            <w:tcW w:type="dxa" w:w="2880"/>
          </w:tcPr>
          <w:p>
            <w:r>
              <w:rPr>
                <w:sz w:val="17"/>
              </w:rPr>
            </w:r>
            <w:r>
              <w:rPr>
                <w:sz w:val="17"/>
              </w:rPr>
              <w:t>intermédiaire</w:t>
            </w:r>
          </w:p>
        </w:tc>
      </w:tr>
      <w:tr>
        <w:tc>
          <w:tcPr>
            <w:tcW w:type="dxa" w:w="2880"/>
          </w:tcPr>
          <w:p>
            <w:r>
              <w:rPr>
                <w:sz w:val="17"/>
              </w:rPr>
            </w:r>
            <w:r>
              <w:rPr>
                <w:sz w:val="17"/>
              </w:rPr>
              <w:t>OP-12 — Waste Generation and Recovery</w:t>
            </w:r>
          </w:p>
        </w:tc>
        <w:tc>
          <w:tcPr>
            <w:tcW w:type="dxa" w:w="2880"/>
          </w:tcPr>
          <w:p>
            <w:r>
              <w:rPr>
                <w:sz w:val="17"/>
              </w:rPr>
            </w:r>
            <w:r>
              <w:rPr>
                <w:sz w:val="17"/>
              </w:rPr>
              <w:t>3,94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2,25 / 4</w:t>
            </w:r>
          </w:p>
        </w:tc>
        <w:tc>
          <w:tcPr>
            <w:tcW w:type="dxa" w:w="2880"/>
          </w:tcPr>
          <w:p>
            <w:r>
              <w:rPr>
                <w:sz w:val="17"/>
              </w:rPr>
            </w:r>
            <w:r>
              <w:rPr>
                <w:sz w:val="17"/>
              </w:rPr>
              <w:t>intermédiaire</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2,75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1,38 / 3</w:t>
            </w:r>
          </w:p>
        </w:tc>
        <w:tc>
          <w:tcPr>
            <w:tcW w:type="dxa" w:w="2880"/>
          </w:tcPr>
          <w:p>
            <w:r>
              <w:rPr>
                <w:sz w:val="17"/>
              </w:rPr>
            </w:r>
            <w:r>
              <w:rPr>
                <w:sz w:val="17"/>
              </w:rPr>
              <w:t>intermédiaire</w:t>
            </w:r>
          </w:p>
        </w:tc>
      </w:tr>
      <w:tr>
        <w:tc>
          <w:tcPr>
            <w:tcW w:type="dxa" w:w="2880"/>
          </w:tcPr>
          <w:p>
            <w:r>
              <w:rPr>
                <w:sz w:val="17"/>
              </w:rPr>
            </w:r>
            <w:r>
              <w:rPr>
                <w:sz w:val="17"/>
              </w:rPr>
              <w:t>OP-2 — Building Operations and Maintenance</w:t>
            </w:r>
          </w:p>
        </w:tc>
        <w:tc>
          <w:tcPr>
            <w:tcW w:type="dxa" w:w="2880"/>
          </w:tcPr>
          <w:p>
            <w:r>
              <w:rPr>
                <w:sz w:val="17"/>
              </w:rPr>
            </w:r>
            <w:r>
              <w:rPr>
                <w:sz w:val="17"/>
              </w:rPr>
              <w:t>1,97 / 5</w:t>
            </w:r>
          </w:p>
        </w:tc>
        <w:tc>
          <w:tcPr>
            <w:tcW w:type="dxa" w:w="2880"/>
          </w:tcPr>
          <w:p>
            <w:r>
              <w:rPr>
                <w:sz w:val="17"/>
              </w:rPr>
            </w:r>
            <w:r>
              <w:rPr>
                <w:sz w:val="17"/>
              </w:rPr>
              <w:t>faible</w:t>
            </w:r>
          </w:p>
        </w:tc>
      </w:tr>
      <w:tr>
        <w:tc>
          <w:tcPr>
            <w:tcW w:type="dxa" w:w="2880"/>
          </w:tcPr>
          <w:p>
            <w:r>
              <w:rPr>
                <w:sz w:val="17"/>
              </w:rPr>
            </w:r>
            <w:r>
              <w:rPr>
                <w:sz w:val="17"/>
              </w:rPr>
              <w:t>OP-13 — Vehicle Fleet</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OP-14 — Commute Modal Split</w:t>
            </w:r>
          </w:p>
        </w:tc>
        <w:tc>
          <w:tcPr>
            <w:tcW w:type="dxa" w:w="2880"/>
          </w:tcPr>
          <w:p>
            <w:r>
              <w:rPr>
                <w:sz w:val="17"/>
              </w:rPr>
            </w:r>
            <w:r>
              <w:rPr>
                <w:sz w:val="17"/>
              </w:rPr>
              <w:t>5,39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0,69 / 5</w:t>
            </w:r>
          </w:p>
        </w:tc>
        <w:tc>
          <w:tcPr>
            <w:tcW w:type="dxa" w:w="2880"/>
          </w:tcPr>
          <w:p>
            <w:r>
              <w:rPr>
                <w:sz w:val="17"/>
              </w:rPr>
            </w:r>
            <w:r>
              <w:rPr>
                <w:sz w:val="17"/>
              </w:rPr>
              <w:t>faible</w:t>
            </w:r>
          </w:p>
        </w:tc>
      </w:tr>
    </w:tbl>
    <w:p/>
    <w:p>
      <w:r>
        <w:rPr>
          <w:i/>
        </w:rPr>
        <w:t>Valeurs insérées par le code depuis la table des faits ; le texte ci-dessous est rédigé par le modèle puis validé.</w:t>
      </w:r>
    </w:p>
    <w:p>
      <w:r>
        <w:t>TU Dublin a mis en place plusieurs initiatives pour réduire son impact environnemental.</w:t>
      </w:r>
    </w:p>
    <w:p>
      <w:pPr>
        <w:pStyle w:val="Heading3"/>
      </w:pPr>
      <w:r>
        <w:rPr>
          <w:color w:val="2F6F5E"/>
        </w:rPr>
        <w:t>Énergie</w:t>
      </w:r>
    </w:p>
    <w:p>
      <w:r>
        <w:t>Des panneaux photovoltaïques sont installés sur le toit de l'atelier d'impression. Leur production d'électricité reste faible, et un projet de géothermie est en cours de développement.</w:t>
      </w:r>
    </w:p>
    <w:p>
      <w:pPr>
        <w:pStyle w:val="Heading3"/>
      </w:pPr>
      <w:r>
        <w:rPr>
          <w:color w:val="2F6F5E"/>
        </w:rPr>
        <w:t>Eau</w:t>
      </w:r>
    </w:p>
    <w:p>
      <w:r>
        <w:t>L'université a mis en place un système de récupération d'eau de pluie sur le toit du Greenway Hub, qui est utilisé pour alimenter les toilettes. La consommation d'eau n'est mesurée bâtiment par bâtiment que pour le Greenway Hub, un bâtiment de recherche équipé de capteurs reliés à son système de gestion technique.</w:t>
      </w:r>
    </w:p>
    <w:p>
      <w:pPr>
        <w:pStyle w:val="Heading3"/>
      </w:pPr>
      <w:r>
        <w:rPr>
          <w:color w:val="2F6F5E"/>
        </w:rPr>
        <w:t>Déchets</w:t>
      </w:r>
    </w:p>
    <w:p>
      <w:r>
        <w:t>Les déchets alimentaires, avant et après consommation, sont déposés dans des bacs à compost bruns fournis par le prestataire de gestion des déchets de l'université.</w:t>
      </w:r>
    </w:p>
    <w:p>
      <w:pPr>
        <w:pStyle w:val="Heading3"/>
      </w:pPr>
      <w:r>
        <w:rPr>
          <w:color w:val="2F6F5E"/>
        </w:rPr>
        <w:t>Véhicules</w:t>
      </w:r>
    </w:p>
    <w:p>
      <w:r>
        <w:t>L'université a remplacé tous ses véhicules diesel par des véhicules électriques, ce qui a contribué à réduire les émissions de gaz à effet de serre.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OP-13 Flotte de véhicules (2 sur 2) ; OP-14 Modes de déplacement domicile-campus (5,39 sur 6) ; OP-12 Production et valorisation des déchets (3,94 sur 5).</w:t>
      </w:r>
    </w:p>
    <w:p>
      <w:pPr>
        <w:pStyle w:val="ListBullet"/>
      </w:pPr>
      <w:r>
        <w:rPr>
          <w:b/>
        </w:rPr>
        <w:t>Partiellement atteints</w:t>
      </w:r>
      <w:r>
        <w:t xml:space="preserve"> : OP-3 Consommation d'eau (4,33 sur 6) ; OP-10 Biens achetés (2,75 sur 4) ; OP-6 Émissions de gaz à effet de serre (10,79 sur 16) ; OP-5 Consommation d'énergie (6,34 sur 10) ; OP-11 Gestion des matériaux (2,25 sur 4) ; OP-1 Conception et construction des bâtiments (1,38 sur 3).</w:t>
      </w:r>
    </w:p>
    <w:p>
      <w:pPr>
        <w:pStyle w:val="ListBullet"/>
      </w:pPr>
      <w:r>
        <w:rPr>
          <w:b/>
        </w:rPr>
        <w:t>À améliorer</w:t>
      </w:r>
      <w:r>
        <w:t xml:space="preserve"> : OP-15 Voyages en avion (0 sur 2) ; OP-4 Gestion écologique des espaces verts (0,69 sur 5) ; OP-9 Système d'achats durables (2,4 sur 7) ; OP-2 Exploitation et maintenance des bâtiments (1,97 sur 5).</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0,33 / 2</w:t>
            </w:r>
          </w:p>
        </w:tc>
        <w:tc>
          <w:tcPr>
            <w:tcW w:type="dxa" w:w="2880"/>
          </w:tcPr>
          <w:p>
            <w:r>
              <w:rPr>
                <w:sz w:val="17"/>
              </w:rPr>
            </w:r>
            <w:r>
              <w:rPr>
                <w:sz w:val="17"/>
              </w:rPr>
              <w:t>faible</w:t>
            </w:r>
          </w:p>
        </w:tc>
      </w:tr>
      <w:tr>
        <w:tc>
          <w:tcPr>
            <w:tcW w:type="dxa" w:w="2880"/>
          </w:tcPr>
          <w:p>
            <w:r>
              <w:rPr>
                <w:sz w:val="17"/>
              </w:rPr>
            </w:r>
            <w:r>
              <w:rPr>
                <w:sz w:val="17"/>
              </w:rPr>
              <w:t>PA-7 — Racial and Ethnic Representation</w:t>
            </w:r>
          </w:p>
        </w:tc>
        <w:tc>
          <w:tcPr>
            <w:tcW w:type="dxa" w:w="2880"/>
          </w:tcPr>
          <w:p>
            <w:r>
              <w:rPr>
                <w:sz w:val="17"/>
              </w:rPr>
            </w:r>
            <w:r>
              <w:rPr>
                <w:sz w:val="17"/>
              </w:rPr>
              <w:t>0,86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2,91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Équité salariale et salaire décent</w:t>
      </w:r>
    </w:p>
    <w:p>
      <w:r>
        <w:t>TU Dublin vérifie régulièrement la conformité de ses sous-traitants avec la National Minimum Wage Act 2000 et la Payment of Wages Act 1991, qui imposent aux employeurs de payer un salaire minimum et de fournir tous les avantages statutaires. TU Dublin estime que tout le monde a le droit à un salaire équitable et attend que tous ses fournisseurs paient à leurs employés au moins le salaire minimum, ou une représentation juste du salaire moyen de l'industrie (ce qui est le plus élevé), et leur fournissent tous les avantages statutaires.</w:t>
      </w:r>
    </w:p>
    <w:p>
      <w:r>
        <w:t>TU Dublin a identifié des sous-traitants importants, notamment ceux fournissant des services de restauration, de nettoyage, de maintenance, de jardinage, de services professionnels, de transport et de vente. Tous les sous-traitants paient un salaire décent à leurs employés.</w:t>
      </w:r>
    </w:p>
    <w:p>
      <w:r>
        <w:t>Les salaires des employés de TU Dublin sont fixés en fonction des politiques de rémunération et de conditions du secteur public, établies et mises à jour périodiquement par le gouvernement.</w:t>
      </w:r>
    </w:p>
    <w:p>
      <w:r>
        <w:t>(GRI 202-1)</w:t>
      </w:r>
    </w:p>
    <w:p>
      <w:pPr>
        <w:pStyle w:val="Heading3"/>
      </w:pPr>
      <w:r>
        <w:rPr>
          <w:color w:val="2F6F5E"/>
        </w:rPr>
        <w:t>Santé, sécurité et bien-être</w:t>
      </w:r>
    </w:p>
    <w:p>
      <w:r>
        <w:t>En vertu de la politique du gouvernement irlandais de « Tobacco Free Ireland », TU Dublin a introduit une zone sans fumée sur le campus en septembre 2020.</w:t>
      </w:r>
    </w:p>
    <w:p>
      <w:r>
        <w:t>(GRI 403-1)</w:t>
      </w:r>
    </w:p>
    <w:p>
      <w:pPr>
        <w:pStyle w:val="Heading3"/>
      </w:pPr>
      <w:r>
        <w:rPr>
          <w:color w:val="2F6F5E"/>
        </w:rPr>
        <w:t>Accessibilité financière et accès</w:t>
      </w:r>
    </w:p>
    <w:p>
      <w:r>
        <w:t>TU Dublin a mis en place des fonds d'aide aux étudiants (Student Assistance Fund) et le Fonds de bourse, qui visent les étudiants issus de milieux défavorisés ou sous-représentés.</w:t>
      </w:r>
    </w:p>
    <w:p>
      <w:pPr>
        <w:pStyle w:val="Heading3"/>
      </w:pPr>
      <w:r>
        <w:rPr>
          <w:color w:val="2F6F5E"/>
        </w:rPr>
        <w:t>Climat institutionnel (inclusion)</w:t>
      </w:r>
    </w:p>
    <w:p>
      <w:r>
        <w:t>L'office de l'égalité, de la diversité et de l'inclusion (EDI) de TU Dublin comprend plusieurs initiatives. L'université soutient les employés qui se déclarent membres de groupes raciaux, ethniques et/ou autochtones marginalisés, par exemple :</w:t>
      </w:r>
    </w:p>
    <w:p>
      <w:pPr>
        <w:pStyle w:val="ListBullet"/>
      </w:pPr>
      <w:r>
        <w:t>L'office de l'EDI soutient les employés de plusieurs groupes sous-représentés.</w:t>
      </w:r>
    </w:p>
    <w:p>
      <w:pPr>
        <w:pStyle w:val="ListBullet"/>
      </w:pPr>
      <w:r>
        <w:t>La direction de l'EDI mène des efforts pour intégrer l'antiracisme dans tous les programmes, en fournissant des ressources, des formations et un soutien aux employés et étudiants.</w:t>
      </w:r>
    </w:p>
    <w:p>
      <w:pPr>
        <w:pStyle w:val="ListBullet"/>
      </w:pPr>
      <w:r>
        <w:t>Le programme de développement communautaire et de travail avec les jeunes (CDYW) inclut des ateliers de formation sur l'antiracisme.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 ; PA-11 Santé, sécurité et bien-être (3 sur 3) ; PA-6 Climat institutionnel (3 sur 3) ; PA-10 Réussite étudiante (2,91 sur 3) ; PA-13 Équité salariale et salaire décent (4,8 sur 5) ; PA-9 Accessibilité financière et accès (2,5 sur 3).</w:t>
      </w:r>
    </w:p>
    <w:p>
      <w:pPr>
        <w:pStyle w:val="ListBullet"/>
      </w:pPr>
      <w:r>
        <w:rPr>
          <w:b/>
        </w:rPr>
        <w:t>Partiellement atteints</w:t>
      </w:r>
      <w:r>
        <w:t xml:space="preserve"> : aucun.</w:t>
      </w:r>
    </w:p>
    <w:p>
      <w:pPr>
        <w:pStyle w:val="ListBullet"/>
      </w:pPr>
      <w:r>
        <w:rPr>
          <w:b/>
        </w:rPr>
        <w:t>À améliorer</w:t>
      </w:r>
      <w:r>
        <w:t xml:space="preserve"> : PA-8 Parité femmes-hommes (0,33 sur 2) ; PA-7 Représentation ethnique et raciale (0,86 sur 3).</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13,28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Offre de cours en durabilité</w:t>
      </w:r>
    </w:p>
    <w:p>
      <w:r>
        <w:t>L'université obtient 14 points STARS sur 14 au crédit AC-1, niveau maximal. Cette note reflète la qualité de l'offre de cours en durabilité de l'université, qui comprend des projets tels que l'intégration de problèmes liés aux objectifs de développement durable dans l'éducation mathématique et l'étude des effets de l'expérience de stage orientée vers la durabilité sur la mentalité des étudiants.</w:t>
      </w:r>
    </w:p>
    <w:p>
      <w:pPr>
        <w:pStyle w:val="Heading3"/>
      </w:pPr>
      <w:r>
        <w:rPr>
          <w:color w:val="2F6F5E"/>
        </w:rPr>
        <w:t>Programmes de premier cycle</w:t>
      </w:r>
    </w:p>
    <w:p>
      <w:r>
        <w:t>L'université obtient 13,28 points STARS sur 15 au crédit AC-2, niveau élevé. Cette note reflète la qualité des programmes de premier cycle de l'université, qui incluent des modules axés sur la durabilité et des modules inclusifs qui prennent en compte les préoccupations environnementales.</w:t>
      </w:r>
    </w:p>
    <w:p>
      <w:pPr>
        <w:pStyle w:val="Heading3"/>
      </w:pPr>
      <w:r>
        <w:rPr>
          <w:color w:val="2F6F5E"/>
        </w:rPr>
        <w:t>Recherche en durabilité</w:t>
      </w:r>
    </w:p>
    <w:p>
      <w:r>
        <w:t>L'université obtient 10 points STARS sur 10 au crédit AC-6, niveau maximal. Cette note reflète la qualité de la recherche en durabilité de l'université, qui comprend des projets tels que la création de programmes de recherche accélérés et l'engagement de chercheurs pour travailler sur des aspects liés à la durabilité.</w:t>
      </w:r>
    </w:p>
    <w:p>
      <w:pPr>
        <w:pStyle w:val="Heading3"/>
      </w:pPr>
      <w:r>
        <w:rPr>
          <w:color w:val="2F6F5E"/>
        </w:rPr>
        <w:t>Centre de recherche en durabilité</w:t>
      </w:r>
    </w:p>
    <w:p>
      <w:r>
        <w:t>L'université obtient 6 points STARS sur 6 au crédit AC-7, niveau maximal. Cette note reflète la qualité du centre de recherche en durabilité de l'université, qui est un lieu de recherche et de développement axé sur la durabilité.</w:t>
      </w:r>
    </w:p>
    <w:p>
      <w:pPr>
        <w:pStyle w:val="Heading3"/>
      </w:pPr>
      <w:r>
        <w:rPr>
          <w:color w:val="2F6F5E"/>
        </w:rPr>
        <w:t>Communication et sensibilisation</w:t>
      </w:r>
    </w:p>
    <w:p>
      <w:r>
        <w:t>L'université obtient 5 points STARS sur 5 au crédit EN-1, niveau maximal. Cette note reflète la qualité de la communication et de la sensibilisation de l'université, qui comprend des outils de visualisation et des applications Web pour comprendre et mesurer le niveau de durabilité et les impacts associés aux modules enseignés, aux résultats de recherche et aux sites Web.</w:t>
      </w:r>
    </w:p>
    <w:p>
      <w:pPr>
        <w:pStyle w:val="Heading3"/>
      </w:pPr>
      <w:r>
        <w:rPr>
          <w:color w:val="2F6F5E"/>
        </w:rPr>
        <w:t>Activités parascolaires</w:t>
      </w:r>
    </w:p>
    <w:p>
      <w:r>
        <w:t>L'université obtient 9 points STARS sur 9 au crédit EN-2, niveau maximal. Cette note reflète la qualité des activités parascolaires de l'université, qui incluent des sociétés étudiantes actives en durabilité et en justice sociale (Environment and Planning Society, St Vincent de Paul Society), des étudiants ambassadeurs de l'éducation à la durabilité et des projets de bénévolat créés par les étudiants.</w:t>
      </w:r>
    </w:p>
    <w:p>
      <w:pPr>
        <w:pStyle w:val="Heading3"/>
      </w:pPr>
      <w:r>
        <w:rPr>
          <w:color w:val="2F6F5E"/>
        </w:rPr>
        <w:t>Engagement et formation du personnel</w:t>
      </w:r>
    </w:p>
    <w:p>
      <w:r>
        <w:t>L'université obtient 8 points STARS sur 8 au crédit EN-3, niveau maximal. Cette note reflète la qualité de l'engagement et de la formation du personnel de l'université, qui comprend des programmes tels que la SDG Literacy Community of Practice pour former les enseignants et les étudiants à la durabilité.</w:t>
      </w:r>
    </w:p>
    <w:p>
      <w:pPr>
        <w:pStyle w:val="Heading3"/>
      </w:pPr>
      <w:r>
        <w:rPr>
          <w:color w:val="2F6F5E"/>
        </w:rPr>
        <w:t>Engagement civique</w:t>
      </w:r>
    </w:p>
    <w:p>
      <w:r>
        <w:t>L'université obtient 4,5 points STARS sur 8 au crédit EN-5, niveau intermédiaire. Cette note reflète la qualité de l'engagement civique de l'université, qui comprend le bénévolat étudiant, les comités des clubs sportifs et des sociétés, le mentorat par les pairs, la représentation de classe et le bénévolat des employés pendant leurs heures de travail.</w:t>
      </w:r>
    </w:p>
    <w:p>
      <w:pPr>
        <w:pStyle w:val="Heading3"/>
      </w:pPr>
      <w:r>
        <w:rPr>
          <w:color w:val="2F6F5E"/>
        </w:rPr>
        <w:t>Formation continue</w:t>
      </w:r>
    </w:p>
    <w:p>
      <w:r>
        <w:t>L'université obtient 3 points STARS sur 3 au crédit EN-7, niveau maximal. Cette note reflète la qualité de la formation continue de l'université, qui comprend des modules axés sur la durabilité dans plusieurs écoles, par exemple en horticulture durable, en infrastructures résilientes au climat ou en biodiversité et conservation de la nature.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AC-1 Offre de cours en durabilité (14 sur 14) ; AC-3 Programmes de cycles supérieurs (8 sur 8) ; AC-6 Recherche en durabilité (10 sur 10) ; AC-7 Centre de recherche en durabilité (6 sur 6) ; EN-1 Communication et sensibilisation (5 sur 5) ; EN-2 Activités parascolaires (9 sur 9) ; EN-3 Engagement et formation du personnel (8 sur 8) ; EN-7 Formation continue (3 sur 3) ; AC-2 Programmes de premier cycle (13,28 sur 15).</w:t>
      </w:r>
    </w:p>
    <w:p>
      <w:pPr>
        <w:pStyle w:val="ListBullet"/>
      </w:pPr>
      <w:r>
        <w:rPr>
          <w:b/>
        </w:rPr>
        <w:t>Partiellement atteints</w:t>
      </w:r>
      <w:r>
        <w:t xml:space="preserve"> : EN-5 Engagement civique (4,5 sur 8).</w:t>
      </w:r>
    </w:p>
    <w:p>
      <w:pPr>
        <w:pStyle w:val="ListBullet"/>
      </w:pPr>
      <w:r>
        <w:rPr>
          <w:b/>
        </w:rPr>
        <w:t>À améliorer</w:t>
      </w:r>
      <w:r>
        <w:t xml:space="preserve"> : aucun.</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17</w:t>
            </w:r>
          </w:p>
        </w:tc>
        <w:tc>
          <w:tcPr>
            <w:tcW w:type="dxa" w:w="2160"/>
          </w:tcPr>
          <w:p>
            <w:r>
              <w:rPr>
                <w:sz w:val="17"/>
              </w:rPr>
            </w:r>
            <w:r>
              <w:rPr>
                <w:sz w:val="17"/>
              </w:rPr>
              <w:t>49</w:t>
            </w:r>
          </w:p>
        </w:tc>
        <w:tc>
          <w:tcPr>
            <w:tcW w:type="dxa" w:w="2160"/>
          </w:tcPr>
          <w:p>
            <w:r>
              <w:rPr>
                <w:sz w:val="17"/>
              </w:rPr>
            </w:r>
            <w:r>
              <w:rPr>
                <w:sz w:val="17"/>
              </w:rPr>
              <w:t>20</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Non évalué</w:t>
            </w:r>
          </w:p>
        </w:tc>
        <w:tc>
          <w:tcPr>
            <w:tcW w:type="dxa" w:w="2160"/>
          </w:tcPr>
          <w:p>
            <w:r>
              <w:rPr>
                <w:sz w:val="17"/>
              </w:rPr>
            </w:r>
            <w:r>
              <w:rPr>
                <w:sz w:val="17"/>
              </w:rPr>
              <w:t>Champ STARS identifié (PA-1) mais valeur non extraite : nécessite les pages STARS authentifiées.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évalué</w:t>
            </w:r>
          </w:p>
        </w:tc>
        <w:tc>
          <w:tcPr>
            <w:tcW w:type="dxa" w:w="2160"/>
          </w:tcPr>
          <w:p>
            <w:r>
              <w:rPr>
                <w:sz w:val="17"/>
              </w:rPr>
            </w:r>
            <w:r>
              <w:rPr>
                <w:sz w:val="17"/>
              </w:rPr>
              <w:t>Champ STARS identifié (IL-62) mais valeur non extraite : nécessite les pages STARS authentifiées.</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(EN-3)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Non évalué</w:t>
            </w:r>
          </w:p>
        </w:tc>
        <w:tc>
          <w:tcPr>
            <w:tcW w:type="dxa" w:w="2160"/>
          </w:tcPr>
          <w:p>
            <w:r>
              <w:rPr>
                <w:sz w:val="17"/>
              </w:rPr>
            </w:r>
            <w:r>
              <w:rPr>
                <w:sz w:val="17"/>
              </w:rPr>
              <w:t>Champ STARS identifié (OP-9) mais valeur non extraite : nécessite les pages STARS authentifiées.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L'organisation, son périmètre et ses effectifs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2 sur 8</w:t>
            </w:r>
          </w:p>
        </w:tc>
        <w:tc>
          <w:tcPr>
            <w:tcW w:type="dxa" w:w="960"/>
          </w:tcPr>
          <w:p>
            <w:r>
              <w:rPr>
                <w:sz w:val="17"/>
              </w:rPr>
            </w:r>
            <w:r>
              <w:rPr>
                <w:sz w:val="17"/>
              </w:rPr>
              <w:t>6.6 min</w:t>
            </w:r>
          </w:p>
        </w:tc>
      </w:tr>
      <w:tr>
        <w:tc>
          <w:tcPr>
            <w:tcW w:type="dxa" w:w="960"/>
          </w:tcPr>
          <w:p>
            <w:r>
              <w:rPr>
                <w:sz w:val="17"/>
              </w:rPr>
            </w:r>
            <w:r>
              <w:rPr>
                <w:sz w:val="17"/>
              </w:rPr>
              <w:t>Thèmes matériels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2/5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2 sur 3</w:t>
            </w:r>
          </w:p>
        </w:tc>
        <w:tc>
          <w:tcPr>
            <w:tcW w:type="dxa" w:w="960"/>
          </w:tcPr>
          <w:p>
            <w:r>
              <w:rPr>
                <w:sz w:val="17"/>
              </w:rPr>
            </w:r>
            <w:r>
              <w:rPr>
                <w:sz w:val="17"/>
              </w:rPr>
              <w:t>7.9 min</w:t>
            </w:r>
          </w:p>
        </w:tc>
      </w:tr>
      <w:tr>
        <w:tc>
          <w:tcPr>
            <w:tcW w:type="dxa" w:w="960"/>
          </w:tcPr>
          <w:p>
            <w:r>
              <w:rPr>
                <w:sz w:val="17"/>
              </w:rPr>
            </w:r>
            <w:r>
              <w:rPr>
                <w:sz w:val="17"/>
              </w:rPr>
              <w:t>Gouvernance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67%</w:t>
            </w:r>
          </w:p>
        </w:tc>
        <w:tc>
          <w:tcPr>
            <w:tcW w:type="dxa" w:w="960"/>
          </w:tcPr>
          <w:p>
            <w:r>
              <w:rPr>
                <w:sz w:val="17"/>
              </w:rPr>
            </w:r>
            <w:r>
              <w:rPr>
                <w:sz w:val="17"/>
              </w:rPr>
              <w:t>1 sur 13</w:t>
            </w:r>
          </w:p>
        </w:tc>
        <w:tc>
          <w:tcPr>
            <w:tcW w:type="dxa" w:w="960"/>
          </w:tcPr>
          <w:p>
            <w:r>
              <w:rPr>
                <w:sz w:val="17"/>
              </w:rPr>
            </w:r>
            <w:r>
              <w:rPr>
                <w:sz w:val="17"/>
              </w:rPr>
              <w:t>9.1 min</w:t>
            </w:r>
          </w:p>
        </w:tc>
      </w:tr>
      <w:tr>
        <w:tc>
          <w:tcPr>
            <w:tcW w:type="dxa" w:w="960"/>
          </w:tcPr>
          <w:p>
            <w:r>
              <w:rPr>
                <w:sz w:val="17"/>
              </w:rPr>
            </w:r>
            <w:r>
              <w:rPr>
                <w:sz w:val="17"/>
              </w:rPr>
              <w:t>Stratégie, politiques et pratiques</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67%</w:t>
            </w:r>
          </w:p>
        </w:tc>
        <w:tc>
          <w:tcPr>
            <w:tcW w:type="dxa" w:w="960"/>
          </w:tcPr>
          <w:p>
            <w:r>
              <w:rPr>
                <w:sz w:val="17"/>
              </w:rPr>
            </w:r>
            <w:r>
              <w:rPr>
                <w:sz w:val="17"/>
              </w:rPr>
              <w:t>4 sur 7</w:t>
            </w:r>
          </w:p>
        </w:tc>
        <w:tc>
          <w:tcPr>
            <w:tcW w:type="dxa" w:w="960"/>
          </w:tcPr>
          <w:p>
            <w:r>
              <w:rPr>
                <w:sz w:val="17"/>
              </w:rPr>
            </w:r>
            <w:r>
              <w:rPr>
                <w:sz w:val="17"/>
              </w:rPr>
              <w:t>19.6 min</w:t>
            </w:r>
          </w:p>
        </w:tc>
      </w:tr>
      <w:tr>
        <w:tc>
          <w:tcPr>
            <w:tcW w:type="dxa" w:w="960"/>
          </w:tcPr>
          <w:p>
            <w:r>
              <w:rPr>
                <w:sz w:val="17"/>
              </w:rPr>
            </w:r>
            <w:r>
              <w:rPr>
                <w:sz w:val="17"/>
              </w:rPr>
              <w:t>Engagement des parties prenantes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1 sur 2</w:t>
            </w:r>
          </w:p>
        </w:tc>
        <w:tc>
          <w:tcPr>
            <w:tcW w:type="dxa" w:w="960"/>
          </w:tcPr>
          <w:p>
            <w:r>
              <w:rPr>
                <w:sz w:val="17"/>
              </w:rPr>
            </w:r>
            <w:r>
              <w:rPr>
                <w:sz w:val="17"/>
              </w:rPr>
              <w:t>10.7 min</w:t>
            </w:r>
          </w:p>
        </w:tc>
      </w:tr>
      <w:tr>
        <w:tc>
          <w:tcPr>
            <w:tcW w:type="dxa" w:w="960"/>
          </w:tcPr>
          <w:p>
            <w:r>
              <w:rPr>
                <w:sz w:val="17"/>
              </w:rPr>
            </w:r>
            <w:r>
              <w:rPr>
                <w:sz w:val="17"/>
              </w:rPr>
              <w:t>Performance environnementale</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3 sur 35</w:t>
            </w:r>
          </w:p>
        </w:tc>
        <w:tc>
          <w:tcPr>
            <w:tcW w:type="dxa" w:w="960"/>
          </w:tcPr>
          <w:p>
            <w:r>
              <w:rPr>
                <w:sz w:val="17"/>
              </w:rPr>
            </w:r>
            <w:r>
              <w:rPr>
                <w:sz w:val="17"/>
              </w:rPr>
              <w:t>26.0 min</w:t>
            </w:r>
          </w:p>
        </w:tc>
      </w:tr>
      <w:tr>
        <w:tc>
          <w:tcPr>
            <w:tcW w:type="dxa" w:w="960"/>
          </w:tcPr>
          <w:p>
            <w:r>
              <w:rPr>
                <w:sz w:val="17"/>
              </w:rPr>
            </w:r>
            <w:r>
              <w:rPr>
                <w:sz w:val="17"/>
              </w:rPr>
              <w:t>Performance sociale et économique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50%</w:t>
            </w:r>
          </w:p>
        </w:tc>
        <w:tc>
          <w:tcPr>
            <w:tcW w:type="dxa" w:w="960"/>
          </w:tcPr>
          <w:p>
            <w:r>
              <w:rPr>
                <w:sz w:val="17"/>
              </w:rPr>
            </w:r>
            <w:r>
              <w:rPr>
                <w:sz w:val="17"/>
              </w:rPr>
              <w:t>4 sur 18</w:t>
            </w:r>
          </w:p>
        </w:tc>
        <w:tc>
          <w:tcPr>
            <w:tcW w:type="dxa" w:w="960"/>
          </w:tcPr>
          <w:p>
            <w:r>
              <w:rPr>
                <w:sz w:val="17"/>
              </w:rPr>
            </w:r>
            <w:r>
              <w:rPr>
                <w:sz w:val="17"/>
              </w:rPr>
              <w:t>14.2 min</w:t>
            </w:r>
          </w:p>
        </w:tc>
      </w:tr>
      <w:tr>
        <w:tc>
          <w:tcPr>
            <w:tcW w:type="dxa" w:w="960"/>
          </w:tcPr>
          <w:p>
            <w:r>
              <w:rPr>
                <w:sz w:val="17"/>
              </w:rPr>
            </w:r>
            <w:r>
              <w:rPr>
                <w:sz w:val="17"/>
              </w:rPr>
              <w:t>Enseignement, recherche et engagement (hors GRI)</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11.6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8 section(s) validée(s) sur 8 ; fidélité moyenne 98% ; 0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22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relecture/tudublin.yaml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Technological University Dublin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