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F6F5E"/>
        </w:rPr>
        <w:t>Rapport de durabilité — University of California, Berkeley</w:t>
      </w:r>
    </w:p>
    <w:p>
      <w:r>
        <w:rPr>
          <w:i/>
        </w:rPr>
        <w:t>Établi en référence aux normes GRI · généré le 2026-10-06 · données AASHE STARS 3.0</w:t>
      </w:r>
    </w:p>
    <w:p>
      <w:r>
        <w:rPr>
          <w:b/>
        </w:rPr>
        <w:t>À propos de ce rapport.</w:t>
      </w:r>
      <w:r>
        <w:t xml:space="preserve"> Ce rapport est généré automatiquement à partir de la soumission publique AASHE STARS 3.0 de University of California, Berkeley (19 février 2025), mise en correspondance avec les normes GRI. Il examine les 86 publications GRI de 14 normes (dont GRI 101: Biodiversité 2024). Lorsqu'une publication ne peut pas être renseignée à partir des données STARS, il le dit et explique pourquoi, au lieu d'omettre la question.</w:t>
      </w:r>
    </w:p>
    <w:p>
      <w:r>
        <w:rPr>
          <w:b/>
        </w:rPr>
        <w:t>D'où viennent les chiffres, et pourquoi s'y fier.</w:t>
      </w:r>
      <w:r>
        <w:t xml:space="preserve"> Le modèle de langage qui rédige le texte (llama3.1:8b, exécuté localement avec Ollama) n'a jamais vu un chiffre : les nombres de son contexte sont masqués, et il écrit des marqueurs nommés que le code remplace ensuite par les valeurs de la table des faits. Un garde-fou déterministe rejette toute section où le modèle a écrit lui-même un nombre, puis chaque nombre du texte final est contrôlé contre cette table. Le modèle choisit les phrases ; il ne choisit pas les chiffres.</w:t>
      </w:r>
    </w:p>
    <w:p>
      <w:r>
        <w:rPr>
          <w:b/>
        </w:rPr>
        <w:t>Validation automatique.</w:t>
      </w:r>
      <w:r>
        <w:t xml:space="preserve"> Chaque section est ensuite auditée par le modèle configuré en juge : il découpe le texte en affirmations, vérifie chacune contre les sources, contrôle les règles de reporting et note la section. Une section refusée est régénérée avec les corrections demandées. Le détail figure en annexe « Validation du rapport ».</w:t>
      </w:r>
    </w:p>
    <w:p>
      <w:r>
        <w:rPr>
          <w:b/>
        </w:rPr>
        <w:t>Ce que la garantie ne couvre pas.</w:t>
      </w:r>
      <w:r>
        <w:t xml:space="preserve"> Elle porte sur les chiffres. Les énoncés qualitatifs proviennent des réponses narratives de l'établissement ; le juge les contrôle, mais un juge automatique peut se tromper. Les sections marquées « à relire » demandent une validation humaine.</w:t>
      </w:r>
    </w:p>
    <w:p>
      <w:r>
        <w:rPr>
          <w:b/>
        </w:rPr>
        <w:t>« En référence aux » normes GRI, et non « conformément à ».</w:t>
      </w:r>
      <w:r>
        <w:t xml:space="preserve"> GRI réserve la mention « conformément » aux rapports qui répondent à toutes les publications générales et à toutes celles de chaque thème matériel. Ce rapport ne le fait pas : il revendique donc la mention plus faible, qui est la mention exacte.</w:t>
      </w:r>
    </w:p>
    <w:p>
      <w:r>
        <w:rPr>
          <w:b/>
        </w:rPr>
        <w:t>Portée des données.</w:t>
      </w:r>
      <w:r>
        <w:t xml:space="preserve"> Cette version s'appuie sur les scores publics par crédit et sur les réponses narratives de l'établissement. Les valeurs détaillées des champs STARS (énergie, émissions, eau, déchets, effectifs…) exigent un accès authentifié AASHE et n'ont pas encore été extraites : les publications qui en dépendent sont marquées « Non évalué » plutôt que d'être devinées.</w:t>
      </w:r>
    </w:p>
    <w:p>
      <w:r>
        <w:rPr>
          <w:b/>
        </w:rPr>
        <w:t>Source et attribution.</w:t>
      </w:r>
      <w:r>
        <w:t xml:space="preserve"> </w:t>
      </w:r>
      <w:r>
        <w:t>University of California, Berkeley STARS Report (https://reports.aashe.org/institutions/university-of-california-berkeley-ca/report/2025-02-19/)</w:t>
      </w:r>
      <w:r>
        <w:t>, AASHE, note « Platinum ». Les données STARS sont accessibles publiquement et utilisées ici avec attribution à l'AASHE ; elles ne sont pas sous licence ouverte et sont autodéclarées par l'établissement. Extraction initiale des données : Hakim Chaanbi (</w:t>
      </w:r>
      <w:r>
        <w:t>hakimchaanbi/esg-reporting (https://github.com/hakimchaanbi/esg-reporting)</w:t>
      </w:r>
      <w:r>
        <w:t>).</w:t>
      </w:r>
    </w:p>
    <w:p>
      <w:pPr>
        <w:pStyle w:val="Heading1"/>
      </w:pPr>
      <w:r>
        <w:rPr>
          <w:color w:val="2F6F5E"/>
        </w:rPr>
        <w:t>Synthèse des résultats STARS</w:t>
      </w:r>
    </w:p>
    <w:p>
      <w:r>
        <w:t xml:space="preserve">Note STARS : </w:t>
      </w:r>
      <w:r>
        <w:rPr>
          <w:b/>
        </w:rPr>
        <w:t>Platinum</w:t>
      </w:r>
      <w:r>
        <w:t xml:space="preserve"> — score global </w:t>
      </w:r>
      <w:r>
        <w:rPr>
          <w:b/>
        </w:rPr>
        <w:t>86,76</w:t>
      </w:r>
      <w:r>
        <w:t xml:space="preserve"> sur 100. Les scores STARS 3.0 sont autodéclarés et notés par rapport à un groupe de pairs ; les piliers ci-dessous regroupent les crédits notés (regroupement du projet, pas une désignation STARS ; crédits bonus IL exclus).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Pilier</w:t>
            </w:r>
          </w:p>
        </w:tc>
        <w:tc>
          <w:tcPr>
            <w:tcW w:type="dxa" w:w="1728"/>
          </w:tcPr>
          <w:p>
            <w:r>
              <w:rPr>
                <w:b/>
                <w:sz w:val="17"/>
              </w:rPr>
            </w:r>
            <w:r>
              <w:rPr>
                <w:b/>
                <w:sz w:val="17"/>
              </w:rPr>
              <w:t>Points obtenus</w:t>
            </w:r>
          </w:p>
        </w:tc>
        <w:tc>
          <w:tcPr>
            <w:tcW w:type="dxa" w:w="1728"/>
          </w:tcPr>
          <w:p>
            <w:r>
              <w:rPr>
                <w:b/>
                <w:sz w:val="17"/>
              </w:rPr>
            </w:r>
            <w:r>
              <w:rPr>
                <w:b/>
                <w:sz w:val="17"/>
              </w:rPr>
              <w:t>Points possibles</w:t>
            </w:r>
          </w:p>
        </w:tc>
        <w:tc>
          <w:tcPr>
            <w:tcW w:type="dxa" w:w="1728"/>
          </w:tcPr>
          <w:p>
            <w:r>
              <w:rPr>
                <w:b/>
                <w:sz w:val="17"/>
              </w:rPr>
            </w:r>
            <w:r>
              <w:rPr>
                <w:b/>
                <w:sz w:val="17"/>
              </w:rPr>
              <w:t>Part obtenue</w:t>
            </w:r>
          </w:p>
        </w:tc>
        <w:tc>
          <w:tcPr>
            <w:tcW w:type="dxa" w:w="1728"/>
          </w:tcPr>
          <w:p>
            <w:r>
              <w:rPr>
                <w:b/>
                <w:sz w:val="17"/>
              </w:rPr>
            </w:r>
            <w:r>
              <w:rPr>
                <w:b/>
                <w:sz w:val="17"/>
              </w:rPr>
              <w:t>Niveau</w:t>
            </w:r>
          </w:p>
        </w:tc>
      </w:tr>
      <w:tr>
        <w:tc>
          <w:tcPr>
            <w:tcW w:type="dxa" w:w="1728"/>
          </w:tcPr>
          <w:p>
            <w:r>
              <w:rPr>
                <w:sz w:val="17"/>
              </w:rPr>
            </w:r>
            <w:r>
              <w:rPr>
                <w:sz w:val="17"/>
              </w:rPr>
              <w:t>Environnement</w:t>
            </w:r>
          </w:p>
        </w:tc>
        <w:tc>
          <w:tcPr>
            <w:tcW w:type="dxa" w:w="1728"/>
          </w:tcPr>
          <w:p>
            <w:r>
              <w:rPr>
                <w:sz w:val="17"/>
              </w:rPr>
            </w:r>
            <w:r>
              <w:rPr>
                <w:sz w:val="17"/>
              </w:rPr>
              <w:t>60,67</w:t>
            </w:r>
          </w:p>
        </w:tc>
        <w:tc>
          <w:tcPr>
            <w:tcW w:type="dxa" w:w="1728"/>
          </w:tcPr>
          <w:p>
            <w:r>
              <w:rPr>
                <w:sz w:val="17"/>
              </w:rPr>
            </w:r>
            <w:r>
              <w:rPr>
                <w:sz w:val="17"/>
              </w:rPr>
              <w:t>86</w:t>
            </w:r>
          </w:p>
        </w:tc>
        <w:tc>
          <w:tcPr>
            <w:tcW w:type="dxa" w:w="1728"/>
          </w:tcPr>
          <w:p>
            <w:r>
              <w:rPr>
                <w:sz w:val="17"/>
              </w:rPr>
            </w:r>
            <w:r>
              <w:rPr>
                <w:sz w:val="17"/>
              </w:rPr>
              <w:t>70,5 %</w:t>
            </w:r>
          </w:p>
        </w:tc>
        <w:tc>
          <w:tcPr>
            <w:tcW w:type="dxa" w:w="1728"/>
          </w:tcPr>
          <w:p>
            <w:r>
              <w:rPr>
                <w:sz w:val="17"/>
              </w:rPr>
            </w:r>
            <w:r>
              <w:rPr>
                <w:sz w:val="17"/>
              </w:rPr>
              <w:t>intermédiaire</w:t>
            </w:r>
          </w:p>
        </w:tc>
      </w:tr>
      <w:tr>
        <w:tc>
          <w:tcPr>
            <w:tcW w:type="dxa" w:w="1728"/>
          </w:tcPr>
          <w:p>
            <w:r>
              <w:rPr>
                <w:sz w:val="17"/>
              </w:rPr>
            </w:r>
            <w:r>
              <w:rPr>
                <w:sz w:val="17"/>
              </w:rPr>
              <w:t>Social</w:t>
            </w:r>
          </w:p>
        </w:tc>
        <w:tc>
          <w:tcPr>
            <w:tcW w:type="dxa" w:w="1728"/>
          </w:tcPr>
          <w:p>
            <w:r>
              <w:rPr>
                <w:sz w:val="17"/>
              </w:rPr>
            </w:r>
            <w:r>
              <w:rPr>
                <w:sz w:val="17"/>
              </w:rPr>
              <w:t>21,40</w:t>
            </w:r>
          </w:p>
        </w:tc>
        <w:tc>
          <w:tcPr>
            <w:tcW w:type="dxa" w:w="1728"/>
          </w:tcPr>
          <w:p>
            <w:r>
              <w:rPr>
                <w:sz w:val="17"/>
              </w:rPr>
            </w:r>
            <w:r>
              <w:rPr>
                <w:sz w:val="17"/>
              </w:rPr>
              <w:t>25</w:t>
            </w:r>
          </w:p>
        </w:tc>
        <w:tc>
          <w:tcPr>
            <w:tcW w:type="dxa" w:w="1728"/>
          </w:tcPr>
          <w:p>
            <w:r>
              <w:rPr>
                <w:sz w:val="17"/>
              </w:rPr>
            </w:r>
            <w:r>
              <w:rPr>
                <w:sz w:val="17"/>
              </w:rPr>
              <w:t>85,6 %</w:t>
            </w:r>
          </w:p>
        </w:tc>
        <w:tc>
          <w:tcPr>
            <w:tcW w:type="dxa" w:w="1728"/>
          </w:tcPr>
          <w:p>
            <w:r>
              <w:rPr>
                <w:sz w:val="17"/>
              </w:rPr>
            </w:r>
            <w:r>
              <w:rPr>
                <w:sz w:val="17"/>
              </w:rPr>
              <w:t>élevé</w:t>
            </w:r>
          </w:p>
        </w:tc>
      </w:tr>
      <w:tr>
        <w:tc>
          <w:tcPr>
            <w:tcW w:type="dxa" w:w="1728"/>
          </w:tcPr>
          <w:p>
            <w:r>
              <w:rPr>
                <w:sz w:val="17"/>
              </w:rPr>
            </w:r>
            <w:r>
              <w:rPr>
                <w:sz w:val="17"/>
              </w:rPr>
              <w:t>Gouvernance</w:t>
            </w:r>
          </w:p>
        </w:tc>
        <w:tc>
          <w:tcPr>
            <w:tcW w:type="dxa" w:w="1728"/>
          </w:tcPr>
          <w:p>
            <w:r>
              <w:rPr>
                <w:sz w:val="17"/>
              </w:rPr>
            </w:r>
            <w:r>
              <w:rPr>
                <w:sz w:val="17"/>
              </w:rPr>
              <w:t>17,01</w:t>
            </w:r>
          </w:p>
        </w:tc>
        <w:tc>
          <w:tcPr>
            <w:tcW w:type="dxa" w:w="1728"/>
          </w:tcPr>
          <w:p>
            <w:r>
              <w:rPr>
                <w:sz w:val="17"/>
              </w:rPr>
            </w:r>
            <w:r>
              <w:rPr>
                <w:sz w:val="17"/>
              </w:rPr>
              <w:t>21</w:t>
            </w:r>
          </w:p>
        </w:tc>
        <w:tc>
          <w:tcPr>
            <w:tcW w:type="dxa" w:w="1728"/>
          </w:tcPr>
          <w:p>
            <w:r>
              <w:rPr>
                <w:sz w:val="17"/>
              </w:rPr>
            </w:r>
            <w:r>
              <w:rPr>
                <w:sz w:val="17"/>
              </w:rPr>
              <w:t>81,0 %</w:t>
            </w:r>
          </w:p>
        </w:tc>
        <w:tc>
          <w:tcPr>
            <w:tcW w:type="dxa" w:w="1728"/>
          </w:tcPr>
          <w:p>
            <w:r>
              <w:rPr>
                <w:sz w:val="17"/>
              </w:rPr>
            </w:r>
            <w:r>
              <w:rPr>
                <w:sz w:val="17"/>
              </w:rPr>
              <w:t>élevé</w:t>
            </w:r>
          </w:p>
        </w:tc>
      </w:tr>
      <w:tr>
        <w:tc>
          <w:tcPr>
            <w:tcW w:type="dxa" w:w="1728"/>
          </w:tcPr>
          <w:p>
            <w:r>
              <w:rPr>
                <w:sz w:val="17"/>
              </w:rPr>
            </w:r>
            <w:r>
              <w:rPr>
                <w:sz w:val="17"/>
              </w:rPr>
              <w:t>Enseignement, recherche et engagement</w:t>
            </w:r>
          </w:p>
        </w:tc>
        <w:tc>
          <w:tcPr>
            <w:tcW w:type="dxa" w:w="1728"/>
          </w:tcPr>
          <w:p>
            <w:r>
              <w:rPr>
                <w:sz w:val="17"/>
              </w:rPr>
            </w:r>
            <w:r>
              <w:rPr>
                <w:sz w:val="17"/>
              </w:rPr>
              <w:t>107,83</w:t>
            </w:r>
          </w:p>
        </w:tc>
        <w:tc>
          <w:tcPr>
            <w:tcW w:type="dxa" w:w="1728"/>
          </w:tcPr>
          <w:p>
            <w:r>
              <w:rPr>
                <w:sz w:val="17"/>
              </w:rPr>
            </w:r>
            <w:r>
              <w:rPr>
                <w:sz w:val="17"/>
              </w:rPr>
              <w:t>118</w:t>
            </w:r>
          </w:p>
        </w:tc>
        <w:tc>
          <w:tcPr>
            <w:tcW w:type="dxa" w:w="1728"/>
          </w:tcPr>
          <w:p>
            <w:r>
              <w:rPr>
                <w:sz w:val="17"/>
              </w:rPr>
            </w:r>
            <w:r>
              <w:rPr>
                <w:sz w:val="17"/>
              </w:rPr>
              <w:t>91,4 %</w:t>
            </w:r>
          </w:p>
        </w:tc>
        <w:tc>
          <w:tcPr>
            <w:tcW w:type="dxa" w:w="1728"/>
          </w:tcPr>
          <w:p>
            <w:r>
              <w:rPr>
                <w:sz w:val="17"/>
              </w:rPr>
            </w:r>
            <w:r>
              <w:rPr>
                <w:sz w:val="17"/>
              </w:rPr>
              <w:t>élevé</w:t>
            </w:r>
          </w:p>
        </w:tc>
      </w:tr>
    </w:tbl>
    <w:p/>
    <w:p>
      <w:pPr>
        <w:pStyle w:val="Heading1"/>
      </w:pPr>
      <w:r>
        <w:rPr>
          <w:color w:val="2F6F5E"/>
        </w:rPr>
        <w:t>L'organisation, son périmètre et ses effectifs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Crédit STARS</w:t>
            </w:r>
          </w:p>
        </w:tc>
        <w:tc>
          <w:tcPr>
            <w:tcW w:type="dxa" w:w="2880"/>
          </w:tcPr>
          <w:p>
            <w:r>
              <w:rPr>
                <w:b/>
                <w:sz w:val="17"/>
              </w:rPr>
            </w:r>
            <w:r>
              <w:rPr>
                <w:b/>
                <w:sz w:val="17"/>
              </w:rPr>
              <w:t>Points obtenus</w:t>
            </w:r>
          </w:p>
        </w:tc>
        <w:tc>
          <w:tcPr>
            <w:tcW w:type="dxa" w:w="2880"/>
          </w:tcPr>
          <w:p>
            <w:r>
              <w:rPr>
                <w:b/>
                <w:sz w:val="17"/>
              </w:rPr>
            </w:r>
            <w:r>
              <w:rPr>
                <w:b/>
                <w:sz w:val="17"/>
              </w:rPr>
              <w:t>Niveau</w:t>
            </w:r>
          </w:p>
        </w:tc>
      </w:tr>
      <w:tr>
        <w:tc>
          <w:tcPr>
            <w:tcW w:type="dxa" w:w="2880"/>
          </w:tcPr>
          <w:p>
            <w:r>
              <w:rPr>
                <w:sz w:val="17"/>
              </w:rPr>
            </w:r>
            <w:r>
              <w:rPr>
                <w:sz w:val="17"/>
              </w:rPr>
              <w:t>PA-12 — Employee Rights</w:t>
            </w:r>
          </w:p>
        </w:tc>
        <w:tc>
          <w:tcPr>
            <w:tcW w:type="dxa" w:w="2880"/>
          </w:tcPr>
          <w:p>
            <w:r>
              <w:rPr>
                <w:sz w:val="17"/>
              </w:rPr>
            </w:r>
            <w:r>
              <w:rPr>
                <w:sz w:val="17"/>
              </w:rPr>
              <w:t>2,5 / 3</w:t>
            </w:r>
          </w:p>
        </w:tc>
        <w:tc>
          <w:tcPr>
            <w:tcW w:type="dxa" w:w="2880"/>
          </w:tcPr>
          <w:p>
            <w:r>
              <w:rPr>
                <w:sz w:val="17"/>
              </w:rPr>
            </w:r>
            <w:r>
              <w:rPr>
                <w:sz w:val="17"/>
              </w:rPr>
              <w:t>élevé</w:t>
            </w:r>
          </w:p>
        </w:tc>
      </w:tr>
    </w:tbl>
    <w:p/>
    <w:p>
      <w:r>
        <w:rPr>
          <w:i/>
        </w:rPr>
        <w:t>Valeurs insérées par le code depuis la table des faits ; le texte ci-dessous est rédigé par le modèle puis validé.</w:t>
      </w:r>
    </w:p>
    <w:p>
      <w:r>
        <w:t>L'université de Californie, Berkeley, est une institution universitaire située dans la ville de Berkeley, en Californie. Elle fait partie du système de l'Université de Californie, dont le conseil des régents (Board of Regents) gouverne l'ensemble des campus.</w:t>
      </w:r>
    </w:p>
    <w:p>
      <w:r>
        <w:t>L'université de Californie, Berkeley, a déclaré que son périmètre d'activité est celui pour lequel elle conserve le contrôle opérationnel.</w:t>
      </w:r>
    </w:p>
    <w:p>
      <w:r>
        <w:t>(GRI 2-1)</w:t>
      </w:r>
    </w:p>
    <w:p>
      <w:r>
        <w:t>L'université de Californie, Berkeley, a déclaré que son périmètre d'activité comprend les entités suivantes : le campus principal, le Hill campus, le Richmond Field Station et les réserves opérées par l'université.</w:t>
      </w:r>
    </w:p>
    <w:p>
      <w:r>
        <w:t>(GRI 2-2)</w:t>
      </w:r>
    </w:p>
    <w:p>
      <w:pPr>
        <w:pStyle w:val="Heading2"/>
      </w:pPr>
      <w:r>
        <w:rPr>
          <w:color w:val="2F6F5E"/>
        </w:rPr>
        <w:t>Limites et omissions</w:t>
      </w:r>
    </w:p>
    <w:p>
      <w:r>
        <w:t>Ce rapport ne peut pas établir les détails sur la dénomination légale, le siège et les pays d'activité de l'université de Californie, Berkeley, car ces informations ne sont pas collectées par STARS.</w:t>
      </w:r>
    </w:p>
    <w:p>
      <w:r>
        <w:t>(GRI 2-1)</w:t>
      </w:r>
    </w:p>
    <w:p>
      <w:r>
        <w:t>Ce rapport ne peut pas établir la période de reporting, la fréquence et le point de contact de l'université de Californie, Berkeley, car ces informations ne sont pas collectées par STARS.</w:t>
      </w:r>
    </w:p>
    <w:p>
      <w:r>
        <w:t>(GRI 2-3)</w:t>
      </w:r>
    </w:p>
    <w:p>
      <w:r>
        <w:t>Ce rapport ne peut pas établir la vérification externe de l'université de Californie, Berkeley, car les informations sur la norme d'assurance, le niveau d'assurance et la relation avec le vérificateur ne sont pas collectées par STARS.</w:t>
      </w:r>
    </w:p>
    <w:p>
      <w:r>
        <w:t>(GRI 2-5)</w:t>
      </w:r>
    </w:p>
    <w:p>
      <w:r>
        <w:t>Ce rapport ne peut pas établir les activités, la chaîne de valeur et les relations d'affaires de l'université de Californie, Berkeley, car ces informations ne sont pas collectées par STARS.</w:t>
      </w:r>
    </w:p>
    <w:p>
      <w:r>
        <w:t>(GRI 2-6)</w:t>
      </w:r>
    </w:p>
    <w:p>
      <w:pPr>
        <w:pStyle w:val="Heading1"/>
      </w:pPr>
      <w:r>
        <w:rPr>
          <w:color w:val="2F6F5E"/>
        </w:rPr>
        <w:t>Thèmes matériels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Crédit STARS</w:t>
            </w:r>
          </w:p>
        </w:tc>
        <w:tc>
          <w:tcPr>
            <w:tcW w:type="dxa" w:w="2880"/>
          </w:tcPr>
          <w:p>
            <w:r>
              <w:rPr>
                <w:b/>
                <w:sz w:val="17"/>
              </w:rPr>
            </w:r>
            <w:r>
              <w:rPr>
                <w:b/>
                <w:sz w:val="17"/>
              </w:rPr>
              <w:t>Points obtenus</w:t>
            </w:r>
          </w:p>
        </w:tc>
        <w:tc>
          <w:tcPr>
            <w:tcW w:type="dxa" w:w="2880"/>
          </w:tcPr>
          <w:p>
            <w:r>
              <w:rPr>
                <w:b/>
                <w:sz w:val="17"/>
              </w:rPr>
            </w:r>
            <w:r>
              <w:rPr>
                <w:b/>
                <w:sz w:val="17"/>
              </w:rPr>
              <w:t>Niveau</w:t>
            </w:r>
          </w:p>
        </w:tc>
      </w:tr>
      <w:tr>
        <w:tc>
          <w:tcPr>
            <w:tcW w:type="dxa" w:w="2880"/>
          </w:tcPr>
          <w:p>
            <w:r>
              <w:rPr>
                <w:sz w:val="17"/>
              </w:rPr>
            </w:r>
            <w:r>
              <w:rPr>
                <w:sz w:val="17"/>
              </w:rPr>
              <w:t>PA-2 — Commitments and Planning</w:t>
            </w:r>
          </w:p>
        </w:tc>
        <w:tc>
          <w:tcPr>
            <w:tcW w:type="dxa" w:w="2880"/>
          </w:tcPr>
          <w:p>
            <w:r>
              <w:rPr>
                <w:sz w:val="17"/>
              </w:rPr>
            </w:r>
            <w:r>
              <w:rPr>
                <w:sz w:val="17"/>
              </w:rPr>
              <w:t>6 / 6</w:t>
            </w:r>
          </w:p>
        </w:tc>
        <w:tc>
          <w:tcPr>
            <w:tcW w:type="dxa" w:w="2880"/>
          </w:tcPr>
          <w:p>
            <w:r>
              <w:rPr>
                <w:sz w:val="17"/>
              </w:rPr>
            </w:r>
            <w:r>
              <w:rPr>
                <w:sz w:val="17"/>
              </w:rPr>
              <w:t>maximal (tous les points obtenus)</w:t>
            </w:r>
          </w:p>
        </w:tc>
      </w:tr>
    </w:tbl>
    <w:p/>
    <w:p>
      <w:r>
        <w:rPr>
          <w:i/>
        </w:rPr>
        <w:t>Valeurs insérées par le code depuis la table des faits ; le texte ci-dessous est rédigé par le modèle puis validé.</w:t>
      </w:r>
    </w:p>
    <w:p>
      <w:r>
        <w:t>Ces domaines sont fixés par STARS et sont identiques pour toutes les institutions.</w:t>
      </w:r>
    </w:p>
    <w:p>
      <w:pPr>
        <w:pStyle w:val="Heading2"/>
      </w:pPr>
      <w:r>
        <w:rPr>
          <w:color w:val="2F6F5E"/>
        </w:rPr>
        <w:t>Gestion des thèmes matériels</w:t>
      </w:r>
    </w:p>
    <w:p>
      <w:r>
        <w:t>Le Student Environmental Resource Center (SERC) de l'université a adopté un plan stratégique 2017-2022 qui inclut des objectifs mesurables, tels que l'expansion de l'accès et des opportunités de formation co-curriculaires et le développement de voies institutionnelles pour les clubs et les groupes étudiants pour accroître leur engagement intersectionnel avec le Centre de ressources environnementales (SERC). Le plan stratégique comprend également des objectifs stratégiques sous le but de renforcer les programmes et les ressources pour approfondir l'engagement dans la communauté de la durabilité.</w:t>
      </w:r>
    </w:p>
    <w:p>
      <w:r>
        <w:t>L'université a aussi publié un plan de durabilité (Sustainability Plan), avec des objectifs pour l'énergie, l'eau, les déchets, l'alimentation durable et la biodiversité, et un plan d'action climat (Climate Action Plan). Elle suit la politique de pratiques durables (Sustainable Practices Policy) du système UC, qui demande à tous les sites UC de réduire toutes leurs émissions d'au moins 90 % d'ici 2045 et d'éliminer les émissions restantes par des crédits de captage et de stockage du carbone.</w:t>
      </w:r>
    </w:p>
    <w:p>
      <w:pPr>
        <w:pStyle w:val="Heading1"/>
      </w:pPr>
      <w:r>
        <w:rPr>
          <w:color w:val="2F6F5E"/>
        </w:rPr>
        <w:t>Gouvernance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Crédit STARS</w:t>
            </w:r>
          </w:p>
        </w:tc>
        <w:tc>
          <w:tcPr>
            <w:tcW w:type="dxa" w:w="2880"/>
          </w:tcPr>
          <w:p>
            <w:r>
              <w:rPr>
                <w:b/>
                <w:sz w:val="17"/>
              </w:rPr>
            </w:r>
            <w:r>
              <w:rPr>
                <w:b/>
                <w:sz w:val="17"/>
              </w:rPr>
              <w:t>Points obtenus</w:t>
            </w:r>
          </w:p>
        </w:tc>
        <w:tc>
          <w:tcPr>
            <w:tcW w:type="dxa" w:w="2880"/>
          </w:tcPr>
          <w:p>
            <w:r>
              <w:rPr>
                <w:b/>
                <w:sz w:val="17"/>
              </w:rPr>
            </w:r>
            <w:r>
              <w:rPr>
                <w:b/>
                <w:sz w:val="17"/>
              </w:rPr>
              <w:t>Niveau</w:t>
            </w:r>
          </w:p>
        </w:tc>
      </w:tr>
      <w:tr>
        <w:tc>
          <w:tcPr>
            <w:tcW w:type="dxa" w:w="2880"/>
          </w:tcPr>
          <w:p>
            <w:r>
              <w:rPr>
                <w:sz w:val="17"/>
              </w:rPr>
            </w:r>
            <w:r>
              <w:rPr>
                <w:sz w:val="17"/>
              </w:rPr>
              <w:t>PA-1 — Sustainability Coordination</w:t>
            </w:r>
          </w:p>
        </w:tc>
        <w:tc>
          <w:tcPr>
            <w:tcW w:type="dxa" w:w="2880"/>
          </w:tcPr>
          <w:p>
            <w:r>
              <w:rPr>
                <w:sz w:val="17"/>
              </w:rPr>
            </w:r>
            <w:r>
              <w:rPr>
                <w:sz w:val="17"/>
              </w:rPr>
              <w:t>1 / 1</w:t>
            </w:r>
          </w:p>
        </w:tc>
        <w:tc>
          <w:tcPr>
            <w:tcW w:type="dxa" w:w="2880"/>
          </w:tcPr>
          <w:p>
            <w:r>
              <w:rPr>
                <w:sz w:val="17"/>
              </w:rPr>
            </w:r>
            <w:r>
              <w:rPr>
                <w:sz w:val="17"/>
              </w:rPr>
              <w:t>maximal (tous les points obtenus)</w:t>
            </w:r>
          </w:p>
        </w:tc>
      </w:tr>
      <w:tr>
        <w:tc>
          <w:tcPr>
            <w:tcW w:type="dxa" w:w="2880"/>
          </w:tcPr>
          <w:p>
            <w:r>
              <w:rPr>
                <w:sz w:val="17"/>
              </w:rPr>
            </w:r>
            <w:r>
              <w:rPr>
                <w:sz w:val="17"/>
              </w:rPr>
              <w:t>PA-3 — Institutional Governance</w:t>
            </w:r>
          </w:p>
        </w:tc>
        <w:tc>
          <w:tcPr>
            <w:tcW w:type="dxa" w:w="2880"/>
          </w:tcPr>
          <w:p>
            <w:r>
              <w:rPr>
                <w:sz w:val="17"/>
              </w:rPr>
            </w:r>
            <w:r>
              <w:rPr>
                <w:sz w:val="17"/>
              </w:rPr>
              <w:t>3,5 / 4</w:t>
            </w:r>
          </w:p>
        </w:tc>
        <w:tc>
          <w:tcPr>
            <w:tcW w:type="dxa" w:w="2880"/>
          </w:tcPr>
          <w:p>
            <w:r>
              <w:rPr>
                <w:sz w:val="17"/>
              </w:rPr>
            </w:r>
            <w:r>
              <w:rPr>
                <w:sz w:val="17"/>
              </w:rPr>
              <w:t>élevé</w:t>
            </w:r>
          </w:p>
        </w:tc>
      </w:tr>
      <w:tr>
        <w:tc>
          <w:tcPr>
            <w:tcW w:type="dxa" w:w="2880"/>
          </w:tcPr>
          <w:p>
            <w:r>
              <w:rPr>
                <w:sz w:val="17"/>
              </w:rPr>
            </w:r>
            <w:r>
              <w:rPr>
                <w:sz w:val="17"/>
              </w:rPr>
              <w:t>PA-4 — Sustainable Investment Program</w:t>
            </w:r>
          </w:p>
        </w:tc>
        <w:tc>
          <w:tcPr>
            <w:tcW w:type="dxa" w:w="2880"/>
          </w:tcPr>
          <w:p>
            <w:r>
              <w:rPr>
                <w:sz w:val="17"/>
              </w:rPr>
            </w:r>
            <w:r>
              <w:rPr>
                <w:sz w:val="17"/>
              </w:rPr>
              <w:t>4 / 4</w:t>
            </w:r>
          </w:p>
        </w:tc>
        <w:tc>
          <w:tcPr>
            <w:tcW w:type="dxa" w:w="2880"/>
          </w:tcPr>
          <w:p>
            <w:r>
              <w:rPr>
                <w:sz w:val="17"/>
              </w:rPr>
            </w:r>
            <w:r>
              <w:rPr>
                <w:sz w:val="17"/>
              </w:rPr>
              <w:t>maximal (tous les points obtenus)</w:t>
            </w:r>
          </w:p>
        </w:tc>
      </w:tr>
      <w:tr>
        <w:tc>
          <w:tcPr>
            <w:tcW w:type="dxa" w:w="2880"/>
          </w:tcPr>
          <w:p>
            <w:r>
              <w:rPr>
                <w:sz w:val="17"/>
              </w:rPr>
            </w:r>
            <w:r>
              <w:rPr>
                <w:sz w:val="17"/>
              </w:rPr>
              <w:t>PA-5 — Investment Holdings</w:t>
            </w:r>
          </w:p>
        </w:tc>
        <w:tc>
          <w:tcPr>
            <w:tcW w:type="dxa" w:w="2880"/>
          </w:tcPr>
          <w:p>
            <w:r>
              <w:rPr>
                <w:sz w:val="17"/>
              </w:rPr>
            </w:r>
            <w:r>
              <w:rPr>
                <w:sz w:val="17"/>
              </w:rPr>
              <w:t>2,51 / 6</w:t>
            </w:r>
          </w:p>
        </w:tc>
        <w:tc>
          <w:tcPr>
            <w:tcW w:type="dxa" w:w="2880"/>
          </w:tcPr>
          <w:p>
            <w:r>
              <w:rPr>
                <w:sz w:val="17"/>
              </w:rPr>
            </w:r>
            <w:r>
              <w:rPr>
                <w:sz w:val="17"/>
              </w:rPr>
              <w:t>intermédiaire</w:t>
            </w:r>
          </w:p>
        </w:tc>
      </w:tr>
    </w:tbl>
    <w:p/>
    <w:p>
      <w:r>
        <w:rPr>
          <w:i/>
        </w:rPr>
        <w:t>Valeurs insérées par le code depuis la table des faits ; le texte ci-dessous est rédigé par le modèle puis validé.</w:t>
      </w:r>
    </w:p>
    <w:p>
      <w:r>
        <w:t>L'université de Californie à Berkeley a plusieurs responsables de la durabilité (Sustainability Officers) au Bureau de la durabilité, à Haas et au SERC. L'université de Californie à Berkeley inclut des représentants étudiants dans son organe de décision le plus élevé, le conseil des régents de l'université de Californie. Bien que le conseil des régents gouverne l'ensemble du système de l'université de Californie et non seulement le campus de Berkeley, il exerce l'autorité ultime sur les politiques, les finances et la planification stratégique de l'université de Californie, y compris le campus de Berkeley.</w:t>
      </w:r>
    </w:p>
    <w:p>
      <w:r>
        <w:t>L'université de Californie à Berkeley a plusieurs organes permanents qui permettent au personnel académique de participer à la gouvernance de l'institution. Le principal est la division de Berkeley du Sénat académique, qui fait partie du Sénat académique de l'ensemble du système de l'université de Californie. Ce Sénat fournit aux membres du personnel académique un moyen structuré et démocratique de participer à la gouvernance du campus et à la prise de décision.</w:t>
      </w:r>
    </w:p>
    <w:p>
      <w:r>
        <w:t>L'université de Californie à Berkeley obtient 3,5 points STARS sur 4 au crédit PA-3, niveau élevé.</w:t>
      </w:r>
    </w:p>
    <w:p>
      <w:r>
        <w:t>L'université de Californie à Berkeley obtient 4 points STARS sur 4 au crédit PA-4, niveau maximal.</w:t>
      </w:r>
    </w:p>
    <w:p>
      <w:r>
        <w:t>L'université de Californie à Berkeley obtient 2,51 points STARS sur 6 au crédit PA-5, niveau intermédiaire.</w:t>
      </w:r>
    </w:p>
    <w:p>
      <w:pPr>
        <w:pStyle w:val="Heading2"/>
      </w:pPr>
      <w:r>
        <w:rPr>
          <w:color w:val="2F6F5E"/>
        </w:rPr>
        <w:t>Limites et omissions</w:t>
      </w:r>
    </w:p>
    <w:p>
      <w:r>
        <w:t>Ce rapport ne peut pas établir la composition détaillée de l'organe de gouvernance (GRI 2-9), ni les publications GRI 2-10 à GRI 2-21, que STARS ne couvre pas ou seulement en partie (GRI 2-13 et GRI 2-14).</w:t>
      </w:r>
    </w:p>
    <w:p>
      <w:pPr>
        <w:pStyle w:val="Heading1"/>
      </w:pPr>
      <w:r>
        <w:rPr>
          <w:color w:val="2F6F5E"/>
        </w:rPr>
        <w:t>Stratégie, politiques et pratiques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Crédit STARS</w:t>
            </w:r>
          </w:p>
        </w:tc>
        <w:tc>
          <w:tcPr>
            <w:tcW w:type="dxa" w:w="2880"/>
          </w:tcPr>
          <w:p>
            <w:r>
              <w:rPr>
                <w:b/>
                <w:sz w:val="17"/>
              </w:rPr>
            </w:r>
            <w:r>
              <w:rPr>
                <w:b/>
                <w:sz w:val="17"/>
              </w:rPr>
              <w:t>Points obtenus</w:t>
            </w:r>
          </w:p>
        </w:tc>
        <w:tc>
          <w:tcPr>
            <w:tcW w:type="dxa" w:w="2880"/>
          </w:tcPr>
          <w:p>
            <w:r>
              <w:rPr>
                <w:b/>
                <w:sz w:val="17"/>
              </w:rPr>
            </w:r>
            <w:r>
              <w:rPr>
                <w:b/>
                <w:sz w:val="17"/>
              </w:rPr>
              <w:t>Niveau</w:t>
            </w:r>
          </w:p>
        </w:tc>
      </w:tr>
      <w:tr>
        <w:tc>
          <w:tcPr>
            <w:tcW w:type="dxa" w:w="2880"/>
          </w:tcPr>
          <w:p>
            <w:r>
              <w:rPr>
                <w:sz w:val="17"/>
              </w:rPr>
            </w:r>
            <w:r>
              <w:rPr>
                <w:sz w:val="17"/>
              </w:rPr>
              <w:t>PA-2 — Commitments and Planning</w:t>
            </w:r>
          </w:p>
        </w:tc>
        <w:tc>
          <w:tcPr>
            <w:tcW w:type="dxa" w:w="2880"/>
          </w:tcPr>
          <w:p>
            <w:r>
              <w:rPr>
                <w:sz w:val="17"/>
              </w:rPr>
            </w:r>
            <w:r>
              <w:rPr>
                <w:sz w:val="17"/>
              </w:rPr>
              <w:t>6 / 6</w:t>
            </w:r>
          </w:p>
        </w:tc>
        <w:tc>
          <w:tcPr>
            <w:tcW w:type="dxa" w:w="2880"/>
          </w:tcPr>
          <w:p>
            <w:r>
              <w:rPr>
                <w:sz w:val="17"/>
              </w:rPr>
            </w:r>
            <w:r>
              <w:rPr>
                <w:sz w:val="17"/>
              </w:rPr>
              <w:t>maximal (tous les points obtenus)</w:t>
            </w:r>
          </w:p>
        </w:tc>
      </w:tr>
      <w:tr>
        <w:tc>
          <w:tcPr>
            <w:tcW w:type="dxa" w:w="2880"/>
          </w:tcPr>
          <w:p>
            <w:r>
              <w:rPr>
                <w:sz w:val="17"/>
              </w:rPr>
            </w:r>
            <w:r>
              <w:rPr>
                <w:sz w:val="17"/>
              </w:rPr>
              <w:t>PA-1 — Sustainability Coordination</w:t>
            </w:r>
          </w:p>
        </w:tc>
        <w:tc>
          <w:tcPr>
            <w:tcW w:type="dxa" w:w="2880"/>
          </w:tcPr>
          <w:p>
            <w:r>
              <w:rPr>
                <w:sz w:val="17"/>
              </w:rPr>
            </w:r>
            <w:r>
              <w:rPr>
                <w:sz w:val="17"/>
              </w:rPr>
              <w:t>1 / 1</w:t>
            </w:r>
          </w:p>
        </w:tc>
        <w:tc>
          <w:tcPr>
            <w:tcW w:type="dxa" w:w="2880"/>
          </w:tcPr>
          <w:p>
            <w:r>
              <w:rPr>
                <w:sz w:val="17"/>
              </w:rPr>
            </w:r>
            <w:r>
              <w:rPr>
                <w:sz w:val="17"/>
              </w:rPr>
              <w:t>maximal (tous les points obtenus)</w:t>
            </w:r>
          </w:p>
        </w:tc>
      </w:tr>
      <w:tr>
        <w:tc>
          <w:tcPr>
            <w:tcW w:type="dxa" w:w="2880"/>
          </w:tcPr>
          <w:p>
            <w:r>
              <w:rPr>
                <w:sz w:val="17"/>
              </w:rPr>
            </w:r>
            <w:r>
              <w:rPr>
                <w:sz w:val="17"/>
              </w:rPr>
              <w:t>PA-12 — Employee Rights</w:t>
            </w:r>
          </w:p>
        </w:tc>
        <w:tc>
          <w:tcPr>
            <w:tcW w:type="dxa" w:w="2880"/>
          </w:tcPr>
          <w:p>
            <w:r>
              <w:rPr>
                <w:sz w:val="17"/>
              </w:rPr>
            </w:r>
            <w:r>
              <w:rPr>
                <w:sz w:val="17"/>
              </w:rPr>
              <w:t>2,5 / 3</w:t>
            </w:r>
          </w:p>
        </w:tc>
        <w:tc>
          <w:tcPr>
            <w:tcW w:type="dxa" w:w="2880"/>
          </w:tcPr>
          <w:p>
            <w:r>
              <w:rPr>
                <w:sz w:val="17"/>
              </w:rPr>
            </w:r>
            <w:r>
              <w:rPr>
                <w:sz w:val="17"/>
              </w:rPr>
              <w:t>élevé</w:t>
            </w:r>
          </w:p>
        </w:tc>
      </w:tr>
      <w:tr>
        <w:tc>
          <w:tcPr>
            <w:tcW w:type="dxa" w:w="2880"/>
          </w:tcPr>
          <w:p>
            <w:r>
              <w:rPr>
                <w:sz w:val="17"/>
              </w:rPr>
            </w:r>
            <w:r>
              <w:rPr>
                <w:sz w:val="17"/>
              </w:rPr>
              <w:t>OP-9 — Sustainable Procurement System</w:t>
            </w:r>
          </w:p>
        </w:tc>
        <w:tc>
          <w:tcPr>
            <w:tcW w:type="dxa" w:w="2880"/>
          </w:tcPr>
          <w:p>
            <w:r>
              <w:rPr>
                <w:sz w:val="17"/>
              </w:rPr>
            </w:r>
            <w:r>
              <w:rPr>
                <w:sz w:val="17"/>
              </w:rPr>
              <w:t>7 / 7</w:t>
            </w:r>
          </w:p>
        </w:tc>
        <w:tc>
          <w:tcPr>
            <w:tcW w:type="dxa" w:w="2880"/>
          </w:tcPr>
          <w:p>
            <w:r>
              <w:rPr>
                <w:sz w:val="17"/>
              </w:rPr>
            </w:r>
            <w:r>
              <w:rPr>
                <w:sz w:val="17"/>
              </w:rPr>
              <w:t>maximal (tous les points obtenus)</w:t>
            </w:r>
          </w:p>
        </w:tc>
      </w:tr>
      <w:tr>
        <w:tc>
          <w:tcPr>
            <w:tcW w:type="dxa" w:w="2880"/>
          </w:tcPr>
          <w:p>
            <w:r>
              <w:rPr>
                <w:sz w:val="17"/>
              </w:rPr>
            </w:r>
            <w:r>
              <w:rPr>
                <w:sz w:val="17"/>
              </w:rPr>
              <w:t>EN-3 — Staff Engagement and Training</w:t>
            </w:r>
          </w:p>
        </w:tc>
        <w:tc>
          <w:tcPr>
            <w:tcW w:type="dxa" w:w="2880"/>
          </w:tcPr>
          <w:p>
            <w:r>
              <w:rPr>
                <w:sz w:val="17"/>
              </w:rPr>
            </w:r>
            <w:r>
              <w:rPr>
                <w:sz w:val="17"/>
              </w:rPr>
              <w:t>8 / 8</w:t>
            </w:r>
          </w:p>
        </w:tc>
        <w:tc>
          <w:tcPr>
            <w:tcW w:type="dxa" w:w="2880"/>
          </w:tcPr>
          <w:p>
            <w:r>
              <w:rPr>
                <w:sz w:val="17"/>
              </w:rPr>
            </w:r>
            <w:r>
              <w:rPr>
                <w:sz w:val="17"/>
              </w:rPr>
              <w:t>maximal (tous les points obtenus)</w:t>
            </w:r>
          </w:p>
        </w:tc>
      </w:tr>
    </w:tbl>
    <w:p/>
    <w:p>
      <w:r>
        <w:rPr>
          <w:i/>
        </w:rPr>
        <w:t>Valeurs insérées par le code depuis la table des faits ; le texte ci-dessous est rédigé par le modèle puis validé.</w:t>
      </w:r>
    </w:p>
    <w:p>
      <w:r>
        <w:t>L'Université de Californie à Berkeley (UC Berkeley) a publié un plan de durabilité (Sustainability Plan) et un plan d'action climat (Climate Action Plan). Son centre étudiant, le Student Environmental Resource Center (SERC), a adopté un plan stratégique qui vise à renforcer les programmes et les ressources pour approfondir l'engagement dans la communauté de la durabilité, et qui inclut des objectifs mesurables tels que l'expansion des opportunités de formation co-curriculaire et le développement de voies institutionnelles pour les clubs et les groupes étudiants pour accroître l'engagement intersectionnel avec le SERC.</w:t>
      </w:r>
    </w:p>
    <w:p>
      <w:r>
        <w:t>L'UC Berkeley est signataire du Climate Leadership Commitments de Second Nature, qui inclut le Carbon Commitment. Cette déclaration externe renforce l'engagement de l'université à réduire les émissions de carbone et à renforcer la résilience face au changement climatique.</w:t>
      </w:r>
    </w:p>
    <w:p>
      <w:r>
        <w:t>L'Office de la durabilité de l'UC Berkeley est dirigé par une équipe dédiée qui se consacre à avancer les objectifs de durabilité de l'université et à satisfaire ses engagements climatiques. Cette équipe, dirigée par le responsable de la durabilité et des solutions au carbone, collabore avec les départements et les parties prenantes de l'UC Berkeley pour développer des stratégies qui réduisent les émissions de gaz à effet de serre, améliorent l'achat durable et favorisent la responsabilité environnementale dans les opérations quotidiennes.</w:t>
      </w:r>
    </w:p>
    <w:p>
      <w:r>
        <w:t>L'UC Berkeley a une section dédiée sur son site web des ressources humaines qui expose les politiques liées aux droits des salariés, notamment le traitement équitable, les procédures de réclamation et l'équilibre vie professionnelle. Ces politiques couvrent des domaines tels que la lutte contre les discriminations, la protection des lanceurs d'alerte et les avantages pour les salariés, offrant ainsi une vue transparente des droits et du soutien offerts aux salariés.</w:t>
      </w:r>
    </w:p>
    <w:p>
      <w:r>
        <w:t>L'université de Californie a également établi un Code des valeurs et des normes de conduite éthique qui s'applique à tous les campus de l'université, y compris Berkeley. Ce code met en avant l'engagement de l'université envers l'intégrité, le respect et la responsabilité dans ses relations avec les salariés.</w:t>
      </w:r>
    </w:p>
    <w:p>
      <w:pPr>
        <w:pStyle w:val="Heading2"/>
      </w:pPr>
      <w:r>
        <w:rPr>
          <w:color w:val="2F6F5E"/>
        </w:rPr>
        <w:t>Limites et omissions</w:t>
      </w:r>
    </w:p>
    <w:p>
      <w:r>
        <w:t>Ce rapport ne peut pas établir les engagements politiques de l'UC Berkeley en ce qui concerne les droits humains et le devoir de vigilance, car STARS ne couvre pas ces aspects. De plus, STARS ne collecte pas les informations sur les mécanismes de demande de conseil et de signalement pour les personnes en relation d'affaires, ce qui constitue également un domaine non couvert par le rapport.</w:t>
      </w:r>
    </w:p>
    <w:p>
      <w:r>
        <w:t>(GRI 2-22, GRI 2-23, GRI 2-26)</w:t>
      </w:r>
    </w:p>
    <w:p>
      <w:pPr>
        <w:pStyle w:val="Heading1"/>
      </w:pPr>
      <w:r>
        <w:rPr>
          <w:color w:val="2F6F5E"/>
        </w:rPr>
        <w:t>Engagement des parties prenantes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Crédit STARS</w:t>
            </w:r>
          </w:p>
        </w:tc>
        <w:tc>
          <w:tcPr>
            <w:tcW w:type="dxa" w:w="2880"/>
          </w:tcPr>
          <w:p>
            <w:r>
              <w:rPr>
                <w:b/>
                <w:sz w:val="17"/>
              </w:rPr>
            </w:r>
            <w:r>
              <w:rPr>
                <w:b/>
                <w:sz w:val="17"/>
              </w:rPr>
              <w:t>Points obtenus</w:t>
            </w:r>
          </w:p>
        </w:tc>
        <w:tc>
          <w:tcPr>
            <w:tcW w:type="dxa" w:w="2880"/>
          </w:tcPr>
          <w:p>
            <w:r>
              <w:rPr>
                <w:b/>
                <w:sz w:val="17"/>
              </w:rPr>
            </w:r>
            <w:r>
              <w:rPr>
                <w:b/>
                <w:sz w:val="17"/>
              </w:rPr>
              <w:t>Niveau</w:t>
            </w:r>
          </w:p>
        </w:tc>
      </w:tr>
      <w:tr>
        <w:tc>
          <w:tcPr>
            <w:tcW w:type="dxa" w:w="2880"/>
          </w:tcPr>
          <w:p>
            <w:r>
              <w:rPr>
                <w:sz w:val="17"/>
              </w:rPr>
            </w:r>
            <w:r>
              <w:rPr>
                <w:sz w:val="17"/>
              </w:rPr>
              <w:t>PA-3 — Institutional Governance</w:t>
            </w:r>
          </w:p>
        </w:tc>
        <w:tc>
          <w:tcPr>
            <w:tcW w:type="dxa" w:w="2880"/>
          </w:tcPr>
          <w:p>
            <w:r>
              <w:rPr>
                <w:sz w:val="17"/>
              </w:rPr>
            </w:r>
            <w:r>
              <w:rPr>
                <w:sz w:val="17"/>
              </w:rPr>
              <w:t>3,5 / 4</w:t>
            </w:r>
          </w:p>
        </w:tc>
        <w:tc>
          <w:tcPr>
            <w:tcW w:type="dxa" w:w="2880"/>
          </w:tcPr>
          <w:p>
            <w:r>
              <w:rPr>
                <w:sz w:val="17"/>
              </w:rPr>
            </w:r>
            <w:r>
              <w:rPr>
                <w:sz w:val="17"/>
              </w:rPr>
              <w:t>élevé</w:t>
            </w:r>
          </w:p>
        </w:tc>
      </w:tr>
      <w:tr>
        <w:tc>
          <w:tcPr>
            <w:tcW w:type="dxa" w:w="2880"/>
          </w:tcPr>
          <w:p>
            <w:r>
              <w:rPr>
                <w:sz w:val="17"/>
              </w:rPr>
            </w:r>
            <w:r>
              <w:rPr>
                <w:sz w:val="17"/>
              </w:rPr>
              <w:t>EN-5 — Civic Engagement</w:t>
            </w:r>
          </w:p>
        </w:tc>
        <w:tc>
          <w:tcPr>
            <w:tcW w:type="dxa" w:w="2880"/>
          </w:tcPr>
          <w:p>
            <w:r>
              <w:rPr>
                <w:sz w:val="17"/>
              </w:rPr>
            </w:r>
            <w:r>
              <w:rPr>
                <w:sz w:val="17"/>
              </w:rPr>
              <w:t>8 / 8</w:t>
            </w:r>
          </w:p>
        </w:tc>
        <w:tc>
          <w:tcPr>
            <w:tcW w:type="dxa" w:w="2880"/>
          </w:tcPr>
          <w:p>
            <w:r>
              <w:rPr>
                <w:sz w:val="17"/>
              </w:rPr>
            </w:r>
            <w:r>
              <w:rPr>
                <w:sz w:val="17"/>
              </w:rPr>
              <w:t>maximal (tous les points obtenus)</w:t>
            </w:r>
          </w:p>
        </w:tc>
      </w:tr>
      <w:tr>
        <w:tc>
          <w:tcPr>
            <w:tcW w:type="dxa" w:w="2880"/>
          </w:tcPr>
          <w:p>
            <w:r>
              <w:rPr>
                <w:sz w:val="17"/>
              </w:rPr>
            </w:r>
            <w:r>
              <w:rPr>
                <w:sz w:val="17"/>
              </w:rPr>
              <w:t>EN-6 — Community Partnerships</w:t>
            </w:r>
          </w:p>
        </w:tc>
        <w:tc>
          <w:tcPr>
            <w:tcW w:type="dxa" w:w="2880"/>
          </w:tcPr>
          <w:p>
            <w:r>
              <w:rPr>
                <w:sz w:val="17"/>
              </w:rPr>
            </w:r>
            <w:r>
              <w:rPr>
                <w:sz w:val="17"/>
              </w:rPr>
              <w:t>9 / 9</w:t>
            </w:r>
          </w:p>
        </w:tc>
        <w:tc>
          <w:tcPr>
            <w:tcW w:type="dxa" w:w="2880"/>
          </w:tcPr>
          <w:p>
            <w:r>
              <w:rPr>
                <w:sz w:val="17"/>
              </w:rPr>
            </w:r>
            <w:r>
              <w:rPr>
                <w:sz w:val="17"/>
              </w:rPr>
              <w:t>maximal (tous les points obtenus)</w:t>
            </w:r>
          </w:p>
        </w:tc>
      </w:tr>
      <w:tr>
        <w:tc>
          <w:tcPr>
            <w:tcW w:type="dxa" w:w="2880"/>
          </w:tcPr>
          <w:p>
            <w:r>
              <w:rPr>
                <w:sz w:val="17"/>
              </w:rPr>
            </w:r>
            <w:r>
              <w:rPr>
                <w:sz w:val="17"/>
              </w:rPr>
              <w:t>PA-12 — Employee Rights</w:t>
            </w:r>
          </w:p>
        </w:tc>
        <w:tc>
          <w:tcPr>
            <w:tcW w:type="dxa" w:w="2880"/>
          </w:tcPr>
          <w:p>
            <w:r>
              <w:rPr>
                <w:sz w:val="17"/>
              </w:rPr>
            </w:r>
            <w:r>
              <w:rPr>
                <w:sz w:val="17"/>
              </w:rPr>
              <w:t>2,5 / 3</w:t>
            </w:r>
          </w:p>
        </w:tc>
        <w:tc>
          <w:tcPr>
            <w:tcW w:type="dxa" w:w="2880"/>
          </w:tcPr>
          <w:p>
            <w:r>
              <w:rPr>
                <w:sz w:val="17"/>
              </w:rPr>
            </w:r>
            <w:r>
              <w:rPr>
                <w:sz w:val="17"/>
              </w:rPr>
              <w:t>élevé</w:t>
            </w:r>
          </w:p>
        </w:tc>
      </w:tr>
    </w:tbl>
    <w:p/>
    <w:p>
      <w:r>
        <w:rPr>
          <w:i/>
        </w:rPr>
        <w:t>Valeurs insérées par le code depuis la table des faits ; le texte ci-dessous est rédigé par le modèle puis validé.</w:t>
      </w:r>
    </w:p>
    <w:p>
      <w:r>
        <w:t>L'engagement des parties prenantes est un aspect clé de la stratégie de l'University of California, Berkeley. Le rapport STARS indique que l'université a mis en place des comités consultatifs pour l'engagement communautaire, qui impliquent des membres de la communauté locale, notamment dans les domaines de la santé publique, de la durabilité et de la justice sociale.</w:t>
      </w:r>
    </w:p>
    <w:p>
      <w:r>
        <w:t>Ces instances donnent aux organisations communautaires un forum pour donner leur avis sur les politiques et les initiatives de l'université qui touchent la population locale. Les étudiants sont représentés au CACS, où plusieurs organisations étudiantes et services ont chacun un siège et une voix, et le personnel non académique participe à la gouvernance par des comités consultatifs comme le Chancellor's Staff Advisory Committee (CSAC).</w:t>
      </w:r>
    </w:p>
    <w:p>
      <w:r>
        <w:t>L'université a également mis en place des partenariats avec la communauté, tels que le programme College Corps, partenariat de l'État de Californie financé par California Volunteers, par lequel le Public Service Center a placé des étudiants de premier cycle dans des partenariats de justice climatique ou alimentaire avec des organisations locales.</w:t>
      </w:r>
    </w:p>
    <w:p>
      <w:r>
        <w:t>Enfin, l'université a mis en place des politiques pour protéger les droits des salariés, notamment en matière de traitement équitable, de procédures de réclamation et d'équilibre vie professionnelle/vie personnelle.</w:t>
      </w:r>
    </w:p>
    <w:p>
      <w:r>
        <w:t>(GRI 2-29)</w:t>
      </w:r>
    </w:p>
    <w:p>
      <w:pPr>
        <w:pStyle w:val="Heading2"/>
      </w:pPr>
      <w:r>
        <w:rPr>
          <w:color w:val="2F6F5E"/>
        </w:rPr>
        <w:t>Limites et omissions</w:t>
      </w:r>
    </w:p>
    <w:p>
      <w:r>
        <w:t>Ce rapport ne peut pas établir les informations sur les fournisseurs de l'université, les groupes vulnérables ou la méthode d'identification des parties prenantes.</w:t>
      </w:r>
    </w:p>
    <w:p>
      <w:pPr>
        <w:pStyle w:val="Heading1"/>
      </w:pPr>
      <w:r>
        <w:rPr>
          <w:color w:val="2F6F5E"/>
        </w:rPr>
        <w:t>Performance environnementale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Crédit STARS</w:t>
            </w:r>
          </w:p>
        </w:tc>
        <w:tc>
          <w:tcPr>
            <w:tcW w:type="dxa" w:w="2880"/>
          </w:tcPr>
          <w:p>
            <w:r>
              <w:rPr>
                <w:b/>
                <w:sz w:val="17"/>
              </w:rPr>
            </w:r>
            <w:r>
              <w:rPr>
                <w:b/>
                <w:sz w:val="17"/>
              </w:rPr>
              <w:t>Points obtenus</w:t>
            </w:r>
          </w:p>
        </w:tc>
        <w:tc>
          <w:tcPr>
            <w:tcW w:type="dxa" w:w="2880"/>
          </w:tcPr>
          <w:p>
            <w:r>
              <w:rPr>
                <w:b/>
                <w:sz w:val="17"/>
              </w:rPr>
            </w:r>
            <w:r>
              <w:rPr>
                <w:b/>
                <w:sz w:val="17"/>
              </w:rPr>
              <w:t>Niveau</w:t>
            </w:r>
          </w:p>
        </w:tc>
      </w:tr>
      <w:tr>
        <w:tc>
          <w:tcPr>
            <w:tcW w:type="dxa" w:w="2880"/>
          </w:tcPr>
          <w:p>
            <w:r>
              <w:rPr>
                <w:sz w:val="17"/>
              </w:rPr>
            </w:r>
            <w:r>
              <w:rPr>
                <w:sz w:val="17"/>
              </w:rPr>
              <w:t>OP-5 — Energy Use</w:t>
            </w:r>
          </w:p>
        </w:tc>
        <w:tc>
          <w:tcPr>
            <w:tcW w:type="dxa" w:w="2880"/>
          </w:tcPr>
          <w:p>
            <w:r>
              <w:rPr>
                <w:sz w:val="17"/>
              </w:rPr>
            </w:r>
            <w:r>
              <w:rPr>
                <w:sz w:val="17"/>
              </w:rPr>
              <w:t>6,87 / 10</w:t>
            </w:r>
          </w:p>
        </w:tc>
        <w:tc>
          <w:tcPr>
            <w:tcW w:type="dxa" w:w="2880"/>
          </w:tcPr>
          <w:p>
            <w:r>
              <w:rPr>
                <w:sz w:val="17"/>
              </w:rPr>
            </w:r>
            <w:r>
              <w:rPr>
                <w:sz w:val="17"/>
              </w:rPr>
              <w:t>intermédiaire</w:t>
            </w:r>
          </w:p>
        </w:tc>
      </w:tr>
      <w:tr>
        <w:tc>
          <w:tcPr>
            <w:tcW w:type="dxa" w:w="2880"/>
          </w:tcPr>
          <w:p>
            <w:r>
              <w:rPr>
                <w:sz w:val="17"/>
              </w:rPr>
            </w:r>
            <w:r>
              <w:rPr>
                <w:sz w:val="17"/>
              </w:rPr>
              <w:t>OP-6 — Greenhouse Gas Emissions</w:t>
            </w:r>
          </w:p>
        </w:tc>
        <w:tc>
          <w:tcPr>
            <w:tcW w:type="dxa" w:w="2880"/>
          </w:tcPr>
          <w:p>
            <w:r>
              <w:rPr>
                <w:sz w:val="17"/>
              </w:rPr>
            </w:r>
            <w:r>
              <w:rPr>
                <w:sz w:val="17"/>
              </w:rPr>
              <w:t>8,01 / 16</w:t>
            </w:r>
          </w:p>
        </w:tc>
        <w:tc>
          <w:tcPr>
            <w:tcW w:type="dxa" w:w="2880"/>
          </w:tcPr>
          <w:p>
            <w:r>
              <w:rPr>
                <w:sz w:val="17"/>
              </w:rPr>
            </w:r>
            <w:r>
              <w:rPr>
                <w:sz w:val="17"/>
              </w:rPr>
              <w:t>intermédiaire</w:t>
            </w:r>
          </w:p>
        </w:tc>
      </w:tr>
      <w:tr>
        <w:tc>
          <w:tcPr>
            <w:tcW w:type="dxa" w:w="2880"/>
          </w:tcPr>
          <w:p>
            <w:r>
              <w:rPr>
                <w:sz w:val="17"/>
              </w:rPr>
            </w:r>
            <w:r>
              <w:rPr>
                <w:sz w:val="17"/>
              </w:rPr>
              <w:t>OP-3 — Water Use</w:t>
            </w:r>
          </w:p>
        </w:tc>
        <w:tc>
          <w:tcPr>
            <w:tcW w:type="dxa" w:w="2880"/>
          </w:tcPr>
          <w:p>
            <w:r>
              <w:rPr>
                <w:sz w:val="17"/>
              </w:rPr>
            </w:r>
            <w:r>
              <w:rPr>
                <w:sz w:val="17"/>
              </w:rPr>
              <w:t>2,43 / 7</w:t>
            </w:r>
          </w:p>
        </w:tc>
        <w:tc>
          <w:tcPr>
            <w:tcW w:type="dxa" w:w="2880"/>
          </w:tcPr>
          <w:p>
            <w:r>
              <w:rPr>
                <w:sz w:val="17"/>
              </w:rPr>
            </w:r>
            <w:r>
              <w:rPr>
                <w:sz w:val="17"/>
              </w:rPr>
              <w:t>faible</w:t>
            </w:r>
          </w:p>
        </w:tc>
      </w:tr>
      <w:tr>
        <w:tc>
          <w:tcPr>
            <w:tcW w:type="dxa" w:w="2880"/>
          </w:tcPr>
          <w:p>
            <w:r>
              <w:rPr>
                <w:sz w:val="17"/>
              </w:rPr>
            </w:r>
            <w:r>
              <w:rPr>
                <w:sz w:val="17"/>
              </w:rPr>
              <w:t>OP-12 — Waste Generation and Recovery</w:t>
            </w:r>
          </w:p>
        </w:tc>
        <w:tc>
          <w:tcPr>
            <w:tcW w:type="dxa" w:w="2880"/>
          </w:tcPr>
          <w:p>
            <w:r>
              <w:rPr>
                <w:sz w:val="17"/>
              </w:rPr>
            </w:r>
            <w:r>
              <w:rPr>
                <w:sz w:val="17"/>
              </w:rPr>
              <w:t>3,27 / 5</w:t>
            </w:r>
          </w:p>
        </w:tc>
        <w:tc>
          <w:tcPr>
            <w:tcW w:type="dxa" w:w="2880"/>
          </w:tcPr>
          <w:p>
            <w:r>
              <w:rPr>
                <w:sz w:val="17"/>
              </w:rPr>
            </w:r>
            <w:r>
              <w:rPr>
                <w:sz w:val="17"/>
              </w:rPr>
              <w:t>intermédiaire</w:t>
            </w:r>
          </w:p>
        </w:tc>
      </w:tr>
      <w:tr>
        <w:tc>
          <w:tcPr>
            <w:tcW w:type="dxa" w:w="2880"/>
          </w:tcPr>
          <w:p>
            <w:r>
              <w:rPr>
                <w:sz w:val="17"/>
              </w:rPr>
            </w:r>
            <w:r>
              <w:rPr>
                <w:sz w:val="17"/>
              </w:rPr>
              <w:t>OP-11 — Materials Management</w:t>
            </w:r>
          </w:p>
        </w:tc>
        <w:tc>
          <w:tcPr>
            <w:tcW w:type="dxa" w:w="2880"/>
          </w:tcPr>
          <w:p>
            <w:r>
              <w:rPr>
                <w:sz w:val="17"/>
              </w:rPr>
            </w:r>
            <w:r>
              <w:rPr>
                <w:sz w:val="17"/>
              </w:rPr>
              <w:t>3,75 / 4</w:t>
            </w:r>
          </w:p>
        </w:tc>
        <w:tc>
          <w:tcPr>
            <w:tcW w:type="dxa" w:w="2880"/>
          </w:tcPr>
          <w:p>
            <w:r>
              <w:rPr>
                <w:sz w:val="17"/>
              </w:rPr>
            </w:r>
            <w:r>
              <w:rPr>
                <w:sz w:val="17"/>
              </w:rPr>
              <w:t>élevé</w:t>
            </w:r>
          </w:p>
        </w:tc>
      </w:tr>
      <w:tr>
        <w:tc>
          <w:tcPr>
            <w:tcW w:type="dxa" w:w="2880"/>
          </w:tcPr>
          <w:p>
            <w:r>
              <w:rPr>
                <w:sz w:val="17"/>
              </w:rPr>
            </w:r>
            <w:r>
              <w:rPr>
                <w:sz w:val="17"/>
              </w:rPr>
              <w:t>OP-9 — Sustainable Procurement System</w:t>
            </w:r>
          </w:p>
        </w:tc>
        <w:tc>
          <w:tcPr>
            <w:tcW w:type="dxa" w:w="2880"/>
          </w:tcPr>
          <w:p>
            <w:r>
              <w:rPr>
                <w:sz w:val="17"/>
              </w:rPr>
            </w:r>
            <w:r>
              <w:rPr>
                <w:sz w:val="17"/>
              </w:rPr>
              <w:t>7 / 7</w:t>
            </w:r>
          </w:p>
        </w:tc>
        <w:tc>
          <w:tcPr>
            <w:tcW w:type="dxa" w:w="2880"/>
          </w:tcPr>
          <w:p>
            <w:r>
              <w:rPr>
                <w:sz w:val="17"/>
              </w:rPr>
            </w:r>
            <w:r>
              <w:rPr>
                <w:sz w:val="17"/>
              </w:rPr>
              <w:t>maximal (tous les points obtenus)</w:t>
            </w:r>
          </w:p>
        </w:tc>
      </w:tr>
      <w:tr>
        <w:tc>
          <w:tcPr>
            <w:tcW w:type="dxa" w:w="2880"/>
          </w:tcPr>
          <w:p>
            <w:r>
              <w:rPr>
                <w:sz w:val="17"/>
              </w:rPr>
            </w:r>
            <w:r>
              <w:rPr>
                <w:sz w:val="17"/>
              </w:rPr>
              <w:t>OP-10 — Purchased Goods</w:t>
            </w:r>
          </w:p>
        </w:tc>
        <w:tc>
          <w:tcPr>
            <w:tcW w:type="dxa" w:w="2880"/>
          </w:tcPr>
          <w:p>
            <w:r>
              <w:rPr>
                <w:sz w:val="17"/>
              </w:rPr>
            </w:r>
            <w:r>
              <w:rPr>
                <w:sz w:val="17"/>
              </w:rPr>
              <w:t>2,8 / 4</w:t>
            </w:r>
          </w:p>
        </w:tc>
        <w:tc>
          <w:tcPr>
            <w:tcW w:type="dxa" w:w="2880"/>
          </w:tcPr>
          <w:p>
            <w:r>
              <w:rPr>
                <w:sz w:val="17"/>
              </w:rPr>
            </w:r>
            <w:r>
              <w:rPr>
                <w:sz w:val="17"/>
              </w:rPr>
              <w:t>intermédiaire</w:t>
            </w:r>
          </w:p>
        </w:tc>
      </w:tr>
      <w:tr>
        <w:tc>
          <w:tcPr>
            <w:tcW w:type="dxa" w:w="2880"/>
          </w:tcPr>
          <w:p>
            <w:r>
              <w:rPr>
                <w:sz w:val="17"/>
              </w:rPr>
            </w:r>
            <w:r>
              <w:rPr>
                <w:sz w:val="17"/>
              </w:rPr>
              <w:t>OP-1 — Building Design and Construction</w:t>
            </w:r>
          </w:p>
        </w:tc>
        <w:tc>
          <w:tcPr>
            <w:tcW w:type="dxa" w:w="2880"/>
          </w:tcPr>
          <w:p>
            <w:r>
              <w:rPr>
                <w:sz w:val="17"/>
              </w:rPr>
            </w:r>
            <w:r>
              <w:rPr>
                <w:sz w:val="17"/>
              </w:rPr>
              <w:t>2,91 / 3</w:t>
            </w:r>
          </w:p>
        </w:tc>
        <w:tc>
          <w:tcPr>
            <w:tcW w:type="dxa" w:w="2880"/>
          </w:tcPr>
          <w:p>
            <w:r>
              <w:rPr>
                <w:sz w:val="17"/>
              </w:rPr>
            </w:r>
            <w:r>
              <w:rPr>
                <w:sz w:val="17"/>
              </w:rPr>
              <w:t>élevé</w:t>
            </w:r>
          </w:p>
        </w:tc>
      </w:tr>
      <w:tr>
        <w:tc>
          <w:tcPr>
            <w:tcW w:type="dxa" w:w="2880"/>
          </w:tcPr>
          <w:p>
            <w:r>
              <w:rPr>
                <w:sz w:val="17"/>
              </w:rPr>
            </w:r>
            <w:r>
              <w:rPr>
                <w:sz w:val="17"/>
              </w:rPr>
              <w:t>OP-2 — Building Operations and Maintenance</w:t>
            </w:r>
          </w:p>
        </w:tc>
        <w:tc>
          <w:tcPr>
            <w:tcW w:type="dxa" w:w="2880"/>
          </w:tcPr>
          <w:p>
            <w:r>
              <w:rPr>
                <w:sz w:val="17"/>
              </w:rPr>
            </w:r>
            <w:r>
              <w:rPr>
                <w:sz w:val="17"/>
              </w:rPr>
              <w:t>4 / 5</w:t>
            </w:r>
          </w:p>
        </w:tc>
        <w:tc>
          <w:tcPr>
            <w:tcW w:type="dxa" w:w="2880"/>
          </w:tcPr>
          <w:p>
            <w:r>
              <w:rPr>
                <w:sz w:val="17"/>
              </w:rPr>
            </w:r>
            <w:r>
              <w:rPr>
                <w:sz w:val="17"/>
              </w:rPr>
              <w:t>élevé</w:t>
            </w:r>
          </w:p>
        </w:tc>
      </w:tr>
      <w:tr>
        <w:tc>
          <w:tcPr>
            <w:tcW w:type="dxa" w:w="2880"/>
          </w:tcPr>
          <w:p>
            <w:r>
              <w:rPr>
                <w:sz w:val="17"/>
              </w:rPr>
            </w:r>
            <w:r>
              <w:rPr>
                <w:sz w:val="17"/>
              </w:rPr>
              <w:t>OP-13 — Vehicle Fleet</w:t>
            </w:r>
          </w:p>
        </w:tc>
        <w:tc>
          <w:tcPr>
            <w:tcW w:type="dxa" w:w="2880"/>
          </w:tcPr>
          <w:p>
            <w:r>
              <w:rPr>
                <w:sz w:val="17"/>
              </w:rPr>
            </w:r>
            <w:r>
              <w:rPr>
                <w:sz w:val="17"/>
              </w:rPr>
              <w:t>0,28 / 2</w:t>
            </w:r>
          </w:p>
        </w:tc>
        <w:tc>
          <w:tcPr>
            <w:tcW w:type="dxa" w:w="2880"/>
          </w:tcPr>
          <w:p>
            <w:r>
              <w:rPr>
                <w:sz w:val="17"/>
              </w:rPr>
            </w:r>
            <w:r>
              <w:rPr>
                <w:sz w:val="17"/>
              </w:rPr>
              <w:t>faible</w:t>
            </w:r>
          </w:p>
        </w:tc>
      </w:tr>
      <w:tr>
        <w:tc>
          <w:tcPr>
            <w:tcW w:type="dxa" w:w="2880"/>
          </w:tcPr>
          <w:p>
            <w:r>
              <w:rPr>
                <w:sz w:val="17"/>
              </w:rPr>
            </w:r>
            <w:r>
              <w:rPr>
                <w:sz w:val="17"/>
              </w:rPr>
              <w:t>OP-14 — Commute Modal Split</w:t>
            </w:r>
          </w:p>
        </w:tc>
        <w:tc>
          <w:tcPr>
            <w:tcW w:type="dxa" w:w="2880"/>
          </w:tcPr>
          <w:p>
            <w:r>
              <w:rPr>
                <w:sz w:val="17"/>
              </w:rPr>
            </w:r>
            <w:r>
              <w:rPr>
                <w:sz w:val="17"/>
              </w:rPr>
              <w:t>4,89 / 6</w:t>
            </w:r>
          </w:p>
        </w:tc>
        <w:tc>
          <w:tcPr>
            <w:tcW w:type="dxa" w:w="2880"/>
          </w:tcPr>
          <w:p>
            <w:r>
              <w:rPr>
                <w:sz w:val="17"/>
              </w:rPr>
            </w:r>
            <w:r>
              <w:rPr>
                <w:sz w:val="17"/>
              </w:rPr>
              <w:t>élevé</w:t>
            </w:r>
          </w:p>
        </w:tc>
      </w:tr>
      <w:tr>
        <w:tc>
          <w:tcPr>
            <w:tcW w:type="dxa" w:w="2880"/>
          </w:tcPr>
          <w:p>
            <w:r>
              <w:rPr>
                <w:sz w:val="17"/>
              </w:rPr>
            </w:r>
            <w:r>
              <w:rPr>
                <w:sz w:val="17"/>
              </w:rPr>
              <w:t>OP-15 — Air Travel</w:t>
            </w:r>
          </w:p>
        </w:tc>
        <w:tc>
          <w:tcPr>
            <w:tcW w:type="dxa" w:w="2880"/>
          </w:tcPr>
          <w:p>
            <w:r>
              <w:rPr>
                <w:sz w:val="17"/>
              </w:rPr>
            </w:r>
            <w:r>
              <w:rPr>
                <w:sz w:val="17"/>
              </w:rPr>
              <w:t>2 / 2</w:t>
            </w:r>
          </w:p>
        </w:tc>
        <w:tc>
          <w:tcPr>
            <w:tcW w:type="dxa" w:w="2880"/>
          </w:tcPr>
          <w:p>
            <w:r>
              <w:rPr>
                <w:sz w:val="17"/>
              </w:rPr>
            </w:r>
            <w:r>
              <w:rPr>
                <w:sz w:val="17"/>
              </w:rPr>
              <w:t>maximal (tous les points obtenus)</w:t>
            </w:r>
          </w:p>
        </w:tc>
      </w:tr>
      <w:tr>
        <w:tc>
          <w:tcPr>
            <w:tcW w:type="dxa" w:w="2880"/>
          </w:tcPr>
          <w:p>
            <w:r>
              <w:rPr>
                <w:sz w:val="17"/>
              </w:rPr>
            </w:r>
            <w:r>
              <w:rPr>
                <w:sz w:val="17"/>
              </w:rPr>
              <w:t>OP-4 — Ecologically Managed Grounds</w:t>
            </w:r>
          </w:p>
        </w:tc>
        <w:tc>
          <w:tcPr>
            <w:tcW w:type="dxa" w:w="2880"/>
          </w:tcPr>
          <w:p>
            <w:r>
              <w:rPr>
                <w:sz w:val="17"/>
              </w:rPr>
            </w:r>
            <w:r>
              <w:rPr>
                <w:sz w:val="17"/>
              </w:rPr>
              <w:t>5 / 5</w:t>
            </w:r>
          </w:p>
        </w:tc>
        <w:tc>
          <w:tcPr>
            <w:tcW w:type="dxa" w:w="2880"/>
          </w:tcPr>
          <w:p>
            <w:r>
              <w:rPr>
                <w:sz w:val="17"/>
              </w:rPr>
            </w:r>
            <w:r>
              <w:rPr>
                <w:sz w:val="17"/>
              </w:rPr>
              <w:t>maximal (tous les points obtenus)</w:t>
            </w:r>
          </w:p>
        </w:tc>
      </w:tr>
      <w:tr>
        <w:tc>
          <w:tcPr>
            <w:tcW w:type="dxa" w:w="2880"/>
          </w:tcPr>
          <w:p>
            <w:r>
              <w:rPr>
                <w:sz w:val="17"/>
              </w:rPr>
            </w:r>
            <w:r>
              <w:rPr>
                <w:sz w:val="17"/>
              </w:rPr>
              <w:t>IL-24 — Biodiversity Assessment</w:t>
            </w:r>
          </w:p>
        </w:tc>
        <w:tc>
          <w:tcPr>
            <w:tcW w:type="dxa" w:w="2880"/>
          </w:tcPr>
          <w:p>
            <w:r>
              <w:rPr>
                <w:sz w:val="17"/>
              </w:rPr>
            </w:r>
            <w:r>
              <w:rPr>
                <w:sz w:val="17"/>
              </w:rPr>
              <w:t>1 / 1</w:t>
            </w:r>
          </w:p>
        </w:tc>
        <w:tc>
          <w:tcPr>
            <w:tcW w:type="dxa" w:w="2880"/>
          </w:tcPr>
          <w:p>
            <w:r>
              <w:rPr>
                <w:sz w:val="17"/>
              </w:rPr>
            </w:r>
            <w:r>
              <w:rPr>
                <w:sz w:val="17"/>
              </w:rPr>
              <w:t>maximal (tous les points obtenus)</w:t>
            </w:r>
          </w:p>
        </w:tc>
      </w:tr>
    </w:tbl>
    <w:p/>
    <w:p>
      <w:r>
        <w:rPr>
          <w:i/>
        </w:rPr>
        <w:t>Valeurs insérées par le code depuis la table des faits ; le texte ci-dessous est rédigé par le modèle puis validé.</w:t>
      </w:r>
    </w:p>
    <w:p>
      <w:pPr>
        <w:pStyle w:val="Heading3"/>
      </w:pPr>
      <w:r>
        <w:rPr>
          <w:color w:val="2F6F5E"/>
        </w:rPr>
        <w:t>Énergie</w:t>
      </w:r>
    </w:p>
    <w:p>
      <w:r>
        <w:t>L'université obtient 6,87 points STARS sur 10 au crédit OP-5, niveau intermédiaire. Une partie de l'électricité du campus provient du programme UC Clean Power : sa part solaire est déclarée comme électricité renouvelable hors site certifiée, et sa part de grande hydraulique comme électricité renouvelable hors site non certifiée.</w:t>
      </w:r>
    </w:p>
    <w:p>
      <w:pPr>
        <w:pStyle w:val="Heading3"/>
      </w:pPr>
      <w:r>
        <w:rPr>
          <w:color w:val="2F6F5E"/>
        </w:rPr>
        <w:t>Émissions de gaz à effet de serre</w:t>
      </w:r>
    </w:p>
    <w:p>
      <w:r>
        <w:t>L'université obtient 8,01 points STARS sur 16 au crédit OP-6, niveau intermédiaire. Dans le cadre du programme Cap and Trade, des crédits de compensation sont répartis chaque année entre les campus selon leurs émissions ; cette année, les instruments de conformité retirés proviennent de projets forestiers aux États-Unis.</w:t>
      </w:r>
    </w:p>
    <w:p>
      <w:pPr>
        <w:pStyle w:val="Heading3"/>
      </w:pPr>
      <w:r>
        <w:rPr>
          <w:color w:val="2F6F5E"/>
        </w:rPr>
        <w:t>Eau</w:t>
      </w:r>
    </w:p>
    <w:p>
      <w:r>
        <w:t>L'université obtient 2,43 points STARS sur 7 au crédit OP-3, niveau faible. Le campus a mis en place un système de récupération d'eau de pluie, notamment au sein de la Haas School of Business.</w:t>
      </w:r>
    </w:p>
    <w:p>
      <w:pPr>
        <w:pStyle w:val="Heading3"/>
      </w:pPr>
      <w:r>
        <w:rPr>
          <w:color w:val="2F6F5E"/>
        </w:rPr>
        <w:t>Déchets</w:t>
      </w:r>
    </w:p>
    <w:p>
      <w:r>
        <w:t>L'université obtient 3,27 points STARS sur 5 au crédit OP-12, niveau intermédiaire.</w:t>
      </w:r>
    </w:p>
    <w:p>
      <w:pPr>
        <w:pStyle w:val="Heading3"/>
      </w:pPr>
      <w:r>
        <w:rPr>
          <w:color w:val="2F6F5E"/>
        </w:rPr>
        <w:t>Matériaux</w:t>
      </w:r>
    </w:p>
    <w:p>
      <w:r>
        <w:t>L'université obtient 3,75 points STARS sur 4 au crédit OP-11, niveau élevé. Le compostage est intégré à tous les circuits de collecte du campus, et les déchets compostables sont envoyés vers une installation de compostage industriel.</w:t>
      </w:r>
    </w:p>
    <w:p>
      <w:pPr>
        <w:pStyle w:val="Heading3"/>
      </w:pPr>
      <w:r>
        <w:rPr>
          <w:color w:val="2F6F5E"/>
        </w:rPr>
        <w:t>Système d'achats durables</w:t>
      </w:r>
    </w:p>
    <w:p>
      <w:r>
        <w:t>L'université obtient 7 points STARS sur 7 au crédit OP-9, niveau maximal. Tous les appels d'offres intègrent des critères de durabilité ; l'université évalue ses fournisseurs avec EcoVadis, et ses lignes directrices d'achats durables visent notamment à réduire les émissions et les impacts carbone de la chaîne d'approvisionnement.</w:t>
      </w:r>
    </w:p>
    <w:p>
      <w:pPr>
        <w:pStyle w:val="Heading3"/>
      </w:pPr>
      <w:r>
        <w:rPr>
          <w:color w:val="2F6F5E"/>
        </w:rPr>
        <w:t>Conception et construction des bâtiments</w:t>
      </w:r>
    </w:p>
    <w:p>
      <w:r>
        <w:t>L'université obtient 2,91 points STARS sur 3 au crédit OP-1, niveau élevé.</w:t>
      </w:r>
    </w:p>
    <w:p>
      <w:pPr>
        <w:pStyle w:val="Heading3"/>
      </w:pPr>
      <w:r>
        <w:rPr>
          <w:color w:val="2F6F5E"/>
        </w:rPr>
        <w:t>Exploitation et maintenance des bâtiments</w:t>
      </w:r>
    </w:p>
    <w:p>
      <w:r>
        <w:t>L'université obtient 4 points STARS sur 5 au crédit OP-2, niveau élevé. De nombreux bâtiments du campus respectent la norme LEED-EBOM (exploitation et maintenance des bâtiments existants), qui met l'accent sur le nettoyage écologique, les matériaux durables, la qualité de l'air et la réduction des déchets.</w:t>
      </w:r>
    </w:p>
    <w:p>
      <w:pPr>
        <w:pStyle w:val="Heading3"/>
      </w:pPr>
      <w:r>
        <w:rPr>
          <w:color w:val="2F6F5E"/>
        </w:rPr>
        <w:t>Flotte de véhicules</w:t>
      </w:r>
    </w:p>
    <w:p>
      <w:r>
        <w:t>L'université obtient 0,28 point STARS sur 2 au crédit OP-13, niveau faible. Plus de 35 % de la flotte du campus est considérée comme verte, véhicules à carburant modulable compris ; les voiturettes électriques non immatriculées ne sont pas comptées dans la flotte.</w:t>
      </w:r>
    </w:p>
    <w:p>
      <w:pPr>
        <w:pStyle w:val="Heading3"/>
      </w:pPr>
      <w:r>
        <w:rPr>
          <w:color w:val="2F6F5E"/>
        </w:rPr>
        <w:t>Modes de déplacement domicile-campus</w:t>
      </w:r>
    </w:p>
    <w:p>
      <w:r>
        <w:t>L'université obtient 4,89 points STARS sur 6 au crédit OP-14, niveau élevé. La répartition des modes de déplacement provient d'une enquête annuelle sur les transports, diffusée par courriel à tout le campus ou à un échantillon représentatif.</w:t>
      </w:r>
    </w:p>
    <w:p>
      <w:pPr>
        <w:pStyle w:val="Heading3"/>
      </w:pPr>
      <w:r>
        <w:rPr>
          <w:color w:val="2F6F5E"/>
        </w:rPr>
        <w:t>Voyages en avion</w:t>
      </w:r>
    </w:p>
    <w:p>
      <w:r>
        <w:t>L'université obtient 2 points STARS sur 2 au crédit OP-15, niveau maximal. Le campus a mis en place des mesures pour réduire les émissions de gaz à effet de serre liées aux voyages en avion.</w:t>
      </w:r>
    </w:p>
    <w:p>
      <w:pPr>
        <w:pStyle w:val="Heading3"/>
      </w:pPr>
      <w:r>
        <w:rPr>
          <w:color w:val="2F6F5E"/>
        </w:rPr>
        <w:t>Gestion écologique des espaces verts</w:t>
      </w:r>
    </w:p>
    <w:p>
      <w:r>
        <w:t>L'université obtient 5 points STARS sur 5 au crédit OP-4, niveau maximal. Le campus a mis en place des espaces verts gérés de manière écologique.</w:t>
      </w:r>
    </w:p>
    <w:p>
      <w:pPr>
        <w:pStyle w:val="Heading3"/>
      </w:pPr>
      <w:r>
        <w:rPr>
          <w:color w:val="2F6F5E"/>
        </w:rPr>
        <w:t>Évaluation de la biodiversité</w:t>
      </w:r>
    </w:p>
    <w:p>
      <w:r>
        <w:t>L'université obtient 1 point STARS sur 1 au crédit IL-24, niveau maximal. Le projet de rapport d'impact environnemental (Draft EIR) du plan de gestion de la végétation combustible des espaces naturels (Wildland Vegetative Fuel Management Plan) décrit les zones importantes pour la biodiversité.</w:t>
      </w:r>
    </w:p>
    <w:p>
      <w:pPr>
        <w:pStyle w:val="Heading1"/>
      </w:pPr>
      <w:r>
        <w:rPr>
          <w:color w:val="2F6F5E"/>
        </w:rPr>
        <w:t>Performance sociale et économique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Crédit STARS</w:t>
            </w:r>
          </w:p>
        </w:tc>
        <w:tc>
          <w:tcPr>
            <w:tcW w:type="dxa" w:w="2880"/>
          </w:tcPr>
          <w:p>
            <w:r>
              <w:rPr>
                <w:b/>
                <w:sz w:val="17"/>
              </w:rPr>
            </w:r>
            <w:r>
              <w:rPr>
                <w:b/>
                <w:sz w:val="17"/>
              </w:rPr>
              <w:t>Points obtenus</w:t>
            </w:r>
          </w:p>
        </w:tc>
        <w:tc>
          <w:tcPr>
            <w:tcW w:type="dxa" w:w="2880"/>
          </w:tcPr>
          <w:p>
            <w:r>
              <w:rPr>
                <w:b/>
                <w:sz w:val="17"/>
              </w:rPr>
            </w:r>
            <w:r>
              <w:rPr>
                <w:b/>
                <w:sz w:val="17"/>
              </w:rPr>
              <w:t>Niveau</w:t>
            </w:r>
          </w:p>
        </w:tc>
      </w:tr>
      <w:tr>
        <w:tc>
          <w:tcPr>
            <w:tcW w:type="dxa" w:w="2880"/>
          </w:tcPr>
          <w:p>
            <w:r>
              <w:rPr>
                <w:sz w:val="17"/>
              </w:rPr>
            </w:r>
            <w:r>
              <w:rPr>
                <w:sz w:val="17"/>
              </w:rPr>
              <w:t>PA-13 — Pay Equity and Living Wage</w:t>
            </w:r>
          </w:p>
        </w:tc>
        <w:tc>
          <w:tcPr>
            <w:tcW w:type="dxa" w:w="2880"/>
          </w:tcPr>
          <w:p>
            <w:r>
              <w:rPr>
                <w:sz w:val="17"/>
              </w:rPr>
            </w:r>
            <w:r>
              <w:rPr>
                <w:sz w:val="17"/>
              </w:rPr>
              <w:t>4,34 / 5</w:t>
            </w:r>
          </w:p>
        </w:tc>
        <w:tc>
          <w:tcPr>
            <w:tcW w:type="dxa" w:w="2880"/>
          </w:tcPr>
          <w:p>
            <w:r>
              <w:rPr>
                <w:sz w:val="17"/>
              </w:rPr>
            </w:r>
            <w:r>
              <w:rPr>
                <w:sz w:val="17"/>
              </w:rPr>
              <w:t>élevé</w:t>
            </w:r>
          </w:p>
        </w:tc>
      </w:tr>
      <w:tr>
        <w:tc>
          <w:tcPr>
            <w:tcW w:type="dxa" w:w="2880"/>
          </w:tcPr>
          <w:p>
            <w:r>
              <w:rPr>
                <w:sz w:val="17"/>
              </w:rPr>
            </w:r>
            <w:r>
              <w:rPr>
                <w:sz w:val="17"/>
              </w:rPr>
              <w:t>PA-12 — Employee Rights</w:t>
            </w:r>
          </w:p>
        </w:tc>
        <w:tc>
          <w:tcPr>
            <w:tcW w:type="dxa" w:w="2880"/>
          </w:tcPr>
          <w:p>
            <w:r>
              <w:rPr>
                <w:sz w:val="17"/>
              </w:rPr>
            </w:r>
            <w:r>
              <w:rPr>
                <w:sz w:val="17"/>
              </w:rPr>
              <w:t>2,5 / 3</w:t>
            </w:r>
          </w:p>
        </w:tc>
        <w:tc>
          <w:tcPr>
            <w:tcW w:type="dxa" w:w="2880"/>
          </w:tcPr>
          <w:p>
            <w:r>
              <w:rPr>
                <w:sz w:val="17"/>
              </w:rPr>
            </w:r>
            <w:r>
              <w:rPr>
                <w:sz w:val="17"/>
              </w:rPr>
              <w:t>élevé</w:t>
            </w:r>
          </w:p>
        </w:tc>
      </w:tr>
      <w:tr>
        <w:tc>
          <w:tcPr>
            <w:tcW w:type="dxa" w:w="2880"/>
          </w:tcPr>
          <w:p>
            <w:r>
              <w:rPr>
                <w:sz w:val="17"/>
              </w:rPr>
            </w:r>
            <w:r>
              <w:rPr>
                <w:sz w:val="17"/>
              </w:rPr>
              <w:t>PA-11 — Health, Safety and Wellbeing</w:t>
            </w:r>
          </w:p>
        </w:tc>
        <w:tc>
          <w:tcPr>
            <w:tcW w:type="dxa" w:w="2880"/>
          </w:tcPr>
          <w:p>
            <w:r>
              <w:rPr>
                <w:sz w:val="17"/>
              </w:rPr>
            </w:r>
            <w:r>
              <w:rPr>
                <w:sz w:val="17"/>
              </w:rPr>
              <w:t>3 / 3</w:t>
            </w:r>
          </w:p>
        </w:tc>
        <w:tc>
          <w:tcPr>
            <w:tcW w:type="dxa" w:w="2880"/>
          </w:tcPr>
          <w:p>
            <w:r>
              <w:rPr>
                <w:sz w:val="17"/>
              </w:rPr>
            </w:r>
            <w:r>
              <w:rPr>
                <w:sz w:val="17"/>
              </w:rPr>
              <w:t>maximal (tous les points obtenus)</w:t>
            </w:r>
          </w:p>
        </w:tc>
      </w:tr>
      <w:tr>
        <w:tc>
          <w:tcPr>
            <w:tcW w:type="dxa" w:w="2880"/>
          </w:tcPr>
          <w:p>
            <w:r>
              <w:rPr>
                <w:sz w:val="17"/>
              </w:rPr>
            </w:r>
            <w:r>
              <w:rPr>
                <w:sz w:val="17"/>
              </w:rPr>
              <w:t>PA-8 — Gender Parity</w:t>
            </w:r>
          </w:p>
        </w:tc>
        <w:tc>
          <w:tcPr>
            <w:tcW w:type="dxa" w:w="2880"/>
          </w:tcPr>
          <w:p>
            <w:r>
              <w:rPr>
                <w:sz w:val="17"/>
              </w:rPr>
            </w:r>
            <w:r>
              <w:rPr>
                <w:sz w:val="17"/>
              </w:rPr>
              <w:t>1,67 / 2</w:t>
            </w:r>
          </w:p>
        </w:tc>
        <w:tc>
          <w:tcPr>
            <w:tcW w:type="dxa" w:w="2880"/>
          </w:tcPr>
          <w:p>
            <w:r>
              <w:rPr>
                <w:sz w:val="17"/>
              </w:rPr>
            </w:r>
            <w:r>
              <w:rPr>
                <w:sz w:val="17"/>
              </w:rPr>
              <w:t>élevé</w:t>
            </w:r>
          </w:p>
        </w:tc>
      </w:tr>
      <w:tr>
        <w:tc>
          <w:tcPr>
            <w:tcW w:type="dxa" w:w="2880"/>
          </w:tcPr>
          <w:p>
            <w:r>
              <w:rPr>
                <w:sz w:val="17"/>
              </w:rPr>
            </w:r>
            <w:r>
              <w:rPr>
                <w:sz w:val="17"/>
              </w:rPr>
              <w:t>PA-7 — Racial and Ethnic Representation</w:t>
            </w:r>
          </w:p>
        </w:tc>
        <w:tc>
          <w:tcPr>
            <w:tcW w:type="dxa" w:w="2880"/>
          </w:tcPr>
          <w:p>
            <w:r>
              <w:rPr>
                <w:sz w:val="17"/>
              </w:rPr>
            </w:r>
            <w:r>
              <w:rPr>
                <w:sz w:val="17"/>
              </w:rPr>
              <w:t>1,59 / 3</w:t>
            </w:r>
          </w:p>
        </w:tc>
        <w:tc>
          <w:tcPr>
            <w:tcW w:type="dxa" w:w="2880"/>
          </w:tcPr>
          <w:p>
            <w:r>
              <w:rPr>
                <w:sz w:val="17"/>
              </w:rPr>
            </w:r>
            <w:r>
              <w:rPr>
                <w:sz w:val="17"/>
              </w:rPr>
              <w:t>intermédiaire</w:t>
            </w:r>
          </w:p>
        </w:tc>
      </w:tr>
      <w:tr>
        <w:tc>
          <w:tcPr>
            <w:tcW w:type="dxa" w:w="2880"/>
          </w:tcPr>
          <w:p>
            <w:r>
              <w:rPr>
                <w:sz w:val="17"/>
              </w:rPr>
            </w:r>
            <w:r>
              <w:rPr>
                <w:sz w:val="17"/>
              </w:rPr>
              <w:t>PA-9 — Affordability and Access</w:t>
            </w:r>
          </w:p>
        </w:tc>
        <w:tc>
          <w:tcPr>
            <w:tcW w:type="dxa" w:w="2880"/>
          </w:tcPr>
          <w:p>
            <w:r>
              <w:rPr>
                <w:sz w:val="17"/>
              </w:rPr>
            </w:r>
            <w:r>
              <w:rPr>
                <w:sz w:val="17"/>
              </w:rPr>
              <w:t>2,5 / 3</w:t>
            </w:r>
          </w:p>
        </w:tc>
        <w:tc>
          <w:tcPr>
            <w:tcW w:type="dxa" w:w="2880"/>
          </w:tcPr>
          <w:p>
            <w:r>
              <w:rPr>
                <w:sz w:val="17"/>
              </w:rPr>
            </w:r>
            <w:r>
              <w:rPr>
                <w:sz w:val="17"/>
              </w:rPr>
              <w:t>élevé</w:t>
            </w:r>
          </w:p>
        </w:tc>
      </w:tr>
      <w:tr>
        <w:tc>
          <w:tcPr>
            <w:tcW w:type="dxa" w:w="2880"/>
          </w:tcPr>
          <w:p>
            <w:r>
              <w:rPr>
                <w:sz w:val="17"/>
              </w:rPr>
            </w:r>
            <w:r>
              <w:rPr>
                <w:sz w:val="17"/>
              </w:rPr>
              <w:t>PA-6 — Institutional Climate</w:t>
            </w:r>
          </w:p>
        </w:tc>
        <w:tc>
          <w:tcPr>
            <w:tcW w:type="dxa" w:w="2880"/>
          </w:tcPr>
          <w:p>
            <w:r>
              <w:rPr>
                <w:sz w:val="17"/>
              </w:rPr>
            </w:r>
            <w:r>
              <w:rPr>
                <w:sz w:val="17"/>
              </w:rPr>
              <w:t>3 / 3</w:t>
            </w:r>
          </w:p>
        </w:tc>
        <w:tc>
          <w:tcPr>
            <w:tcW w:type="dxa" w:w="2880"/>
          </w:tcPr>
          <w:p>
            <w:r>
              <w:rPr>
                <w:sz w:val="17"/>
              </w:rPr>
            </w:r>
            <w:r>
              <w:rPr>
                <w:sz w:val="17"/>
              </w:rPr>
              <w:t>maximal (tous les points obtenus)</w:t>
            </w:r>
          </w:p>
        </w:tc>
      </w:tr>
      <w:tr>
        <w:tc>
          <w:tcPr>
            <w:tcW w:type="dxa" w:w="2880"/>
          </w:tcPr>
          <w:p>
            <w:r>
              <w:rPr>
                <w:sz w:val="17"/>
              </w:rPr>
            </w:r>
            <w:r>
              <w:rPr>
                <w:sz w:val="17"/>
              </w:rPr>
              <w:t>PA-10 — Student Success</w:t>
            </w:r>
          </w:p>
        </w:tc>
        <w:tc>
          <w:tcPr>
            <w:tcW w:type="dxa" w:w="2880"/>
          </w:tcPr>
          <w:p>
            <w:r>
              <w:rPr>
                <w:sz w:val="17"/>
              </w:rPr>
            </w:r>
            <w:r>
              <w:rPr>
                <w:sz w:val="17"/>
              </w:rPr>
              <w:t>2,8 / 3</w:t>
            </w:r>
          </w:p>
        </w:tc>
        <w:tc>
          <w:tcPr>
            <w:tcW w:type="dxa" w:w="2880"/>
          </w:tcPr>
          <w:p>
            <w:r>
              <w:rPr>
                <w:sz w:val="17"/>
              </w:rPr>
            </w:r>
            <w:r>
              <w:rPr>
                <w:sz w:val="17"/>
              </w:rPr>
              <w:t>élevé</w:t>
            </w:r>
          </w:p>
        </w:tc>
      </w:tr>
    </w:tbl>
    <w:p/>
    <w:p>
      <w:r>
        <w:rPr>
          <w:i/>
        </w:rPr>
        <w:t>Valeurs insérées par le code depuis la table des faits ; le texte ci-dessous est rédigé par le modèle puis validé.</w:t>
      </w:r>
    </w:p>
    <w:p>
      <w:r>
        <w:t>L'université de Californie à Berkeley a obtenu 4,34 points STARS sur 5 au crédit PA-13, niveau élevé, pour sa politique de salaire décent. Le salaire décent de référence est calculé avec le calculateur du Massachusetts Institute of Technology (MIT) ; le seuil horaire retenu pour le personnel tient compte du taux composite des avantages sociaux (CBR), actuellement de 42,8 %.</w:t>
      </w:r>
    </w:p>
    <w:p>
      <w:r>
        <w:t>L'université a également obtenu 2,5 points STARS sur 3 au crédit PA-12, niveau élevé, pour ses droits des salariés. Les employés doivent remplir les conditions de la politique de congé familial et médical (Family and Medical Leave Policy). Le site web des ressources humaines de l'université présente des politiques sur les droits des employés, notamment le traitement équitable, les procédures de réclamation et l'équilibre travail-vie.</w:t>
      </w:r>
    </w:p>
    <w:p>
      <w:r>
        <w:t>L'université a obtenu 3 points STARS sur 3 au crédit PA-11, niveau maximal, pour sa santé, sécurité et bien-être. Le campus propose des ateliers de bien-être (série Mind-Body-Spirit) et applique une politique de campus sans fumée ni tabac, mise à jour par les services de santé universitaires (University Health Services).</w:t>
      </w:r>
    </w:p>
    <w:p>
      <w:r>
        <w:t>L'université a obtenu 1,67 point STARS sur 2 au crédit PA-8, niveau élevé, pour la parité femmes-hommes.</w:t>
      </w:r>
    </w:p>
    <w:p>
      <w:r>
        <w:t>L'université a obtenu 1,59 point STARS sur 3 au crédit PA-7, niveau intermédiaire, pour la représentation ethnique et raciale.</w:t>
      </w:r>
    </w:p>
    <w:p>
      <w:r>
        <w:t>L'université a obtenu 2,5 points STARS sur 3 au crédit PA-9, niveau élevé, pour l'accès et l'accessibilité financière. Les données viennent de l'IPEDS : part des étudiants de premier cycle bénéficiant d'une bourse Pell, pour l'année universitaire débutant en 2021 (la plus récente disponible).</w:t>
      </w:r>
    </w:p>
    <w:p>
      <w:r>
        <w:t>L'université a obtenu 3 points STARS sur 3 au crédit PA-6, niveau maximal, pour le climat institutionnel. Les organisations basées sur la race et l'ethnicité des employés comprennent Alianza, Asian Pacific American Systemwide Alliance, Black Staff &amp; Faculty Organization, MENASA et Native &amp; Indigenous Council.</w:t>
      </w:r>
    </w:p>
    <w:p>
      <w:r>
        <w:t>L'université a obtenu 2,8 points STARS sur 3 au crédit PA-10, niveau élevé, pour la réussite étudiante.</w:t>
      </w:r>
    </w:p>
    <w:p>
      <w:pPr>
        <w:pStyle w:val="Heading2"/>
      </w:pPr>
      <w:r>
        <w:rPr>
          <w:color w:val="2F6F5E"/>
        </w:rPr>
        <w:t>Limites et omissions</w:t>
      </w:r>
    </w:p>
    <w:p>
      <w:r>
        <w:t>Ce rapport ne peut pas établir le ratio entre le salaire d'entrée et le salaire minimum local par genre. Le salaire minimum figure dans un crédit sur l'emploi étudiant.</w:t>
      </w:r>
    </w:p>
    <w:p>
      <w:pPr>
        <w:pStyle w:val="Heading1"/>
      </w:pPr>
      <w:r>
        <w:rPr>
          <w:color w:val="2F6F5E"/>
        </w:rPr>
        <w:t>Enseignement, recherche et engagement (hors GRI)</w:t>
      </w:r>
    </w:p>
    <w:p>
      <w:pPr>
        <w:pStyle w:val="IntenseQuote"/>
      </w:pPr>
      <w:r>
        <w:t>Ces crédits STARS n'ont aucun équivalent dans les normes GRI, conçues pour des organisations qui n'enseignent pas. C'est un écart structurel entre les deux référentiels, et l'une des contributions de ce rapport : il montre ce qu'une université peut déclarer et que GRI ne demande pas.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Crédit STARS</w:t>
            </w:r>
          </w:p>
        </w:tc>
        <w:tc>
          <w:tcPr>
            <w:tcW w:type="dxa" w:w="2880"/>
          </w:tcPr>
          <w:p>
            <w:r>
              <w:rPr>
                <w:b/>
                <w:sz w:val="17"/>
              </w:rPr>
            </w:r>
            <w:r>
              <w:rPr>
                <w:b/>
                <w:sz w:val="17"/>
              </w:rPr>
              <w:t>Points obtenus</w:t>
            </w:r>
          </w:p>
        </w:tc>
        <w:tc>
          <w:tcPr>
            <w:tcW w:type="dxa" w:w="2880"/>
          </w:tcPr>
          <w:p>
            <w:r>
              <w:rPr>
                <w:b/>
                <w:sz w:val="17"/>
              </w:rPr>
            </w:r>
            <w:r>
              <w:rPr>
                <w:b/>
                <w:sz w:val="17"/>
              </w:rPr>
              <w:t>Niveau</w:t>
            </w:r>
          </w:p>
        </w:tc>
      </w:tr>
      <w:tr>
        <w:tc>
          <w:tcPr>
            <w:tcW w:type="dxa" w:w="2880"/>
          </w:tcPr>
          <w:p>
            <w:r>
              <w:rPr>
                <w:sz w:val="17"/>
              </w:rPr>
            </w:r>
            <w:r>
              <w:rPr>
                <w:sz w:val="17"/>
              </w:rPr>
              <w:t>AC-1 — Sustainability Course Offerings</w:t>
            </w:r>
          </w:p>
        </w:tc>
        <w:tc>
          <w:tcPr>
            <w:tcW w:type="dxa" w:w="2880"/>
          </w:tcPr>
          <w:p>
            <w:r>
              <w:rPr>
                <w:sz w:val="17"/>
              </w:rPr>
            </w:r>
            <w:r>
              <w:rPr>
                <w:sz w:val="17"/>
              </w:rPr>
              <w:t>13,01 / 14</w:t>
            </w:r>
          </w:p>
        </w:tc>
        <w:tc>
          <w:tcPr>
            <w:tcW w:type="dxa" w:w="2880"/>
          </w:tcPr>
          <w:p>
            <w:r>
              <w:rPr>
                <w:sz w:val="17"/>
              </w:rPr>
            </w:r>
            <w:r>
              <w:rPr>
                <w:sz w:val="17"/>
              </w:rPr>
              <w:t>élevé</w:t>
            </w:r>
          </w:p>
        </w:tc>
      </w:tr>
      <w:tr>
        <w:tc>
          <w:tcPr>
            <w:tcW w:type="dxa" w:w="2880"/>
          </w:tcPr>
          <w:p>
            <w:r>
              <w:rPr>
                <w:sz w:val="17"/>
              </w:rPr>
            </w:r>
            <w:r>
              <w:rPr>
                <w:sz w:val="17"/>
              </w:rPr>
              <w:t>AC-2 — Undergraduate Programs</w:t>
            </w:r>
          </w:p>
        </w:tc>
        <w:tc>
          <w:tcPr>
            <w:tcW w:type="dxa" w:w="2880"/>
          </w:tcPr>
          <w:p>
            <w:r>
              <w:rPr>
                <w:sz w:val="17"/>
              </w:rPr>
            </w:r>
            <w:r>
              <w:rPr>
                <w:sz w:val="17"/>
              </w:rPr>
              <w:t>10,22 / 15</w:t>
            </w:r>
          </w:p>
        </w:tc>
        <w:tc>
          <w:tcPr>
            <w:tcW w:type="dxa" w:w="2880"/>
          </w:tcPr>
          <w:p>
            <w:r>
              <w:rPr>
                <w:sz w:val="17"/>
              </w:rPr>
            </w:r>
            <w:r>
              <w:rPr>
                <w:sz w:val="17"/>
              </w:rPr>
              <w:t>intermédiaire</w:t>
            </w:r>
          </w:p>
        </w:tc>
      </w:tr>
      <w:tr>
        <w:tc>
          <w:tcPr>
            <w:tcW w:type="dxa" w:w="2880"/>
          </w:tcPr>
          <w:p>
            <w:r>
              <w:rPr>
                <w:sz w:val="17"/>
              </w:rPr>
            </w:r>
            <w:r>
              <w:rPr>
                <w:sz w:val="17"/>
              </w:rPr>
              <w:t>AC-3 — Graduate Programs</w:t>
            </w:r>
          </w:p>
        </w:tc>
        <w:tc>
          <w:tcPr>
            <w:tcW w:type="dxa" w:w="2880"/>
          </w:tcPr>
          <w:p>
            <w:r>
              <w:rPr>
                <w:sz w:val="17"/>
              </w:rPr>
            </w:r>
            <w:r>
              <w:rPr>
                <w:sz w:val="17"/>
              </w:rPr>
              <w:t>8 / 8</w:t>
            </w:r>
          </w:p>
        </w:tc>
        <w:tc>
          <w:tcPr>
            <w:tcW w:type="dxa" w:w="2880"/>
          </w:tcPr>
          <w:p>
            <w:r>
              <w:rPr>
                <w:sz w:val="17"/>
              </w:rPr>
            </w:r>
            <w:r>
              <w:rPr>
                <w:sz w:val="17"/>
              </w:rPr>
              <w:t>maximal (tous les points obtenus)</w:t>
            </w:r>
          </w:p>
        </w:tc>
      </w:tr>
      <w:tr>
        <w:tc>
          <w:tcPr>
            <w:tcW w:type="dxa" w:w="2880"/>
          </w:tcPr>
          <w:p>
            <w:r>
              <w:rPr>
                <w:sz w:val="17"/>
              </w:rPr>
            </w:r>
            <w:r>
              <w:rPr>
                <w:sz w:val="17"/>
              </w:rPr>
              <w:t>AC-6 — Sustainability Research</w:t>
            </w:r>
          </w:p>
        </w:tc>
        <w:tc>
          <w:tcPr>
            <w:tcW w:type="dxa" w:w="2880"/>
          </w:tcPr>
          <w:p>
            <w:r>
              <w:rPr>
                <w:sz w:val="17"/>
              </w:rPr>
            </w:r>
            <w:r>
              <w:rPr>
                <w:sz w:val="17"/>
              </w:rPr>
              <w:t>7,35 / 10</w:t>
            </w:r>
          </w:p>
        </w:tc>
        <w:tc>
          <w:tcPr>
            <w:tcW w:type="dxa" w:w="2880"/>
          </w:tcPr>
          <w:p>
            <w:r>
              <w:rPr>
                <w:sz w:val="17"/>
              </w:rPr>
            </w:r>
            <w:r>
              <w:rPr>
                <w:sz w:val="17"/>
              </w:rPr>
              <w:t>intermédiaire</w:t>
            </w:r>
          </w:p>
        </w:tc>
      </w:tr>
      <w:tr>
        <w:tc>
          <w:tcPr>
            <w:tcW w:type="dxa" w:w="2880"/>
          </w:tcPr>
          <w:p>
            <w:r>
              <w:rPr>
                <w:sz w:val="17"/>
              </w:rPr>
            </w:r>
            <w:r>
              <w:rPr>
                <w:sz w:val="17"/>
              </w:rPr>
              <w:t>AC-7 — Center for Sustainability Research</w:t>
            </w:r>
          </w:p>
        </w:tc>
        <w:tc>
          <w:tcPr>
            <w:tcW w:type="dxa" w:w="2880"/>
          </w:tcPr>
          <w:p>
            <w:r>
              <w:rPr>
                <w:sz w:val="17"/>
              </w:rPr>
            </w:r>
            <w:r>
              <w:rPr>
                <w:sz w:val="17"/>
              </w:rPr>
              <w:t>6 / 6</w:t>
            </w:r>
          </w:p>
        </w:tc>
        <w:tc>
          <w:tcPr>
            <w:tcW w:type="dxa" w:w="2880"/>
          </w:tcPr>
          <w:p>
            <w:r>
              <w:rPr>
                <w:sz w:val="17"/>
              </w:rPr>
            </w:r>
            <w:r>
              <w:rPr>
                <w:sz w:val="17"/>
              </w:rPr>
              <w:t>maximal (tous les points obtenus)</w:t>
            </w:r>
          </w:p>
        </w:tc>
      </w:tr>
      <w:tr>
        <w:tc>
          <w:tcPr>
            <w:tcW w:type="dxa" w:w="2880"/>
          </w:tcPr>
          <w:p>
            <w:r>
              <w:rPr>
                <w:sz w:val="17"/>
              </w:rPr>
            </w:r>
            <w:r>
              <w:rPr>
                <w:sz w:val="17"/>
              </w:rPr>
              <w:t>EN-1 — Outreach and Communications</w:t>
            </w:r>
          </w:p>
        </w:tc>
        <w:tc>
          <w:tcPr>
            <w:tcW w:type="dxa" w:w="2880"/>
          </w:tcPr>
          <w:p>
            <w:r>
              <w:rPr>
                <w:sz w:val="17"/>
              </w:rPr>
            </w:r>
            <w:r>
              <w:rPr>
                <w:sz w:val="17"/>
              </w:rPr>
              <w:t>5 / 5</w:t>
            </w:r>
          </w:p>
        </w:tc>
        <w:tc>
          <w:tcPr>
            <w:tcW w:type="dxa" w:w="2880"/>
          </w:tcPr>
          <w:p>
            <w:r>
              <w:rPr>
                <w:sz w:val="17"/>
              </w:rPr>
            </w:r>
            <w:r>
              <w:rPr>
                <w:sz w:val="17"/>
              </w:rPr>
              <w:t>maximal (tous les points obtenus)</w:t>
            </w:r>
          </w:p>
        </w:tc>
      </w:tr>
      <w:tr>
        <w:tc>
          <w:tcPr>
            <w:tcW w:type="dxa" w:w="2880"/>
          </w:tcPr>
          <w:p>
            <w:r>
              <w:rPr>
                <w:sz w:val="17"/>
              </w:rPr>
            </w:r>
            <w:r>
              <w:rPr>
                <w:sz w:val="17"/>
              </w:rPr>
              <w:t>EN-2 — Co-Curricular Activities</w:t>
            </w:r>
          </w:p>
        </w:tc>
        <w:tc>
          <w:tcPr>
            <w:tcW w:type="dxa" w:w="2880"/>
          </w:tcPr>
          <w:p>
            <w:r>
              <w:rPr>
                <w:sz w:val="17"/>
              </w:rPr>
            </w:r>
            <w:r>
              <w:rPr>
                <w:sz w:val="17"/>
              </w:rPr>
              <w:t>9 / 9</w:t>
            </w:r>
          </w:p>
        </w:tc>
        <w:tc>
          <w:tcPr>
            <w:tcW w:type="dxa" w:w="2880"/>
          </w:tcPr>
          <w:p>
            <w:r>
              <w:rPr>
                <w:sz w:val="17"/>
              </w:rPr>
            </w:r>
            <w:r>
              <w:rPr>
                <w:sz w:val="17"/>
              </w:rPr>
              <w:t>maximal (tous les points obtenus)</w:t>
            </w:r>
          </w:p>
        </w:tc>
      </w:tr>
      <w:tr>
        <w:tc>
          <w:tcPr>
            <w:tcW w:type="dxa" w:w="2880"/>
          </w:tcPr>
          <w:p>
            <w:r>
              <w:rPr>
                <w:sz w:val="17"/>
              </w:rPr>
            </w:r>
            <w:r>
              <w:rPr>
                <w:sz w:val="17"/>
              </w:rPr>
              <w:t>EN-3 — Staff Engagement and Training</w:t>
            </w:r>
          </w:p>
        </w:tc>
        <w:tc>
          <w:tcPr>
            <w:tcW w:type="dxa" w:w="2880"/>
          </w:tcPr>
          <w:p>
            <w:r>
              <w:rPr>
                <w:sz w:val="17"/>
              </w:rPr>
            </w:r>
            <w:r>
              <w:rPr>
                <w:sz w:val="17"/>
              </w:rPr>
              <w:t>8 / 8</w:t>
            </w:r>
          </w:p>
        </w:tc>
        <w:tc>
          <w:tcPr>
            <w:tcW w:type="dxa" w:w="2880"/>
          </w:tcPr>
          <w:p>
            <w:r>
              <w:rPr>
                <w:sz w:val="17"/>
              </w:rPr>
            </w:r>
            <w:r>
              <w:rPr>
                <w:sz w:val="17"/>
              </w:rPr>
              <w:t>maximal (tous les points obtenus)</w:t>
            </w:r>
          </w:p>
        </w:tc>
      </w:tr>
      <w:tr>
        <w:tc>
          <w:tcPr>
            <w:tcW w:type="dxa" w:w="2880"/>
          </w:tcPr>
          <w:p>
            <w:r>
              <w:rPr>
                <w:sz w:val="17"/>
              </w:rPr>
            </w:r>
            <w:r>
              <w:rPr>
                <w:sz w:val="17"/>
              </w:rPr>
              <w:t>EN-5 — Civic Engagement</w:t>
            </w:r>
          </w:p>
        </w:tc>
        <w:tc>
          <w:tcPr>
            <w:tcW w:type="dxa" w:w="2880"/>
          </w:tcPr>
          <w:p>
            <w:r>
              <w:rPr>
                <w:sz w:val="17"/>
              </w:rPr>
            </w:r>
            <w:r>
              <w:rPr>
                <w:sz w:val="17"/>
              </w:rPr>
              <w:t>8 / 8</w:t>
            </w:r>
          </w:p>
        </w:tc>
        <w:tc>
          <w:tcPr>
            <w:tcW w:type="dxa" w:w="2880"/>
          </w:tcPr>
          <w:p>
            <w:r>
              <w:rPr>
                <w:sz w:val="17"/>
              </w:rPr>
            </w:r>
            <w:r>
              <w:rPr>
                <w:sz w:val="17"/>
              </w:rPr>
              <w:t>maximal (tous les points obtenus)</w:t>
            </w:r>
          </w:p>
        </w:tc>
      </w:tr>
      <w:tr>
        <w:tc>
          <w:tcPr>
            <w:tcW w:type="dxa" w:w="2880"/>
          </w:tcPr>
          <w:p>
            <w:r>
              <w:rPr>
                <w:sz w:val="17"/>
              </w:rPr>
            </w:r>
            <w:r>
              <w:rPr>
                <w:sz w:val="17"/>
              </w:rPr>
              <w:t>EN-7 — Continuing Education</w:t>
            </w:r>
          </w:p>
        </w:tc>
        <w:tc>
          <w:tcPr>
            <w:tcW w:type="dxa" w:w="2880"/>
          </w:tcPr>
          <w:p>
            <w:r>
              <w:rPr>
                <w:sz w:val="17"/>
              </w:rPr>
            </w:r>
            <w:r>
              <w:rPr>
                <w:sz w:val="17"/>
              </w:rPr>
              <w:t>3 / 3</w:t>
            </w:r>
          </w:p>
        </w:tc>
        <w:tc>
          <w:tcPr>
            <w:tcW w:type="dxa" w:w="2880"/>
          </w:tcPr>
          <w:p>
            <w:r>
              <w:rPr>
                <w:sz w:val="17"/>
              </w:rPr>
            </w:r>
            <w:r>
              <w:rPr>
                <w:sz w:val="17"/>
              </w:rPr>
              <w:t>maximal (tous les points obtenus)</w:t>
            </w:r>
          </w:p>
        </w:tc>
      </w:tr>
    </w:tbl>
    <w:p/>
    <w:p>
      <w:r>
        <w:rPr>
          <w:i/>
        </w:rPr>
        <w:t>Valeurs insérées par le code depuis la table des faits ; le texte ci-dessous est rédigé par le modèle puis validé.</w:t>
      </w:r>
    </w:p>
    <w:p>
      <w:pPr>
        <w:pStyle w:val="Heading2"/>
      </w:pPr>
      <w:r>
        <w:rPr>
          <w:color w:val="2F6F5E"/>
        </w:rPr>
        <w:t>Enseignement, recherche et engagement</w:t>
      </w:r>
    </w:p>
    <w:p>
      <w:r>
        <w:t>L'université obtient 13,01 points STARS sur 14 au crédit AC-1, niveau élevé. L'information pour les offres de cours en durabilité a été collectée via un inventaire des cours de l'Université de Californie à Berkeley de 2021 à 2024, en filtrant les éléments qui se qualifient comme des cours axés sur la durabilité ou liés à la durabilité. Les cours qui se qualifient ont été comptabilisés comme des offres de cours en durabilité.</w:t>
      </w:r>
    </w:p>
    <w:p>
      <w:r>
        <w:t>L'université obtient 10,22 points STARS sur 15 au crédit AC-2, niveau intermédiaire. Une partie des programmes de premier cycle comporte l'obligation de suivre au moins un cours axé sur la durabilité (liste fournie dans le rapport STARS).</w:t>
      </w:r>
    </w:p>
    <w:p>
      <w:r>
        <w:t>L'université obtient 8 points STARS sur 8 au crédit AC-3, niveau maximal. Une partie des programmes de cycles supérieurs comporte un apprentissage axé sur la durabilité (liste fournie dans le rapport STARS).</w:t>
      </w:r>
    </w:p>
    <w:p>
      <w:r>
        <w:t>L'université obtient 7,35 points STARS sur 10 au crédit AC-6, niveau intermédiaire. Un étudiant de premier cycle a créé une liste de mots-clés pour identifier la recherche en durabilité. L'étudiant a ensuite calculé le nombre d'employés engagés dans la recherche en durabilité et le nombre de départements universitaires engagés dans la recherche en durabilité.</w:t>
      </w:r>
    </w:p>
    <w:p>
      <w:r>
        <w:t>L'université obtient 6 points STARS sur 6 au crédit AC-7, niveau maximal. L'Université de Californie à Berkeley compte plusieurs centres engagés dans des sujets liés à la durabilité, notamment le Sutardja Center for Entrepreneurship and Technology qui abrite le Alternative Meats X Lab.</w:t>
      </w:r>
    </w:p>
    <w:p>
      <w:r>
        <w:t>L'université obtient 5 points STARS sur 5 au crédit EN-1, niveau maximal. Les nouveaux étudiants rencontrent les services liés à la durabilité lors de l'orientation (Golden Bear Orientation), le nouveau personnel reçoit une présentation lors de son accueil, et le campus publie des tableaux de bord (émissions, énergie, eau) et des rapports de durabilité.</w:t>
      </w:r>
    </w:p>
    <w:p>
      <w:r>
        <w:t>L'université obtient 9 points STARS sur 9 au crédit EN-2, niveau maximal. Le centre étudiant de ressources environnementales (SERC) de l'Université de Californie à Berkeley organise de nombreux événements axés sur la durabilité sur le campus, notamment la semaine de la justice climatique et la semaine de la Terre, une série de carrières environnementales, des formations à la justice environnementale et des événements d'éducation en plein air.</w:t>
      </w:r>
    </w:p>
    <w:p>
      <w:r>
        <w:t>L'université obtient 8 points STARS sur 8 au crédit EN-3, niveau maximal. Le Bureau de la durabilité a créé une formation à la durabilité pour le personnel (UC Berkeley Sustainability Staff Training), composée de modules que chacun suit à son rythme.</w:t>
      </w:r>
    </w:p>
    <w:p>
      <w:r>
        <w:t>L'université obtient 8 points STARS sur 8 au crédit EN-5, niveau maximal.</w:t>
      </w:r>
    </w:p>
    <w:p>
      <w:pPr>
        <w:pStyle w:val="Heading1"/>
      </w:pPr>
      <w:r>
        <w:rPr>
          <w:color w:val="2F6F5E"/>
        </w:rPr>
        <w:t>Index de contenu GRI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Rapporté</w:t>
            </w:r>
          </w:p>
        </w:tc>
        <w:tc>
          <w:tcPr>
            <w:tcW w:type="dxa" w:w="2160"/>
          </w:tcPr>
          <w:p>
            <w:r>
              <w:rPr>
                <w:b/>
                <w:sz w:val="17"/>
              </w:rPr>
            </w:r>
            <w:r>
              <w:rPr>
                <w:b/>
                <w:sz w:val="17"/>
              </w:rPr>
              <w:t>Partiellement rapporté</w:t>
            </w:r>
          </w:p>
        </w:tc>
        <w:tc>
          <w:tcPr>
            <w:tcW w:type="dxa" w:w="2160"/>
          </w:tcPr>
          <w:p>
            <w:r>
              <w:rPr>
                <w:b/>
                <w:sz w:val="17"/>
              </w:rPr>
            </w:r>
            <w:r>
              <w:rPr>
                <w:b/>
                <w:sz w:val="17"/>
              </w:rPr>
              <w:t>Non rapporté</w:t>
            </w:r>
          </w:p>
        </w:tc>
        <w:tc>
          <w:tcPr>
            <w:tcW w:type="dxa" w:w="2160"/>
          </w:tcPr>
          <w:p>
            <w:r>
              <w:rPr>
                <w:b/>
                <w:sz w:val="17"/>
              </w:rPr>
            </w:r>
            <w:r>
              <w:rPr>
                <w:b/>
                <w:sz w:val="17"/>
              </w:rPr>
              <w:t>Non évalué</w:t>
            </w:r>
          </w:p>
        </w:tc>
      </w:tr>
      <w:tr>
        <w:tc>
          <w:tcPr>
            <w:tcW w:type="dxa" w:w="2160"/>
          </w:tcPr>
          <w:p>
            <w:r>
              <w:rPr>
                <w:sz w:val="17"/>
              </w:rPr>
            </w:r>
            <w:r>
              <w:rPr>
                <w:sz w:val="17"/>
              </w:rPr>
              <w:t>:-:</w:t>
            </w:r>
          </w:p>
        </w:tc>
        <w:tc>
          <w:tcPr>
            <w:tcW w:type="dxa" w:w="2160"/>
          </w:tcPr>
          <w:p>
            <w:r>
              <w:rPr>
                <w:sz w:val="17"/>
              </w:rPr>
            </w:r>
            <w:r>
              <w:rPr>
                <w:sz w:val="17"/>
              </w:rPr>
              <w:t>:-:</w:t>
            </w:r>
          </w:p>
        </w:tc>
        <w:tc>
          <w:tcPr>
            <w:tcW w:type="dxa" w:w="2160"/>
          </w:tcPr>
          <w:p>
            <w:r>
              <w:rPr>
                <w:sz w:val="17"/>
              </w:rPr>
            </w:r>
            <w:r>
              <w:rPr>
                <w:sz w:val="17"/>
              </w:rPr>
              <w:t>:-:</w:t>
            </w:r>
          </w:p>
        </w:tc>
        <w:tc>
          <w:tcPr>
            <w:tcW w:type="dxa" w:w="2160"/>
          </w:tcPr>
          <w:p>
            <w:r>
              <w:rPr>
                <w:sz w:val="17"/>
              </w:rPr>
            </w:r>
            <w:r>
              <w:rPr>
                <w:sz w:val="17"/>
              </w:rPr>
              <w:t>:-:</w:t>
            </w:r>
          </w:p>
        </w:tc>
      </w:tr>
      <w:tr>
        <w:tc>
          <w:tcPr>
            <w:tcW w:type="dxa" w:w="2160"/>
          </w:tcPr>
          <w:p>
            <w:r>
              <w:rPr>
                <w:sz w:val="17"/>
              </w:rPr>
            </w:r>
            <w:r>
              <w:rPr>
                <w:sz w:val="17"/>
              </w:rPr>
              <w:t>0</w:t>
            </w:r>
          </w:p>
        </w:tc>
        <w:tc>
          <w:tcPr>
            <w:tcW w:type="dxa" w:w="2160"/>
          </w:tcPr>
          <w:p>
            <w:r>
              <w:rPr>
                <w:sz w:val="17"/>
              </w:rPr>
            </w:r>
            <w:r>
              <w:rPr>
                <w:sz w:val="17"/>
              </w:rPr>
              <w:t>29</w:t>
            </w:r>
          </w:p>
        </w:tc>
        <w:tc>
          <w:tcPr>
            <w:tcW w:type="dxa" w:w="2160"/>
          </w:tcPr>
          <w:p>
            <w:r>
              <w:rPr>
                <w:sz w:val="17"/>
              </w:rPr>
            </w:r>
            <w:r>
              <w:rPr>
                <w:sz w:val="17"/>
              </w:rPr>
              <w:t>43</w:t>
            </w:r>
          </w:p>
        </w:tc>
        <w:tc>
          <w:tcPr>
            <w:tcW w:type="dxa" w:w="2160"/>
          </w:tcPr>
          <w:p>
            <w:r>
              <w:rPr>
                <w:sz w:val="17"/>
              </w:rPr>
            </w:r>
            <w:r>
              <w:rPr>
                <w:sz w:val="17"/>
              </w:rPr>
              <w:t>14</w:t>
            </w:r>
          </w:p>
        </w:tc>
      </w:tr>
    </w:tbl>
    <w:p/>
    <w:p>
      <w:r>
        <w:rPr>
          <w:i/>
        </w:rPr>
        <w:t>Statuts calculés par le code à partir de la table de correspondance écrite à la main (`mapping/gri_map.yaml`). « Non évalué » : un champ STARS correspondant existe mais sa valeur n'a pas été extraite.</w:t>
      </w:r>
    </w:p>
    <w:p>
      <w:pPr>
        <w:pStyle w:val="Heading2"/>
      </w:pPr>
      <w:r>
        <w:rPr>
          <w:color w:val="2F6F5E"/>
        </w:rPr>
        <w:t>GRI 101 : Biodiversité 2024</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101-1</w:t>
            </w:r>
            <w:r>
              <w:rPr>
                <w:sz w:val="17"/>
              </w:rPr>
              <w:t xml:space="preserve"> Politiques pour enrayer et inverser la perte de biodiversité</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101-2</w:t>
            </w:r>
            <w:r>
              <w:rPr>
                <w:sz w:val="17"/>
              </w:rPr>
              <w:t xml:space="preserve"> Gestion des impacts sur la biodiversité</w:t>
            </w:r>
          </w:p>
        </w:tc>
        <w:tc>
          <w:tcPr>
            <w:tcW w:type="dxa" w:w="2160"/>
          </w:tcPr>
          <w:p>
            <w:r>
              <w:rPr>
                <w:sz w:val="17"/>
              </w:rPr>
            </w:r>
            <w:r>
              <w:rPr>
                <w:sz w:val="17"/>
              </w:rPr>
              <w:t>Partiellement rapporté</w:t>
            </w:r>
          </w:p>
        </w:tc>
        <w:tc>
          <w:tcPr>
            <w:tcW w:type="dxa" w:w="2160"/>
          </w:tcPr>
          <w:p>
            <w:r>
              <w:rPr>
                <w:sz w:val="17"/>
              </w:rPr>
            </w:r>
            <w:r>
              <w:rPr>
                <w:sz w:val="17"/>
              </w:rPr>
              <w:t>Couvert par le récit de l'établissement (OP-4) ; les champs structurés n'ont pas été extraits.</w:t>
            </w:r>
          </w:p>
        </w:tc>
        <w:tc>
          <w:tcPr>
            <w:tcW w:type="dxa" w:w="2160"/>
          </w:tcPr>
          <w:p>
            <w:r>
              <w:rPr>
                <w:sz w:val="17"/>
              </w:rPr>
            </w:r>
            <w:r>
              <w:rPr>
                <w:sz w:val="17"/>
              </w:rPr>
              <w:t>OP-4 décrit la gestion écologique des espaces verts du campus ; GRI 101-2 vise aussi la chaîne de valeur et la hiérarchie d'atténuation (éviter, réduire, restaurer).</w:t>
            </w:r>
          </w:p>
        </w:tc>
      </w:tr>
      <w:tr>
        <w:tc>
          <w:tcPr>
            <w:tcW w:type="dxa" w:w="2160"/>
          </w:tcPr>
          <w:p>
            <w:r>
              <w:rPr>
                <w:sz w:val="17"/>
              </w:rPr>
            </w:r>
            <w:r>
              <w:rPr>
                <w:b/>
                <w:sz w:val="17"/>
              </w:rPr>
              <w:t>101-3</w:t>
            </w:r>
            <w:r>
              <w:rPr>
                <w:sz w:val="17"/>
              </w:rPr>
              <w:t xml:space="preserve"> Accès et partage des avantages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101-4</w:t>
            </w:r>
            <w:r>
              <w:rPr>
                <w:sz w:val="17"/>
              </w:rPr>
              <w:t xml:space="preserve"> Identification des impacts sur la biodiversité</w:t>
            </w:r>
          </w:p>
        </w:tc>
        <w:tc>
          <w:tcPr>
            <w:tcW w:type="dxa" w:w="2160"/>
          </w:tcPr>
          <w:p>
            <w:r>
              <w:rPr>
                <w:sz w:val="17"/>
              </w:rPr>
            </w:r>
            <w:r>
              <w:rPr>
                <w:sz w:val="17"/>
              </w:rPr>
              <w:t>Partiellement rapporté</w:t>
            </w:r>
          </w:p>
        </w:tc>
        <w:tc>
          <w:tcPr>
            <w:tcW w:type="dxa" w:w="2160"/>
          </w:tcPr>
          <w:p>
            <w:r>
              <w:rPr>
                <w:sz w:val="17"/>
              </w:rPr>
            </w:r>
            <w:r>
              <w:rPr>
                <w:sz w:val="17"/>
              </w:rPr>
              <w:t>Couvert par le récit de l'établissement (IL-24) ; les champs structurés n'ont pas été extraits.</w:t>
            </w:r>
          </w:p>
        </w:tc>
        <w:tc>
          <w:tcPr>
            <w:tcW w:type="dxa" w:w="2160"/>
          </w:tcPr>
          <w:p>
            <w:r>
              <w:rPr>
                <w:sz w:val="17"/>
              </w:rPr>
            </w:r>
            <w:r>
              <w:rPr>
                <w:sz w:val="17"/>
              </w:rPr>
              <w:t>IL-24 (crédit bonus) : évaluation de la biodiversité des terrains de l'établissement (espèces, habitats). GRI 101-4 demande aussi les impacts indirects, dans la chaîne d'approvisionnement.</w:t>
            </w:r>
          </w:p>
        </w:tc>
      </w:tr>
      <w:tr>
        <w:tc>
          <w:tcPr>
            <w:tcW w:type="dxa" w:w="2160"/>
          </w:tcPr>
          <w:p>
            <w:r>
              <w:rPr>
                <w:sz w:val="17"/>
              </w:rPr>
            </w:r>
            <w:r>
              <w:rPr>
                <w:b/>
                <w:sz w:val="17"/>
              </w:rPr>
              <w:t>101-5</w:t>
            </w:r>
            <w:r>
              <w:rPr>
                <w:sz w:val="17"/>
              </w:rPr>
              <w:t xml:space="preserve"> Sites ayant des impacts sur la biodiversité</w:t>
            </w:r>
          </w:p>
        </w:tc>
        <w:tc>
          <w:tcPr>
            <w:tcW w:type="dxa" w:w="2160"/>
          </w:tcPr>
          <w:p>
            <w:r>
              <w:rPr>
                <w:sz w:val="17"/>
              </w:rPr>
            </w:r>
            <w:r>
              <w:rPr>
                <w:sz w:val="17"/>
              </w:rPr>
              <w:t>Partiellement rapporté</w:t>
            </w:r>
          </w:p>
        </w:tc>
        <w:tc>
          <w:tcPr>
            <w:tcW w:type="dxa" w:w="2160"/>
          </w:tcPr>
          <w:p>
            <w:r>
              <w:rPr>
                <w:sz w:val="17"/>
              </w:rPr>
            </w:r>
            <w:r>
              <w:rPr>
                <w:sz w:val="17"/>
              </w:rPr>
              <w:t>Couvert par le récit de l'établissement (IL-24) ; les champs structurés n'ont pas été extraits.</w:t>
            </w:r>
          </w:p>
        </w:tc>
        <w:tc>
          <w:tcPr>
            <w:tcW w:type="dxa" w:w="2160"/>
          </w:tcPr>
          <w:p>
            <w:r>
              <w:rPr>
                <w:sz w:val="17"/>
              </w:rPr>
            </w:r>
            <w:r>
              <w:rPr>
                <w:sz w:val="17"/>
              </w:rPr>
              <w:t>IL-24 couvre les terrains possédés ou gérés par l'établissement ; GRI 101-5 demande la liste des sites, leur superficie et leur proximité avec des zones importantes pour la biodiversité.</w:t>
            </w:r>
          </w:p>
        </w:tc>
      </w:tr>
      <w:tr>
        <w:tc>
          <w:tcPr>
            <w:tcW w:type="dxa" w:w="2160"/>
          </w:tcPr>
          <w:p>
            <w:r>
              <w:rPr>
                <w:sz w:val="17"/>
              </w:rPr>
            </w:r>
            <w:r>
              <w:rPr>
                <w:b/>
                <w:sz w:val="17"/>
              </w:rPr>
              <w:t>101-6</w:t>
            </w:r>
            <w:r>
              <w:rPr>
                <w:sz w:val="17"/>
              </w:rPr>
              <w:t xml:space="preserve"> Facteurs directs de perte de biodiversité</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101-7</w:t>
            </w:r>
            <w:r>
              <w:rPr>
                <w:sz w:val="17"/>
              </w:rPr>
              <w:t xml:space="preserve"> Évolution de l'état de la biodiversité</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101-8</w:t>
            </w:r>
            <w:r>
              <w:rPr>
                <w:sz w:val="17"/>
              </w:rPr>
              <w:t xml:space="preserve"> Services écosystémiques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bl>
    <w:p/>
    <w:p>
      <w:pPr>
        <w:pStyle w:val="Heading2"/>
      </w:pPr>
      <w:r>
        <w:rPr>
          <w:color w:val="2F6F5E"/>
        </w:rPr>
        <w:t>GRI 2 : Éléments généraux 2021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2-1</w:t>
            </w:r>
            <w:r>
              <w:rPr>
                <w:sz w:val="17"/>
              </w:rPr>
              <w:t xml:space="preserve"> Détails sur l'organisation</w:t>
            </w:r>
          </w:p>
        </w:tc>
        <w:tc>
          <w:tcPr>
            <w:tcW w:type="dxa" w:w="2160"/>
          </w:tcPr>
          <w:p>
            <w:r>
              <w:rPr>
                <w:sz w:val="17"/>
              </w:rPr>
            </w:r>
            <w:r>
              <w:rPr>
                <w:sz w:val="17"/>
              </w:rPr>
              <w:t>Partiellement rapporté</w:t>
            </w:r>
          </w:p>
        </w:tc>
        <w:tc>
          <w:tcPr>
            <w:tcW w:type="dxa" w:w="2160"/>
          </w:tcPr>
          <w:p>
            <w:r>
              <w:rPr>
                <w:sz w:val="17"/>
              </w:rPr>
            </w:r>
            <w:r>
              <w:rPr>
                <w:sz w:val="17"/>
              </w:rPr>
              <w:t>Couvert par le récit de l'établissement (PRE-3) ; les champs structurés n'ont pas été extraits.</w:t>
            </w:r>
          </w:p>
        </w:tc>
        <w:tc>
          <w:tcPr>
            <w:tcW w:type="dxa" w:w="2160"/>
          </w:tcPr>
          <w:p>
            <w:r>
              <w:rPr>
                <w:sz w:val="17"/>
              </w:rPr>
            </w:r>
            <w:r>
              <w:rPr>
                <w:sz w:val="17"/>
              </w:rPr>
              <w:t>GRI 2-1 demande aussi la dénomination légale, le siège et les pays d'activité ; STARS ne les collecte pas comme champs.</w:t>
            </w:r>
          </w:p>
        </w:tc>
      </w:tr>
      <w:tr>
        <w:tc>
          <w:tcPr>
            <w:tcW w:type="dxa" w:w="2160"/>
          </w:tcPr>
          <w:p>
            <w:r>
              <w:rPr>
                <w:sz w:val="17"/>
              </w:rPr>
            </w:r>
            <w:r>
              <w:rPr>
                <w:b/>
                <w:sz w:val="17"/>
              </w:rPr>
              <w:t>2-2</w:t>
            </w:r>
            <w:r>
              <w:rPr>
                <w:sz w:val="17"/>
              </w:rPr>
              <w:t xml:space="preserve"> Entités incluses dans le reporting de durabilité</w:t>
            </w:r>
          </w:p>
        </w:tc>
        <w:tc>
          <w:tcPr>
            <w:tcW w:type="dxa" w:w="2160"/>
          </w:tcPr>
          <w:p>
            <w:r>
              <w:rPr>
                <w:sz w:val="17"/>
              </w:rPr>
            </w:r>
            <w:r>
              <w:rPr>
                <w:sz w:val="17"/>
              </w:rPr>
              <w:t>Partiellement rapporté</w:t>
            </w:r>
          </w:p>
        </w:tc>
        <w:tc>
          <w:tcPr>
            <w:tcW w:type="dxa" w:w="2160"/>
          </w:tcPr>
          <w:p>
            <w:r>
              <w:rPr>
                <w:sz w:val="17"/>
              </w:rPr>
            </w:r>
            <w:r>
              <w:rPr>
                <w:sz w:val="17"/>
              </w:rPr>
              <w:t>Couvert par le récit de l'établissement (PRE-3) ; les champs structurés n'ont pas été extraits.</w:t>
            </w:r>
          </w:p>
        </w:tc>
        <w:tc>
          <w:tcPr>
            <w:tcW w:type="dxa" w:w="2160"/>
          </w:tcPr>
          <w:p>
            <w:r>
              <w:rPr>
                <w:sz w:val="17"/>
              </w:rPr>
            </w:r>
            <w:r>
              <w:rPr>
                <w:sz w:val="17"/>
              </w:rPr>
              <w:t>STARS collecte le périmètre sous forme de récit libre, pas de liste d'entités. Les trois établissements n'ont pas le même périmètre : les ratios par personne ou par m² ne sont pas comparables tels quels.</w:t>
            </w:r>
          </w:p>
        </w:tc>
      </w:tr>
      <w:tr>
        <w:tc>
          <w:tcPr>
            <w:tcW w:type="dxa" w:w="2160"/>
          </w:tcPr>
          <w:p>
            <w:r>
              <w:rPr>
                <w:sz w:val="17"/>
              </w:rPr>
            </w:r>
            <w:r>
              <w:rPr>
                <w:b/>
                <w:sz w:val="17"/>
              </w:rPr>
              <w:t>2-3</w:t>
            </w:r>
            <w:r>
              <w:rPr>
                <w:sz w:val="17"/>
              </w:rPr>
              <w:t xml:space="preserve"> Période de reporting, fréquence et point de contact</w:t>
            </w:r>
          </w:p>
        </w:tc>
        <w:tc>
          <w:tcPr>
            <w:tcW w:type="dxa" w:w="2160"/>
          </w:tcPr>
          <w:p>
            <w:r>
              <w:rPr>
                <w:sz w:val="17"/>
              </w:rPr>
            </w:r>
            <w:r>
              <w:rPr>
                <w:sz w:val="17"/>
              </w:rPr>
              <w:t>Partiellement rapporté</w:t>
            </w:r>
          </w:p>
        </w:tc>
        <w:tc>
          <w:tcPr>
            <w:tcW w:type="dxa" w:w="2160"/>
          </w:tcPr>
          <w:p>
            <w:r>
              <w:rPr>
                <w:sz w:val="17"/>
              </w:rPr>
            </w:r>
            <w:r>
              <w:rPr>
                <w:sz w:val="17"/>
              </w:rPr>
              <w:t>Couvert par le récit de l'établissement (PRE-4, OP-6) ; les champs structurés n'ont pas été extraits.</w:t>
            </w:r>
          </w:p>
        </w:tc>
        <w:tc>
          <w:tcPr>
            <w:tcW w:type="dxa" w:w="2160"/>
          </w:tcPr>
          <w:p>
            <w:r>
              <w:rPr>
                <w:sz w:val="17"/>
              </w:rPr>
            </w:r>
            <w:r>
              <w:rPr>
                <w:sz w:val="17"/>
              </w:rPr>
              <w:t>STARS n'a pas de période de reporting unique : les années varient d'un crédit à l'autre. Ni fréquence, ni date de publication, ni point de contact ne sont collectés.</w:t>
            </w:r>
          </w:p>
        </w:tc>
      </w:tr>
      <w:tr>
        <w:tc>
          <w:tcPr>
            <w:tcW w:type="dxa" w:w="2160"/>
          </w:tcPr>
          <w:p>
            <w:r>
              <w:rPr>
                <w:sz w:val="17"/>
              </w:rPr>
            </w:r>
            <w:r>
              <w:rPr>
                <w:b/>
                <w:sz w:val="17"/>
              </w:rPr>
              <w:t>2-4</w:t>
            </w:r>
            <w:r>
              <w:rPr>
                <w:sz w:val="17"/>
              </w:rPr>
              <w:t xml:space="preserve"> Retraitements d'informations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r>
              <w:rPr>
                <w:sz w:val="17"/>
              </w:rPr>
              <w:t>STARS ne suit pas les retraitements. De plus, les versions 2.2 et 3.0 notent différemment les crédits Opérations : une série temporelle entre versions n'est pas valide.</w:t>
            </w:r>
          </w:p>
        </w:tc>
      </w:tr>
      <w:tr>
        <w:tc>
          <w:tcPr>
            <w:tcW w:type="dxa" w:w="2160"/>
          </w:tcPr>
          <w:p>
            <w:r>
              <w:rPr>
                <w:sz w:val="17"/>
              </w:rPr>
            </w:r>
            <w:r>
              <w:rPr>
                <w:b/>
                <w:sz w:val="17"/>
              </w:rPr>
              <w:t>2-5</w:t>
            </w:r>
            <w:r>
              <w:rPr>
                <w:sz w:val="17"/>
              </w:rPr>
              <w:t xml:space="preserve"> Vérification externe</w:t>
            </w:r>
          </w:p>
        </w:tc>
        <w:tc>
          <w:tcPr>
            <w:tcW w:type="dxa" w:w="2160"/>
          </w:tcPr>
          <w:p>
            <w:r>
              <w:rPr>
                <w:sz w:val="17"/>
              </w:rPr>
            </w:r>
            <w:r>
              <w:rPr>
                <w:sz w:val="17"/>
              </w:rPr>
              <w:t>Partiellement rapporté</w:t>
            </w:r>
          </w:p>
        </w:tc>
        <w:tc>
          <w:tcPr>
            <w:tcW w:type="dxa" w:w="2160"/>
          </w:tcPr>
          <w:p>
            <w:r>
              <w:rPr>
                <w:sz w:val="17"/>
              </w:rPr>
            </w:r>
            <w:r>
              <w:rPr>
                <w:sz w:val="17"/>
              </w:rPr>
              <w:t>Couvert par le récit de l'établissement (PRE-4) ; les champs structurés n'ont pas été extraits.</w:t>
            </w:r>
          </w:p>
        </w:tc>
        <w:tc>
          <w:tcPr>
            <w:tcW w:type="dxa" w:w="2160"/>
          </w:tcPr>
          <w:p>
            <w:r>
              <w:rPr>
                <w:sz w:val="17"/>
              </w:rPr>
            </w:r>
            <w:r>
              <w:rPr>
                <w:sz w:val="17"/>
              </w:rPr>
              <w:t>GRI 2-5 demande aussi la norme d'assurance, le niveau d'assurance et la relation avec le vérificateur ; STARS ne les collecte pas. Les données STARS sont autodéclarées et non vérifiées par l'AASHE.</w:t>
            </w:r>
          </w:p>
        </w:tc>
      </w:tr>
      <w:tr>
        <w:tc>
          <w:tcPr>
            <w:tcW w:type="dxa" w:w="2160"/>
          </w:tcPr>
          <w:p>
            <w:r>
              <w:rPr>
                <w:sz w:val="17"/>
              </w:rPr>
            </w:r>
            <w:r>
              <w:rPr>
                <w:b/>
                <w:sz w:val="17"/>
              </w:rPr>
              <w:t>2-6</w:t>
            </w:r>
            <w:r>
              <w:rPr>
                <w:sz w:val="17"/>
              </w:rPr>
              <w:t xml:space="preserve"> Activités, chaîne de valeur et autres relations d'affaires</w:t>
            </w:r>
          </w:p>
        </w:tc>
        <w:tc>
          <w:tcPr>
            <w:tcW w:type="dxa" w:w="2160"/>
          </w:tcPr>
          <w:p>
            <w:r>
              <w:rPr>
                <w:sz w:val="17"/>
              </w:rPr>
            </w:r>
            <w:r>
              <w:rPr>
                <w:sz w:val="17"/>
              </w:rPr>
              <w:t>Partiellement rapporté</w:t>
            </w:r>
          </w:p>
        </w:tc>
        <w:tc>
          <w:tcPr>
            <w:tcW w:type="dxa" w:w="2160"/>
          </w:tcPr>
          <w:p>
            <w:r>
              <w:rPr>
                <w:sz w:val="17"/>
              </w:rPr>
            </w:r>
            <w:r>
              <w:rPr>
                <w:sz w:val="17"/>
              </w:rPr>
              <w:t>Couvert par le récit de l'établissement (PRE-3) ; les champs structurés n'ont pas été extraits.</w:t>
            </w:r>
          </w:p>
        </w:tc>
        <w:tc>
          <w:tcPr>
            <w:tcW w:type="dxa" w:w="2160"/>
          </w:tcPr>
          <w:p>
            <w:r>
              <w:rPr>
                <w:sz w:val="17"/>
              </w:rPr>
            </w:r>
            <w:r>
              <w:rPr>
                <w:sz w:val="17"/>
              </w:rPr>
              <w:t>STARS liste des éléments physiques du campus ; ni chaîne de valeur, ni produits et services, ni marchés desservis.</w:t>
            </w:r>
          </w:p>
        </w:tc>
      </w:tr>
      <w:tr>
        <w:tc>
          <w:tcPr>
            <w:tcW w:type="dxa" w:w="2160"/>
          </w:tcPr>
          <w:p>
            <w:r>
              <w:rPr>
                <w:sz w:val="17"/>
              </w:rPr>
            </w:r>
            <w:r>
              <w:rPr>
                <w:b/>
                <w:sz w:val="17"/>
              </w:rPr>
              <w:t>2-7</w:t>
            </w:r>
            <w:r>
              <w:rPr>
                <w:sz w:val="17"/>
              </w:rPr>
              <w:t xml:space="preserve"> Salariés</w:t>
            </w:r>
          </w:p>
        </w:tc>
        <w:tc>
          <w:tcPr>
            <w:tcW w:type="dxa" w:w="2160"/>
          </w:tcPr>
          <w:p>
            <w:r>
              <w:rPr>
                <w:sz w:val="17"/>
              </w:rPr>
            </w:r>
            <w:r>
              <w:rPr>
                <w:sz w:val="17"/>
              </w:rPr>
              <w:t>Non évalué</w:t>
            </w:r>
          </w:p>
        </w:tc>
        <w:tc>
          <w:tcPr>
            <w:tcW w:type="dxa" w:w="2160"/>
          </w:tcPr>
          <w:p>
            <w:r>
              <w:rPr>
                <w:sz w:val="17"/>
              </w:rPr>
            </w:r>
            <w:r>
              <w:rPr>
                <w:sz w:val="17"/>
              </w:rPr>
              <w:t>Champ STARS identifié (PRE-3) mais valeur non extraite : nécessite les pages STARS authentifiées.</w:t>
            </w:r>
          </w:p>
        </w:tc>
        <w:tc>
          <w:tcPr>
            <w:tcW w:type="dxa" w:w="2160"/>
          </w:tcPr>
          <w:p>
            <w:r>
              <w:rPr>
                <w:sz w:val="17"/>
              </w:rPr>
            </w:r>
            <w:r>
              <w:rPr>
                <w:sz w:val="17"/>
              </w:rPr>
              <w:t>Un équivalent temps plein n'est pas un effectif. Aucune ventilation par contrat, temps de travail, genre ou région.</w:t>
            </w:r>
          </w:p>
        </w:tc>
      </w:tr>
      <w:tr>
        <w:tc>
          <w:tcPr>
            <w:tcW w:type="dxa" w:w="2160"/>
          </w:tcPr>
          <w:p>
            <w:r>
              <w:rPr>
                <w:sz w:val="17"/>
              </w:rPr>
            </w:r>
            <w:r>
              <w:rPr>
                <w:b/>
                <w:sz w:val="17"/>
              </w:rPr>
              <w:t>2-8</w:t>
            </w:r>
            <w:r>
              <w:rPr>
                <w:sz w:val="17"/>
              </w:rPr>
              <w:t xml:space="preserve"> Travailleurs non salariés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r>
              <w:rPr>
                <w:sz w:val="17"/>
              </w:rPr>
              <w:t>STARS ne compte pas les travailleurs des sous-traitants.</w:t>
            </w:r>
          </w:p>
        </w:tc>
      </w:tr>
      <w:tr>
        <w:tc>
          <w:tcPr>
            <w:tcW w:type="dxa" w:w="2160"/>
          </w:tcPr>
          <w:p>
            <w:r>
              <w:rPr>
                <w:sz w:val="17"/>
              </w:rPr>
            </w:r>
            <w:r>
              <w:rPr>
                <w:b/>
                <w:sz w:val="17"/>
              </w:rPr>
              <w:t>2-9</w:t>
            </w:r>
            <w:r>
              <w:rPr>
                <w:sz w:val="17"/>
              </w:rPr>
              <w:t xml:space="preserve"> Structure et composition de la gouvernance</w:t>
            </w:r>
          </w:p>
        </w:tc>
        <w:tc>
          <w:tcPr>
            <w:tcW w:type="dxa" w:w="2160"/>
          </w:tcPr>
          <w:p>
            <w:r>
              <w:rPr>
                <w:sz w:val="17"/>
              </w:rPr>
            </w:r>
            <w:r>
              <w:rPr>
                <w:sz w:val="17"/>
              </w:rPr>
              <w:t>Partiellement rapporté</w:t>
            </w:r>
          </w:p>
        </w:tc>
        <w:tc>
          <w:tcPr>
            <w:tcW w:type="dxa" w:w="2160"/>
          </w:tcPr>
          <w:p>
            <w:r>
              <w:rPr>
                <w:sz w:val="17"/>
              </w:rPr>
            </w:r>
            <w:r>
              <w:rPr>
                <w:sz w:val="17"/>
              </w:rPr>
              <w:t>Couvert par le récit de l'établissement (PA-3) ; les champs structurés n'ont pas été extraits.</w:t>
            </w:r>
          </w:p>
        </w:tc>
        <w:tc>
          <w:tcPr>
            <w:tcW w:type="dxa" w:w="2160"/>
          </w:tcPr>
          <w:p>
            <w:r>
              <w:rPr>
                <w:sz w:val="17"/>
              </w:rPr>
            </w:r>
            <w:r>
              <w:rPr>
                <w:sz w:val="17"/>
              </w:rPr>
              <w:t>STARS indique si chaque catégorie est représentée, pas la composition chiffrée (nombre de membres, indépendance, genre).</w:t>
            </w:r>
          </w:p>
        </w:tc>
      </w:tr>
      <w:tr>
        <w:tc>
          <w:tcPr>
            <w:tcW w:type="dxa" w:w="2160"/>
          </w:tcPr>
          <w:p>
            <w:r>
              <w:rPr>
                <w:sz w:val="17"/>
              </w:rPr>
            </w:r>
            <w:r>
              <w:rPr>
                <w:b/>
                <w:sz w:val="17"/>
              </w:rPr>
              <w:t>2-10</w:t>
            </w:r>
            <w:r>
              <w:rPr>
                <w:sz w:val="17"/>
              </w:rPr>
              <w:t xml:space="preserve"> Nomination et sélection de l'organe de gouvernance le plus élevé</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2-11</w:t>
            </w:r>
            <w:r>
              <w:rPr>
                <w:sz w:val="17"/>
              </w:rPr>
              <w:t xml:space="preserve"> Président de l'organe de gouvernance le plus élevé</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2-12</w:t>
            </w:r>
            <w:r>
              <w:rPr>
                <w:sz w:val="17"/>
              </w:rPr>
              <w:t xml:space="preserve"> Rôle de l'organe de gouvernance dans la supervision de la gestion des impacts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2-13</w:t>
            </w:r>
            <w:r>
              <w:rPr>
                <w:sz w:val="17"/>
              </w:rPr>
              <w:t xml:space="preserve"> Délégation de la responsabilité de la gestion des impacts</w:t>
            </w:r>
          </w:p>
        </w:tc>
        <w:tc>
          <w:tcPr>
            <w:tcW w:type="dxa" w:w="2160"/>
          </w:tcPr>
          <w:p>
            <w:r>
              <w:rPr>
                <w:sz w:val="17"/>
              </w:rPr>
            </w:r>
            <w:r>
              <w:rPr>
                <w:sz w:val="17"/>
              </w:rPr>
              <w:t>Partiellement rapporté</w:t>
            </w:r>
          </w:p>
        </w:tc>
        <w:tc>
          <w:tcPr>
            <w:tcW w:type="dxa" w:w="2160"/>
          </w:tcPr>
          <w:p>
            <w:r>
              <w:rPr>
                <w:sz w:val="17"/>
              </w:rPr>
            </w:r>
            <w:r>
              <w:rPr>
                <w:sz w:val="17"/>
              </w:rPr>
              <w:t>Couvert par le récit de l'établissement (PA-1) ; les champs structurés n'ont pas été extraits.</w:t>
            </w:r>
          </w:p>
        </w:tc>
        <w:tc>
          <w:tcPr>
            <w:tcW w:type="dxa" w:w="2160"/>
          </w:tcPr>
          <w:p>
            <w:r>
              <w:rPr>
                <w:sz w:val="17"/>
              </w:rPr>
            </w:r>
            <w:r>
              <w:rPr>
                <w:sz w:val="17"/>
              </w:rPr>
              <w:t>GRI 2-13-b demande si et à quelle fréquence ces responsables rendent compte à l'organe de gouvernance ; STARS ne le demande pas.</w:t>
            </w:r>
          </w:p>
        </w:tc>
      </w:tr>
      <w:tr>
        <w:tc>
          <w:tcPr>
            <w:tcW w:type="dxa" w:w="2160"/>
          </w:tcPr>
          <w:p>
            <w:r>
              <w:rPr>
                <w:sz w:val="17"/>
              </w:rPr>
            </w:r>
            <w:r>
              <w:rPr>
                <w:b/>
                <w:sz w:val="17"/>
              </w:rPr>
              <w:t>2-14</w:t>
            </w:r>
            <w:r>
              <w:rPr>
                <w:sz w:val="17"/>
              </w:rPr>
              <w:t xml:space="preserve"> Rôle de l'organe de gouvernance dans le reporting de durabilité</w:t>
            </w:r>
          </w:p>
        </w:tc>
        <w:tc>
          <w:tcPr>
            <w:tcW w:type="dxa" w:w="2160"/>
          </w:tcPr>
          <w:p>
            <w:r>
              <w:rPr>
                <w:sz w:val="17"/>
              </w:rPr>
            </w:r>
            <w:r>
              <w:rPr>
                <w:sz w:val="17"/>
              </w:rPr>
              <w:t>Partiellement rapporté</w:t>
            </w:r>
          </w:p>
        </w:tc>
        <w:tc>
          <w:tcPr>
            <w:tcW w:type="dxa" w:w="2160"/>
          </w:tcPr>
          <w:p>
            <w:r>
              <w:rPr>
                <w:sz w:val="17"/>
              </w:rPr>
            </w:r>
            <w:r>
              <w:rPr>
                <w:sz w:val="17"/>
              </w:rPr>
              <w:t>Couvert par le récit de l'établissement (PRE-1) ; les champs structurés n'ont pas été extraits.</w:t>
            </w:r>
          </w:p>
        </w:tc>
        <w:tc>
          <w:tcPr>
            <w:tcW w:type="dxa" w:w="2160"/>
          </w:tcPr>
          <w:p>
            <w:r>
              <w:rPr>
                <w:sz w:val="17"/>
              </w:rPr>
            </w:r>
            <w:r>
              <w:rPr>
                <w:sz w:val="17"/>
              </w:rPr>
              <w:t>Une lettre signée par la direction n'est pas une revue et une approbation par l'organe de gouvernance ; le texte de la lettre n'est pas dans les données.</w:t>
            </w:r>
          </w:p>
        </w:tc>
      </w:tr>
      <w:tr>
        <w:tc>
          <w:tcPr>
            <w:tcW w:type="dxa" w:w="2160"/>
          </w:tcPr>
          <w:p>
            <w:r>
              <w:rPr>
                <w:sz w:val="17"/>
              </w:rPr>
            </w:r>
            <w:r>
              <w:rPr>
                <w:b/>
                <w:sz w:val="17"/>
              </w:rPr>
              <w:t>2-15</w:t>
            </w:r>
            <w:r>
              <w:rPr>
                <w:sz w:val="17"/>
              </w:rPr>
              <w:t xml:space="preserve"> Conflits d'intérêts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2-16</w:t>
            </w:r>
            <w:r>
              <w:rPr>
                <w:sz w:val="17"/>
              </w:rPr>
              <w:t xml:space="preserve"> Communication des préoccupations majeures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2-17</w:t>
            </w:r>
            <w:r>
              <w:rPr>
                <w:sz w:val="17"/>
              </w:rPr>
              <w:t xml:space="preserve"> Connaissances collectives de l'organe de gouvernance</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2-18</w:t>
            </w:r>
            <w:r>
              <w:rPr>
                <w:sz w:val="17"/>
              </w:rPr>
              <w:t xml:space="preserve"> Évaluation de la performance de l'organe de gouvernance</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2-19</w:t>
            </w:r>
            <w:r>
              <w:rPr>
                <w:sz w:val="17"/>
              </w:rPr>
              <w:t xml:space="preserve"> Politiques de rémunération</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2-20</w:t>
            </w:r>
            <w:r>
              <w:rPr>
                <w:sz w:val="17"/>
              </w:rPr>
              <w:t xml:space="preserve"> Procédure de détermination de la rémunération</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2-21</w:t>
            </w:r>
            <w:r>
              <w:rPr>
                <w:sz w:val="17"/>
              </w:rPr>
              <w:t xml:space="preserve"> Ratio de rémunération totale annuelle</w:t>
            </w:r>
          </w:p>
        </w:tc>
        <w:tc>
          <w:tcPr>
            <w:tcW w:type="dxa" w:w="2160"/>
          </w:tcPr>
          <w:p>
            <w:r>
              <w:rPr>
                <w:sz w:val="17"/>
              </w:rPr>
            </w:r>
            <w:r>
              <w:rPr>
                <w:sz w:val="17"/>
              </w:rPr>
              <w:t>Non rapporté</w:t>
            </w:r>
          </w:p>
        </w:tc>
        <w:tc>
          <w:tcPr>
            <w:tcW w:type="dxa" w:w="2160"/>
          </w:tcPr>
          <w:p>
            <w:r>
              <w:rPr>
                <w:sz w:val="17"/>
              </w:rPr>
            </w:r>
            <w:r>
              <w:rPr>
                <w:sz w:val="17"/>
              </w:rPr>
              <w:t>Aucune donnée : IL-62 non renseigné par l'établissement.</w:t>
            </w:r>
          </w:p>
        </w:tc>
        <w:tc>
          <w:tcPr>
            <w:tcW w:type="dxa" w:w="2160"/>
          </w:tcPr>
          <w:p>
            <w:r>
              <w:rPr>
                <w:sz w:val="17"/>
              </w:rPr>
            </w:r>
            <w:r>
              <w:rPr>
                <w:sz w:val="17"/>
              </w:rPr>
              <w:t>Dénominateurs différents : GRI divise par la rémunération MÉDIANE, STARS (IL-62, crédit bonus facultatif) par la plus BASSE. Le chiffre STARS n'est pas comparable à un ratio GRI 2-21.</w:t>
            </w:r>
          </w:p>
        </w:tc>
      </w:tr>
      <w:tr>
        <w:tc>
          <w:tcPr>
            <w:tcW w:type="dxa" w:w="2160"/>
          </w:tcPr>
          <w:p>
            <w:r>
              <w:rPr>
                <w:sz w:val="17"/>
              </w:rPr>
            </w:r>
            <w:r>
              <w:rPr>
                <w:b/>
                <w:sz w:val="17"/>
              </w:rPr>
              <w:t>2-22</w:t>
            </w:r>
            <w:r>
              <w:rPr>
                <w:sz w:val="17"/>
              </w:rPr>
              <w:t xml:space="preserve"> Déclaration sur la stratégie de développement durable</w:t>
            </w:r>
          </w:p>
        </w:tc>
        <w:tc>
          <w:tcPr>
            <w:tcW w:type="dxa" w:w="2160"/>
          </w:tcPr>
          <w:p>
            <w:r>
              <w:rPr>
                <w:sz w:val="17"/>
              </w:rPr>
            </w:r>
            <w:r>
              <w:rPr>
                <w:sz w:val="17"/>
              </w:rPr>
              <w:t>Partiellement rapporté</w:t>
            </w:r>
          </w:p>
        </w:tc>
        <w:tc>
          <w:tcPr>
            <w:tcW w:type="dxa" w:w="2160"/>
          </w:tcPr>
          <w:p>
            <w:r>
              <w:rPr>
                <w:sz w:val="17"/>
              </w:rPr>
            </w:r>
            <w:r>
              <w:rPr>
                <w:sz w:val="17"/>
              </w:rPr>
              <w:t>Couvert par le récit de l'établissement (PA-2) ; les champs structurés n'ont pas été extraits.</w:t>
            </w:r>
          </w:p>
        </w:tc>
        <w:tc>
          <w:tcPr>
            <w:tcW w:type="dxa" w:w="2160"/>
          </w:tcPr>
          <w:p>
            <w:r>
              <w:rPr>
                <w:sz w:val="17"/>
              </w:rPr>
            </w:r>
            <w:r>
              <w:rPr>
                <w:sz w:val="17"/>
              </w:rPr>
              <w:t>GRI 2-22 exige une déclaration de l'organe de gouvernance ou du dirigeant le plus élevé ; STARS n'attribue pas la vision à un signataire.</w:t>
            </w:r>
          </w:p>
        </w:tc>
      </w:tr>
      <w:tr>
        <w:tc>
          <w:tcPr>
            <w:tcW w:type="dxa" w:w="2160"/>
          </w:tcPr>
          <w:p>
            <w:r>
              <w:rPr>
                <w:sz w:val="17"/>
              </w:rPr>
            </w:r>
            <w:r>
              <w:rPr>
                <w:b/>
                <w:sz w:val="17"/>
              </w:rPr>
              <w:t>2-23</w:t>
            </w:r>
            <w:r>
              <w:rPr>
                <w:sz w:val="17"/>
              </w:rPr>
              <w:t xml:space="preserve"> Engagements politiques</w:t>
            </w:r>
          </w:p>
        </w:tc>
        <w:tc>
          <w:tcPr>
            <w:tcW w:type="dxa" w:w="2160"/>
          </w:tcPr>
          <w:p>
            <w:r>
              <w:rPr>
                <w:sz w:val="17"/>
              </w:rPr>
            </w:r>
            <w:r>
              <w:rPr>
                <w:sz w:val="17"/>
              </w:rPr>
              <w:t>Partiellement rapporté</w:t>
            </w:r>
          </w:p>
        </w:tc>
        <w:tc>
          <w:tcPr>
            <w:tcW w:type="dxa" w:w="2160"/>
          </w:tcPr>
          <w:p>
            <w:r>
              <w:rPr>
                <w:sz w:val="17"/>
              </w:rPr>
            </w:r>
            <w:r>
              <w:rPr>
                <w:sz w:val="17"/>
              </w:rPr>
              <w:t>Couvert par le récit de l'établissement (PA-2) ; les champs structurés n'ont pas été extraits.</w:t>
            </w:r>
          </w:p>
        </w:tc>
        <w:tc>
          <w:tcPr>
            <w:tcW w:type="dxa" w:w="2160"/>
          </w:tcPr>
          <w:p>
            <w:r>
              <w:rPr>
                <w:sz w:val="17"/>
              </w:rPr>
            </w:r>
            <w:r>
              <w:rPr>
                <w:sz w:val="17"/>
              </w:rPr>
              <w:t>GRI 2-23 vise les engagements relatifs aux droits humains et au devoir de vigilance ; un engagement de durabilité est plus large et ne les implique pas.</w:t>
            </w:r>
          </w:p>
        </w:tc>
      </w:tr>
      <w:tr>
        <w:tc>
          <w:tcPr>
            <w:tcW w:type="dxa" w:w="2160"/>
          </w:tcPr>
          <w:p>
            <w:r>
              <w:rPr>
                <w:sz w:val="17"/>
              </w:rPr>
            </w:r>
            <w:r>
              <w:rPr>
                <w:b/>
                <w:sz w:val="17"/>
              </w:rPr>
              <w:t>2-24</w:t>
            </w:r>
            <w:r>
              <w:rPr>
                <w:sz w:val="17"/>
              </w:rPr>
              <w:t xml:space="preserve"> Intégration des engagements politiques</w:t>
            </w:r>
          </w:p>
        </w:tc>
        <w:tc>
          <w:tcPr>
            <w:tcW w:type="dxa" w:w="2160"/>
          </w:tcPr>
          <w:p>
            <w:r>
              <w:rPr>
                <w:sz w:val="17"/>
              </w:rPr>
            </w:r>
            <w:r>
              <w:rPr>
                <w:sz w:val="17"/>
              </w:rPr>
              <w:t>Partiellement rapporté</w:t>
            </w:r>
          </w:p>
        </w:tc>
        <w:tc>
          <w:tcPr>
            <w:tcW w:type="dxa" w:w="2160"/>
          </w:tcPr>
          <w:p>
            <w:r>
              <w:rPr>
                <w:sz w:val="17"/>
              </w:rPr>
            </w:r>
            <w:r>
              <w:rPr>
                <w:sz w:val="17"/>
              </w:rPr>
              <w:t>Couvert par le récit de l'établissement (OP-9, EN-3, PA-1) ; les champs structurés n'ont pas été extraits.</w:t>
            </w:r>
          </w:p>
        </w:tc>
        <w:tc>
          <w:tcPr>
            <w:tcW w:type="dxa" w:w="2160"/>
          </w:tcPr>
          <w:p>
            <w:r>
              <w:rPr>
                <w:sz w:val="17"/>
              </w:rPr>
            </w:r>
            <w:r>
              <w:rPr>
                <w:sz w:val="17"/>
              </w:rPr>
              <w:t>STARS décrit des résultats (code fournisseurs, formations) mais pas l'attribution interne des responsabilités ni l'intégration dans les procédures.</w:t>
            </w:r>
          </w:p>
        </w:tc>
      </w:tr>
      <w:tr>
        <w:tc>
          <w:tcPr>
            <w:tcW w:type="dxa" w:w="2160"/>
          </w:tcPr>
          <w:p>
            <w:r>
              <w:rPr>
                <w:sz w:val="17"/>
              </w:rPr>
            </w:r>
            <w:r>
              <w:rPr>
                <w:b/>
                <w:sz w:val="17"/>
              </w:rPr>
              <w:t>2-25</w:t>
            </w:r>
            <w:r>
              <w:rPr>
                <w:sz w:val="17"/>
              </w:rPr>
              <w:t xml:space="preserve"> Processus de remédiation des impacts négatifs</w:t>
            </w:r>
          </w:p>
        </w:tc>
        <w:tc>
          <w:tcPr>
            <w:tcW w:type="dxa" w:w="2160"/>
          </w:tcPr>
          <w:p>
            <w:r>
              <w:rPr>
                <w:sz w:val="17"/>
              </w:rPr>
            </w:r>
            <w:r>
              <w:rPr>
                <w:sz w:val="17"/>
              </w:rPr>
              <w:t>Partiellement rapporté</w:t>
            </w:r>
          </w:p>
        </w:tc>
        <w:tc>
          <w:tcPr>
            <w:tcW w:type="dxa" w:w="2160"/>
          </w:tcPr>
          <w:p>
            <w:r>
              <w:rPr>
                <w:sz w:val="17"/>
              </w:rPr>
            </w:r>
            <w:r>
              <w:rPr>
                <w:sz w:val="17"/>
              </w:rPr>
              <w:t>Couvert par le récit de l'établissement (PA-12) ; les champs structurés n'ont pas été extraits.</w:t>
            </w:r>
          </w:p>
        </w:tc>
        <w:tc>
          <w:tcPr>
            <w:tcW w:type="dxa" w:w="2160"/>
          </w:tcPr>
          <w:p>
            <w:r>
              <w:rPr>
                <w:sz w:val="17"/>
              </w:rPr>
            </w:r>
            <w:r>
              <w:rPr>
                <w:sz w:val="17"/>
              </w:rPr>
              <w:t>STARS indique seulement que l'information est publiée, pour les salariés uniquement ; GRI vise toutes les parties prenantes affectées.</w:t>
            </w:r>
          </w:p>
        </w:tc>
      </w:tr>
      <w:tr>
        <w:tc>
          <w:tcPr>
            <w:tcW w:type="dxa" w:w="2160"/>
          </w:tcPr>
          <w:p>
            <w:r>
              <w:rPr>
                <w:sz w:val="17"/>
              </w:rPr>
            </w:r>
            <w:r>
              <w:rPr>
                <w:b/>
                <w:sz w:val="17"/>
              </w:rPr>
              <w:t>2-26</w:t>
            </w:r>
            <w:r>
              <w:rPr>
                <w:sz w:val="17"/>
              </w:rPr>
              <w:t xml:space="preserve"> Mécanismes de demande de conseil et de signalement</w:t>
            </w:r>
          </w:p>
        </w:tc>
        <w:tc>
          <w:tcPr>
            <w:tcW w:type="dxa" w:w="2160"/>
          </w:tcPr>
          <w:p>
            <w:r>
              <w:rPr>
                <w:sz w:val="17"/>
              </w:rPr>
            </w:r>
            <w:r>
              <w:rPr>
                <w:sz w:val="17"/>
              </w:rPr>
              <w:t>Partiellement rapporté</w:t>
            </w:r>
          </w:p>
        </w:tc>
        <w:tc>
          <w:tcPr>
            <w:tcW w:type="dxa" w:w="2160"/>
          </w:tcPr>
          <w:p>
            <w:r>
              <w:rPr>
                <w:sz w:val="17"/>
              </w:rPr>
            </w:r>
            <w:r>
              <w:rPr>
                <w:sz w:val="17"/>
              </w:rPr>
              <w:t>Couvert par le récit de l'établissement (PA-12) ; les champs structurés n'ont pas été extraits.</w:t>
            </w:r>
          </w:p>
        </w:tc>
        <w:tc>
          <w:tcPr>
            <w:tcW w:type="dxa" w:w="2160"/>
          </w:tcPr>
          <w:p>
            <w:r>
              <w:rPr>
                <w:sz w:val="17"/>
              </w:rPr>
            </w:r>
            <w:r>
              <w:rPr>
                <w:sz w:val="17"/>
              </w:rPr>
              <w:t>Salariés uniquement ; GRI 2-26 couvre aussi les personnes en relation d'affaires.</w:t>
            </w:r>
          </w:p>
        </w:tc>
      </w:tr>
      <w:tr>
        <w:tc>
          <w:tcPr>
            <w:tcW w:type="dxa" w:w="2160"/>
          </w:tcPr>
          <w:p>
            <w:r>
              <w:rPr>
                <w:sz w:val="17"/>
              </w:rPr>
            </w:r>
            <w:r>
              <w:rPr>
                <w:b/>
                <w:sz w:val="17"/>
              </w:rPr>
              <w:t>2-27</w:t>
            </w:r>
            <w:r>
              <w:rPr>
                <w:sz w:val="17"/>
              </w:rPr>
              <w:t xml:space="preserve"> Conformité aux lois et réglementations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r>
              <w:rPr>
                <w:sz w:val="17"/>
              </w:rPr>
              <w:t>STARS ne collecte ni non-conformités, ni amendes, ni sanctions.</w:t>
            </w:r>
          </w:p>
        </w:tc>
      </w:tr>
      <w:tr>
        <w:tc>
          <w:tcPr>
            <w:tcW w:type="dxa" w:w="2160"/>
          </w:tcPr>
          <w:p>
            <w:r>
              <w:rPr>
                <w:sz w:val="17"/>
              </w:rPr>
            </w:r>
            <w:r>
              <w:rPr>
                <w:b/>
                <w:sz w:val="17"/>
              </w:rPr>
              <w:t>2-28</w:t>
            </w:r>
            <w:r>
              <w:rPr>
                <w:sz w:val="17"/>
              </w:rPr>
              <w:t xml:space="preserve"> Adhésion à des associations</w:t>
            </w:r>
          </w:p>
        </w:tc>
        <w:tc>
          <w:tcPr>
            <w:tcW w:type="dxa" w:w="2160"/>
          </w:tcPr>
          <w:p>
            <w:r>
              <w:rPr>
                <w:sz w:val="17"/>
              </w:rPr>
            </w:r>
            <w:r>
              <w:rPr>
                <w:sz w:val="17"/>
              </w:rPr>
              <w:t>Partiellement rapporté</w:t>
            </w:r>
          </w:p>
        </w:tc>
        <w:tc>
          <w:tcPr>
            <w:tcW w:type="dxa" w:w="2160"/>
          </w:tcPr>
          <w:p>
            <w:r>
              <w:rPr>
                <w:sz w:val="17"/>
              </w:rPr>
            </w:r>
            <w:r>
              <w:rPr>
                <w:sz w:val="17"/>
              </w:rPr>
              <w:t>Couvert par le récit de l'établissement (PA-2) ; les champs structurés n'ont pas été extraits.</w:t>
            </w:r>
          </w:p>
        </w:tc>
        <w:tc>
          <w:tcPr>
            <w:tcW w:type="dxa" w:w="2160"/>
          </w:tcPr>
          <w:p>
            <w:r>
              <w:rPr>
                <w:sz w:val="17"/>
              </w:rPr>
            </w:r>
            <w:r>
              <w:rPr>
                <w:sz w:val="17"/>
              </w:rPr>
              <w:t>Signer une charte n'est pas adhérer à une association ; STARS restreint le champ aux engagements assortis d'une obligation de reporting.</w:t>
            </w:r>
          </w:p>
        </w:tc>
      </w:tr>
      <w:tr>
        <w:tc>
          <w:tcPr>
            <w:tcW w:type="dxa" w:w="2160"/>
          </w:tcPr>
          <w:p>
            <w:r>
              <w:rPr>
                <w:sz w:val="17"/>
              </w:rPr>
            </w:r>
            <w:r>
              <w:rPr>
                <w:b/>
                <w:sz w:val="17"/>
              </w:rPr>
              <w:t>2-29</w:t>
            </w:r>
            <w:r>
              <w:rPr>
                <w:sz w:val="17"/>
              </w:rPr>
              <w:t xml:space="preserve"> Approche de l'engagement des parties prenantes</w:t>
            </w:r>
          </w:p>
        </w:tc>
        <w:tc>
          <w:tcPr>
            <w:tcW w:type="dxa" w:w="2160"/>
          </w:tcPr>
          <w:p>
            <w:r>
              <w:rPr>
                <w:sz w:val="17"/>
              </w:rPr>
            </w:r>
            <w:r>
              <w:rPr>
                <w:sz w:val="17"/>
              </w:rPr>
              <w:t>Partiellement rapporté</w:t>
            </w:r>
          </w:p>
        </w:tc>
        <w:tc>
          <w:tcPr>
            <w:tcW w:type="dxa" w:w="2160"/>
          </w:tcPr>
          <w:p>
            <w:r>
              <w:rPr>
                <w:sz w:val="17"/>
              </w:rPr>
            </w:r>
            <w:r>
              <w:rPr>
                <w:sz w:val="17"/>
              </w:rPr>
              <w:t>Couvert par le récit de l'établissement (PA-3, EN-6) ; les champs structurés n'ont pas été extraits.</w:t>
            </w:r>
          </w:p>
        </w:tc>
        <w:tc>
          <w:tcPr>
            <w:tcW w:type="dxa" w:w="2160"/>
          </w:tcPr>
          <w:p>
            <w:r>
              <w:rPr>
                <w:sz w:val="17"/>
              </w:rPr>
            </w:r>
            <w:r>
              <w:rPr>
                <w:sz w:val="17"/>
              </w:rPr>
              <w:t>STARS couvre quatre catégories fixes (étudiants, enseignants, personnel, communauté locale) ; ni fournisseurs, ni groupes vulnérables, ni méthode d'identification des parties prenantes.</w:t>
            </w:r>
          </w:p>
        </w:tc>
      </w:tr>
      <w:tr>
        <w:tc>
          <w:tcPr>
            <w:tcW w:type="dxa" w:w="2160"/>
          </w:tcPr>
          <w:p>
            <w:r>
              <w:rPr>
                <w:sz w:val="17"/>
              </w:rPr>
            </w:r>
            <w:r>
              <w:rPr>
                <w:b/>
                <w:sz w:val="17"/>
              </w:rPr>
              <w:t>2-30</w:t>
            </w:r>
            <w:r>
              <w:rPr>
                <w:sz w:val="17"/>
              </w:rPr>
              <w:t xml:space="preserve"> Conventions collectives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r>
              <w:rPr>
                <w:sz w:val="17"/>
              </w:rPr>
              <w:t>STARS ne collecte pas le pourcentage de salariés couverts par une convention collective.</w:t>
            </w:r>
          </w:p>
        </w:tc>
      </w:tr>
    </w:tbl>
    <w:p/>
    <w:p>
      <w:pPr>
        <w:pStyle w:val="Heading2"/>
      </w:pPr>
      <w:r>
        <w:rPr>
          <w:color w:val="2F6F5E"/>
        </w:rPr>
        <w:t>GRI 3 : Thèmes matériels 2021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3-1</w:t>
            </w:r>
            <w:r>
              <w:rPr>
                <w:sz w:val="17"/>
              </w:rPr>
              <w:t xml:space="preserve"> Processus de détermination des thèmes matériels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r>
              <w:rPr>
                <w:sz w:val="17"/>
              </w:rPr>
              <w:t>Différence structurelle entre référentiels, pas une donnée manquante : STARS impose un ensemble fixe de crédits. Ce rapport ne peut pas établir l'existence d'un processus de matérialité — il ne peut pas non plus affirmer qu'il n'en existe pas.</w:t>
            </w:r>
          </w:p>
        </w:tc>
      </w:tr>
      <w:tr>
        <w:tc>
          <w:tcPr>
            <w:tcW w:type="dxa" w:w="2160"/>
          </w:tcPr>
          <w:p>
            <w:r>
              <w:rPr>
                <w:sz w:val="17"/>
              </w:rPr>
            </w:r>
            <w:r>
              <w:rPr>
                <w:b/>
                <w:sz w:val="17"/>
              </w:rPr>
              <w:t>3-2</w:t>
            </w:r>
            <w:r>
              <w:rPr>
                <w:sz w:val="17"/>
              </w:rPr>
              <w:t xml:space="preserve"> Liste des thèmes matériels</w:t>
            </w:r>
          </w:p>
        </w:tc>
        <w:tc>
          <w:tcPr>
            <w:tcW w:type="dxa" w:w="2160"/>
          </w:tcPr>
          <w:p>
            <w:r>
              <w:rPr>
                <w:sz w:val="17"/>
              </w:rPr>
            </w:r>
            <w:r>
              <w:rPr>
                <w:sz w:val="17"/>
              </w:rPr>
              <w:t>Partiellement rapporté</w:t>
            </w:r>
          </w:p>
        </w:tc>
        <w:tc>
          <w:tcPr>
            <w:tcW w:type="dxa" w:w="2160"/>
          </w:tcPr>
          <w:p>
            <w:r>
              <w:rPr>
                <w:sz w:val="17"/>
              </w:rPr>
            </w:r>
            <w:r>
              <w:rPr>
                <w:sz w:val="17"/>
              </w:rPr>
              <w:t>Couvert par le récit de l'établissement (PA-2) ; les champs structurés n'ont pas été extraits.</w:t>
            </w:r>
          </w:p>
        </w:tc>
        <w:tc>
          <w:tcPr>
            <w:tcW w:type="dxa" w:w="2160"/>
          </w:tcPr>
          <w:p>
            <w:r>
              <w:rPr>
                <w:sz w:val="17"/>
              </w:rPr>
            </w:r>
            <w:r>
              <w:rPr>
                <w:sz w:val="17"/>
              </w:rPr>
              <w:t>Les cinq domaines d'objectifs sont fixés par STARS et identiques pour toutes les institutions : ils ne constituent pas une détermination de matérialité.</w:t>
            </w:r>
          </w:p>
        </w:tc>
      </w:tr>
      <w:tr>
        <w:tc>
          <w:tcPr>
            <w:tcW w:type="dxa" w:w="2160"/>
          </w:tcPr>
          <w:p>
            <w:r>
              <w:rPr>
                <w:sz w:val="17"/>
              </w:rPr>
            </w:r>
            <w:r>
              <w:rPr>
                <w:b/>
                <w:sz w:val="17"/>
              </w:rPr>
              <w:t>3-3</w:t>
            </w:r>
            <w:r>
              <w:rPr>
                <w:sz w:val="17"/>
              </w:rPr>
              <w:t xml:space="preserve"> Gestion des thèmes matériels</w:t>
            </w:r>
          </w:p>
        </w:tc>
        <w:tc>
          <w:tcPr>
            <w:tcW w:type="dxa" w:w="2160"/>
          </w:tcPr>
          <w:p>
            <w:r>
              <w:rPr>
                <w:sz w:val="17"/>
              </w:rPr>
            </w:r>
            <w:r>
              <w:rPr>
                <w:sz w:val="17"/>
              </w:rPr>
              <w:t>Partiellement rapporté</w:t>
            </w:r>
          </w:p>
        </w:tc>
        <w:tc>
          <w:tcPr>
            <w:tcW w:type="dxa" w:w="2160"/>
          </w:tcPr>
          <w:p>
            <w:r>
              <w:rPr>
                <w:sz w:val="17"/>
              </w:rPr>
            </w:r>
            <w:r>
              <w:rPr>
                <w:sz w:val="17"/>
              </w:rPr>
              <w:t>Couvert par le récit de l'établissement (PA-2, PA-1) ; les champs structurés n'ont pas été extraits.</w:t>
            </w:r>
          </w:p>
        </w:tc>
        <w:tc>
          <w:tcPr>
            <w:tcW w:type="dxa" w:w="2160"/>
          </w:tcPr>
          <w:p>
            <w:r>
              <w:rPr>
                <w:sz w:val="17"/>
              </w:rPr>
            </w:r>
            <w:r>
              <w:rPr>
                <w:sz w:val="17"/>
              </w:rPr>
              <w:t>Réponses à l'échelle de l'établissement à une question que GRI pose thème par thème ; ni impacts, ni distinction prévention / remédiation, ni enseignements tirés.</w:t>
            </w:r>
          </w:p>
        </w:tc>
      </w:tr>
    </w:tbl>
    <w:p/>
    <w:p>
      <w:pPr>
        <w:pStyle w:val="Heading2"/>
      </w:pPr>
      <w:r>
        <w:rPr>
          <w:color w:val="2F6F5E"/>
        </w:rPr>
        <w:t>GRI 202 : Présence sur le marché 2016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202-1</w:t>
            </w:r>
            <w:r>
              <w:rPr>
                <w:sz w:val="17"/>
              </w:rPr>
              <w:t xml:space="preserve"> Ratio entre le salaire d'entrée et le salaire minimum local, par genre</w:t>
            </w:r>
          </w:p>
        </w:tc>
        <w:tc>
          <w:tcPr>
            <w:tcW w:type="dxa" w:w="2160"/>
          </w:tcPr>
          <w:p>
            <w:r>
              <w:rPr>
                <w:sz w:val="17"/>
              </w:rPr>
            </w:r>
            <w:r>
              <w:rPr>
                <w:sz w:val="17"/>
              </w:rPr>
              <w:t>Non évalué</w:t>
            </w:r>
          </w:p>
        </w:tc>
        <w:tc>
          <w:tcPr>
            <w:tcW w:type="dxa" w:w="2160"/>
          </w:tcPr>
          <w:p>
            <w:r>
              <w:rPr>
                <w:sz w:val="17"/>
              </w:rPr>
            </w:r>
            <w:r>
              <w:rPr>
                <w:sz w:val="17"/>
              </w:rPr>
              <w:t>Champ STARS identifié (PA-13, PA-9) mais valeur non extraite : nécessite les pages STARS authentifiées.</w:t>
            </w:r>
          </w:p>
        </w:tc>
        <w:tc>
          <w:tcPr>
            <w:tcW w:type="dxa" w:w="2160"/>
          </w:tcPr>
          <w:p>
            <w:r>
              <w:rPr>
                <w:sz w:val="17"/>
              </w:rPr>
            </w:r>
            <w:r>
              <w:rPr>
                <w:sz w:val="17"/>
              </w:rPr>
              <w:t>Le ratio est calculable (plancher salarial / salaire minimum local) mais pas par genre, que STARS ne collecte pas. Le salaire minimum figure dans un crédit sur l'emploi étudiant. Montants sans devise : USD pour Berkeley, EUR pour Cork et TU Dublin.</w:t>
            </w:r>
          </w:p>
        </w:tc>
      </w:tr>
      <w:tr>
        <w:tc>
          <w:tcPr>
            <w:tcW w:type="dxa" w:w="2160"/>
          </w:tcPr>
          <w:p>
            <w:r>
              <w:rPr>
                <w:sz w:val="17"/>
              </w:rPr>
            </w:r>
            <w:r>
              <w:rPr>
                <w:b/>
                <w:sz w:val="17"/>
              </w:rPr>
              <w:t>202-2</w:t>
            </w:r>
            <w:r>
              <w:rPr>
                <w:sz w:val="17"/>
              </w:rPr>
              <w:t xml:space="preserve"> Part des cadres dirigeants recrutés dans la communauté locale</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bl>
    <w:p/>
    <w:p>
      <w:pPr>
        <w:pStyle w:val="Heading2"/>
      </w:pPr>
      <w:r>
        <w:rPr>
          <w:color w:val="2F6F5E"/>
        </w:rPr>
        <w:t>GRI 204 : Pratiques d'achat 2016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204-1</w:t>
            </w:r>
            <w:r>
              <w:rPr>
                <w:sz w:val="17"/>
              </w:rPr>
              <w:t xml:space="preserve"> Part des dépenses auprès de fournisseurs locaux</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bl>
    <w:p/>
    <w:p>
      <w:pPr>
        <w:pStyle w:val="Heading2"/>
      </w:pPr>
      <w:r>
        <w:rPr>
          <w:color w:val="2F6F5E"/>
        </w:rPr>
        <w:t>GRI 301 : Matières 2016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301-1</w:t>
            </w:r>
            <w:r>
              <w:rPr>
                <w:sz w:val="17"/>
              </w:rPr>
              <w:t xml:space="preserve"> Matières utilisées par poids ou par volume</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r>
              <w:rPr>
                <w:sz w:val="17"/>
              </w:rPr>
              <w:t>Une université ne fabrique pas de produits physiques : écart d'adéquation entre le référentiel et le secteur.</w:t>
            </w:r>
          </w:p>
        </w:tc>
      </w:tr>
      <w:tr>
        <w:tc>
          <w:tcPr>
            <w:tcW w:type="dxa" w:w="2160"/>
          </w:tcPr>
          <w:p>
            <w:r>
              <w:rPr>
                <w:sz w:val="17"/>
              </w:rPr>
            </w:r>
            <w:r>
              <w:rPr>
                <w:b/>
                <w:sz w:val="17"/>
              </w:rPr>
              <w:t>301-2</w:t>
            </w:r>
            <w:r>
              <w:rPr>
                <w:sz w:val="17"/>
              </w:rPr>
              <w:t xml:space="preserve"> Matières recyclées utilisées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301-3</w:t>
            </w:r>
            <w:r>
              <w:rPr>
                <w:sz w:val="17"/>
              </w:rPr>
              <w:t xml:space="preserve"> Produits et emballages récupérés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bl>
    <w:p/>
    <w:p>
      <w:pPr>
        <w:pStyle w:val="Heading2"/>
      </w:pPr>
      <w:r>
        <w:rPr>
          <w:color w:val="2F6F5E"/>
        </w:rPr>
        <w:t>GRI 302 : Énergie 2016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302-1</w:t>
            </w:r>
            <w:r>
              <w:rPr>
                <w:sz w:val="17"/>
              </w:rPr>
              <w:t xml:space="preserve"> Consommation d'énergie au sein de l'organisation</w:t>
            </w:r>
          </w:p>
        </w:tc>
        <w:tc>
          <w:tcPr>
            <w:tcW w:type="dxa" w:w="2160"/>
          </w:tcPr>
          <w:p>
            <w:r>
              <w:rPr>
                <w:sz w:val="17"/>
              </w:rPr>
            </w:r>
            <w:r>
              <w:rPr>
                <w:sz w:val="17"/>
              </w:rPr>
              <w:t>Non évalué</w:t>
            </w:r>
          </w:p>
        </w:tc>
        <w:tc>
          <w:tcPr>
            <w:tcW w:type="dxa" w:w="2160"/>
          </w:tcPr>
          <w:p>
            <w:r>
              <w:rPr>
                <w:sz w:val="17"/>
              </w:rPr>
            </w:r>
            <w:r>
              <w:rPr>
                <w:sz w:val="17"/>
              </w:rPr>
              <w:t>Champ STARS identifié (OP-5) mais valeur non extraite : nécessite les pages STARS authentifiées.</w:t>
            </w:r>
          </w:p>
        </w:tc>
        <w:tc>
          <w:tcPr>
            <w:tcW w:type="dxa" w:w="2160"/>
          </w:tcPr>
          <w:p>
            <w:r>
              <w:rPr>
                <w:sz w:val="17"/>
              </w:rPr>
            </w:r>
            <w:r>
              <w:rPr>
                <w:sz w:val="17"/>
              </w:rPr>
              <w:t>STARS exprime l'énergie en MWh, GRI en joules : aucune conversion n'est faite dans le texte. Le champ « énergie renouvelable » de STARS inclut l'électricité et dépasse le périmètre de GRI 302-1-b.</w:t>
            </w:r>
          </w:p>
        </w:tc>
      </w:tr>
      <w:tr>
        <w:tc>
          <w:tcPr>
            <w:tcW w:type="dxa" w:w="2160"/>
          </w:tcPr>
          <w:p>
            <w:r>
              <w:rPr>
                <w:sz w:val="17"/>
              </w:rPr>
            </w:r>
            <w:r>
              <w:rPr>
                <w:b/>
                <w:sz w:val="17"/>
              </w:rPr>
              <w:t>302-2</w:t>
            </w:r>
            <w:r>
              <w:rPr>
                <w:sz w:val="17"/>
              </w:rPr>
              <w:t xml:space="preserve"> Consommation d'énergie en dehors de l'organisation</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302-3</w:t>
            </w:r>
            <w:r>
              <w:rPr>
                <w:sz w:val="17"/>
              </w:rPr>
              <w:t xml:space="preserve"> Intensité énergétique</w:t>
            </w:r>
          </w:p>
        </w:tc>
        <w:tc>
          <w:tcPr>
            <w:tcW w:type="dxa" w:w="2160"/>
          </w:tcPr>
          <w:p>
            <w:r>
              <w:rPr>
                <w:sz w:val="17"/>
              </w:rPr>
            </w:r>
            <w:r>
              <w:rPr>
                <w:sz w:val="17"/>
              </w:rPr>
              <w:t>Non évalué</w:t>
            </w:r>
          </w:p>
        </w:tc>
        <w:tc>
          <w:tcPr>
            <w:tcW w:type="dxa" w:w="2160"/>
          </w:tcPr>
          <w:p>
            <w:r>
              <w:rPr>
                <w:sz w:val="17"/>
              </w:rPr>
            </w:r>
            <w:r>
              <w:rPr>
                <w:sz w:val="17"/>
              </w:rPr>
              <w:t>Champ STARS identifié (OP-5) mais valeur non extraite : nécessite les pages STARS authentifiées.</w:t>
            </w:r>
          </w:p>
        </w:tc>
        <w:tc>
          <w:tcPr>
            <w:tcW w:type="dxa" w:w="2160"/>
          </w:tcPr>
          <w:p>
            <w:r>
              <w:rPr>
                <w:sz w:val="17"/>
              </w:rPr>
            </w:r>
            <w:r>
              <w:rPr>
                <w:sz w:val="17"/>
              </w:rPr>
              <w:t>Périmètres différents entre établissements : comparer ces ratios exige de nommer la différence de périmètre.</w:t>
            </w:r>
          </w:p>
        </w:tc>
      </w:tr>
      <w:tr>
        <w:tc>
          <w:tcPr>
            <w:tcW w:type="dxa" w:w="2160"/>
          </w:tcPr>
          <w:p>
            <w:r>
              <w:rPr>
                <w:sz w:val="17"/>
              </w:rPr>
            </w:r>
            <w:r>
              <w:rPr>
                <w:b/>
                <w:sz w:val="17"/>
              </w:rPr>
              <w:t>302-4</w:t>
            </w:r>
            <w:r>
              <w:rPr>
                <w:sz w:val="17"/>
              </w:rPr>
              <w:t xml:space="preserve"> Réduction de la consommation énergétique</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302-5</w:t>
            </w:r>
            <w:r>
              <w:rPr>
                <w:sz w:val="17"/>
              </w:rPr>
              <w:t xml:space="preserve"> Réduction des besoins énergétiques des produits et services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bl>
    <w:p/>
    <w:p>
      <w:pPr>
        <w:pStyle w:val="Heading2"/>
      </w:pPr>
      <w:r>
        <w:rPr>
          <w:color w:val="2F6F5E"/>
        </w:rPr>
        <w:t>GRI 303 : Eau et effluents 2018</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303-1</w:t>
            </w:r>
            <w:r>
              <w:rPr>
                <w:sz w:val="17"/>
              </w:rPr>
              <w:t xml:space="preserve"> Interactions avec l'eau en tant que ressource partagée</w:t>
            </w:r>
          </w:p>
        </w:tc>
        <w:tc>
          <w:tcPr>
            <w:tcW w:type="dxa" w:w="2160"/>
          </w:tcPr>
          <w:p>
            <w:r>
              <w:rPr>
                <w:sz w:val="17"/>
              </w:rPr>
            </w:r>
            <w:r>
              <w:rPr>
                <w:sz w:val="17"/>
              </w:rPr>
              <w:t>Partiellement rapporté</w:t>
            </w:r>
          </w:p>
        </w:tc>
        <w:tc>
          <w:tcPr>
            <w:tcW w:type="dxa" w:w="2160"/>
          </w:tcPr>
          <w:p>
            <w:r>
              <w:rPr>
                <w:sz w:val="17"/>
              </w:rPr>
            </w:r>
            <w:r>
              <w:rPr>
                <w:sz w:val="17"/>
              </w:rPr>
              <w:t>Couvert par le récit de l'établissement (OP-3) ; les champs structurés n'ont pas été extraits.</w:t>
            </w:r>
          </w:p>
        </w:tc>
        <w:tc>
          <w:tcPr>
            <w:tcW w:type="dxa" w:w="2160"/>
          </w:tcPr>
          <w:p>
            <w:r>
              <w:rPr>
                <w:sz w:val="17"/>
              </w:rPr>
            </w:r>
            <w:r>
              <w:rPr>
                <w:sz w:val="17"/>
              </w:rPr>
              <w:t>Un niveau de risque n'est pas la description demandée par GRI 303-1 (prélèvement, consommation, rejets, dialogue avec les parties prenantes). Statut abaissé à « partiel » par rapport au rapport de référence.</w:t>
            </w:r>
          </w:p>
        </w:tc>
      </w:tr>
      <w:tr>
        <w:tc>
          <w:tcPr>
            <w:tcW w:type="dxa" w:w="2160"/>
          </w:tcPr>
          <w:p>
            <w:r>
              <w:rPr>
                <w:sz w:val="17"/>
              </w:rPr>
            </w:r>
            <w:r>
              <w:rPr>
                <w:b/>
                <w:sz w:val="17"/>
              </w:rPr>
              <w:t>303-2</w:t>
            </w:r>
            <w:r>
              <w:rPr>
                <w:sz w:val="17"/>
              </w:rPr>
              <w:t xml:space="preserve"> Gestion des impacts liés aux rejets d'eau</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303-3</w:t>
            </w:r>
            <w:r>
              <w:rPr>
                <w:sz w:val="17"/>
              </w:rPr>
              <w:t xml:space="preserve"> Prélèvement d'eau</w:t>
            </w:r>
          </w:p>
        </w:tc>
        <w:tc>
          <w:tcPr>
            <w:tcW w:type="dxa" w:w="2160"/>
          </w:tcPr>
          <w:p>
            <w:r>
              <w:rPr>
                <w:sz w:val="17"/>
              </w:rPr>
            </w:r>
            <w:r>
              <w:rPr>
                <w:sz w:val="17"/>
              </w:rPr>
              <w:t>Non évalué</w:t>
            </w:r>
          </w:p>
        </w:tc>
        <w:tc>
          <w:tcPr>
            <w:tcW w:type="dxa" w:w="2160"/>
          </w:tcPr>
          <w:p>
            <w:r>
              <w:rPr>
                <w:sz w:val="17"/>
              </w:rPr>
            </w:r>
            <w:r>
              <w:rPr>
                <w:sz w:val="17"/>
              </w:rPr>
              <w:t>Champ STARS identifié (OP-3) mais valeur non extraite : nécessite les pages STARS authentifiées.</w:t>
            </w:r>
          </w:p>
        </w:tc>
        <w:tc>
          <w:tcPr>
            <w:tcW w:type="dxa" w:w="2160"/>
          </w:tcPr>
          <w:p>
            <w:r>
              <w:rPr>
                <w:sz w:val="17"/>
              </w:rPr>
            </w:r>
            <w:r>
              <w:rPr>
                <w:sz w:val="17"/>
              </w:rPr>
              <w:t>STARS en m³, GRI en mégalitres : aucune conversion dans le texte. Pas de ventilation des zones de stress hydrique.</w:t>
            </w:r>
          </w:p>
        </w:tc>
      </w:tr>
      <w:tr>
        <w:tc>
          <w:tcPr>
            <w:tcW w:type="dxa" w:w="2160"/>
          </w:tcPr>
          <w:p>
            <w:r>
              <w:rPr>
                <w:sz w:val="17"/>
              </w:rPr>
            </w:r>
            <w:r>
              <w:rPr>
                <w:b/>
                <w:sz w:val="17"/>
              </w:rPr>
              <w:t>303-4</w:t>
            </w:r>
            <w:r>
              <w:rPr>
                <w:sz w:val="17"/>
              </w:rPr>
              <w:t xml:space="preserve"> Rejets d'eau</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r>
              <w:rPr>
                <w:sz w:val="17"/>
              </w:rPr>
              <w:t>Champ STARS le plus proche (eau récupérée ou restituée) examiné et rejeté : GRI demande destination, type d'eau et niveau de traitement.</w:t>
            </w:r>
          </w:p>
        </w:tc>
      </w:tr>
      <w:tr>
        <w:tc>
          <w:tcPr>
            <w:tcW w:type="dxa" w:w="2160"/>
          </w:tcPr>
          <w:p>
            <w:r>
              <w:rPr>
                <w:sz w:val="17"/>
              </w:rPr>
            </w:r>
            <w:r>
              <w:rPr>
                <w:b/>
                <w:sz w:val="17"/>
              </w:rPr>
              <w:t>303-5</w:t>
            </w:r>
            <w:r>
              <w:rPr>
                <w:sz w:val="17"/>
              </w:rPr>
              <w:t xml:space="preserve"> Consommation d'eau</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r>
              <w:rPr>
                <w:sz w:val="17"/>
              </w:rPr>
              <w:t>Définitions différentes : GRI = prélèvement moins rejets ; STARS = eau potable consommée.</w:t>
            </w:r>
          </w:p>
        </w:tc>
      </w:tr>
    </w:tbl>
    <w:p/>
    <w:p>
      <w:pPr>
        <w:pStyle w:val="Heading2"/>
      </w:pPr>
      <w:r>
        <w:rPr>
          <w:color w:val="2F6F5E"/>
        </w:rPr>
        <w:t>GRI 305 : Émissions 2016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305-1</w:t>
            </w:r>
            <w:r>
              <w:rPr>
                <w:sz w:val="17"/>
              </w:rPr>
              <w:t xml:space="preserve"> Émissions directes de GES (champ d'application 1)</w:t>
            </w:r>
          </w:p>
        </w:tc>
        <w:tc>
          <w:tcPr>
            <w:tcW w:type="dxa" w:w="2160"/>
          </w:tcPr>
          <w:p>
            <w:r>
              <w:rPr>
                <w:sz w:val="17"/>
              </w:rPr>
            </w:r>
            <w:r>
              <w:rPr>
                <w:sz w:val="17"/>
              </w:rPr>
              <w:t>Non évalué</w:t>
            </w:r>
          </w:p>
        </w:tc>
        <w:tc>
          <w:tcPr>
            <w:tcW w:type="dxa" w:w="2160"/>
          </w:tcPr>
          <w:p>
            <w:r>
              <w:rPr>
                <w:sz w:val="17"/>
              </w:rPr>
            </w:r>
            <w:r>
              <w:rPr>
                <w:sz w:val="17"/>
              </w:rPr>
              <w:t>Champ STARS identifié (OP-6) mais valeur non extraite : nécessite les pages STARS authentifiées.</w:t>
            </w:r>
          </w:p>
        </w:tc>
        <w:tc>
          <w:tcPr>
            <w:tcW w:type="dxa" w:w="2160"/>
          </w:tcPr>
          <w:p>
            <w:r>
              <w:rPr>
                <w:sz w:val="17"/>
              </w:rPr>
            </w:r>
            <w:r>
              <w:rPr>
                <w:sz w:val="17"/>
              </w:rPr>
              <w:t>Une seule année de référence pour les champs 1 et 2 réunis ; ni source des facteurs d'émission, ni approche de consolidation.</w:t>
            </w:r>
          </w:p>
        </w:tc>
      </w:tr>
      <w:tr>
        <w:tc>
          <w:tcPr>
            <w:tcW w:type="dxa" w:w="2160"/>
          </w:tcPr>
          <w:p>
            <w:r>
              <w:rPr>
                <w:sz w:val="17"/>
              </w:rPr>
            </w:r>
            <w:r>
              <w:rPr>
                <w:b/>
                <w:sz w:val="17"/>
              </w:rPr>
              <w:t>305-2</w:t>
            </w:r>
            <w:r>
              <w:rPr>
                <w:sz w:val="17"/>
              </w:rPr>
              <w:t xml:space="preserve"> Émissions indirectes de GES liées à l'énergie (champ d'application 2)</w:t>
            </w:r>
          </w:p>
        </w:tc>
        <w:tc>
          <w:tcPr>
            <w:tcW w:type="dxa" w:w="2160"/>
          </w:tcPr>
          <w:p>
            <w:r>
              <w:rPr>
                <w:sz w:val="17"/>
              </w:rPr>
            </w:r>
            <w:r>
              <w:rPr>
                <w:sz w:val="17"/>
              </w:rPr>
              <w:t>Non évalué</w:t>
            </w:r>
          </w:p>
        </w:tc>
        <w:tc>
          <w:tcPr>
            <w:tcW w:type="dxa" w:w="2160"/>
          </w:tcPr>
          <w:p>
            <w:r>
              <w:rPr>
                <w:sz w:val="17"/>
              </w:rPr>
            </w:r>
            <w:r>
              <w:rPr>
                <w:sz w:val="17"/>
              </w:rPr>
              <w:t>Champ STARS identifié (OP-6) mais valeur non extraite : nécessite les pages STARS authentifiées.</w:t>
            </w:r>
          </w:p>
        </w:tc>
        <w:tc>
          <w:tcPr>
            <w:tcW w:type="dxa" w:w="2160"/>
          </w:tcPr>
          <w:p>
            <w:r>
              <w:rPr>
                <w:sz w:val="17"/>
              </w:rPr>
            </w:r>
            <w:r>
              <w:rPr>
                <w:sz w:val="17"/>
              </w:rPr>
              <w:t>GRI demande les méthodes fondées sur la localisation et sur le marché ; toujours préciser la méthode du chiffre cité.</w:t>
            </w:r>
          </w:p>
        </w:tc>
      </w:tr>
      <w:tr>
        <w:tc>
          <w:tcPr>
            <w:tcW w:type="dxa" w:w="2160"/>
          </w:tcPr>
          <w:p>
            <w:r>
              <w:rPr>
                <w:sz w:val="17"/>
              </w:rPr>
            </w:r>
            <w:r>
              <w:rPr>
                <w:b/>
                <w:sz w:val="17"/>
              </w:rPr>
              <w:t>305-3</w:t>
            </w:r>
            <w:r>
              <w:rPr>
                <w:sz w:val="17"/>
              </w:rPr>
              <w:t xml:space="preserve"> Autres émissions indirectes de GES (champ d'application 3)</w:t>
            </w:r>
          </w:p>
        </w:tc>
        <w:tc>
          <w:tcPr>
            <w:tcW w:type="dxa" w:w="2160"/>
          </w:tcPr>
          <w:p>
            <w:r>
              <w:rPr>
                <w:sz w:val="17"/>
              </w:rPr>
            </w:r>
            <w:r>
              <w:rPr>
                <w:sz w:val="17"/>
              </w:rPr>
              <w:t>Non évalué</w:t>
            </w:r>
          </w:p>
        </w:tc>
        <w:tc>
          <w:tcPr>
            <w:tcW w:type="dxa" w:w="2160"/>
          </w:tcPr>
          <w:p>
            <w:r>
              <w:rPr>
                <w:sz w:val="17"/>
              </w:rPr>
            </w:r>
            <w:r>
              <w:rPr>
                <w:sz w:val="17"/>
              </w:rPr>
              <w:t>Champ STARS identifié (OP-6) mais valeur non extraite : nécessite les pages STARS authentifiées.</w:t>
            </w:r>
          </w:p>
        </w:tc>
        <w:tc>
          <w:tcPr>
            <w:tcW w:type="dxa" w:w="2160"/>
          </w:tcPr>
          <w:p>
            <w:r>
              <w:rPr>
                <w:sz w:val="17"/>
              </w:rPr>
            </w:r>
          </w:p>
        </w:tc>
      </w:tr>
      <w:tr>
        <w:tc>
          <w:tcPr>
            <w:tcW w:type="dxa" w:w="2160"/>
          </w:tcPr>
          <w:p>
            <w:r>
              <w:rPr>
                <w:sz w:val="17"/>
              </w:rPr>
            </w:r>
            <w:r>
              <w:rPr>
                <w:b/>
                <w:sz w:val="17"/>
              </w:rPr>
              <w:t>305-4</w:t>
            </w:r>
            <w:r>
              <w:rPr>
                <w:sz w:val="17"/>
              </w:rPr>
              <w:t xml:space="preserve"> Intensité des émissions de GES</w:t>
            </w:r>
          </w:p>
        </w:tc>
        <w:tc>
          <w:tcPr>
            <w:tcW w:type="dxa" w:w="2160"/>
          </w:tcPr>
          <w:p>
            <w:r>
              <w:rPr>
                <w:sz w:val="17"/>
              </w:rPr>
            </w:r>
            <w:r>
              <w:rPr>
                <w:sz w:val="17"/>
              </w:rPr>
              <w:t>Non évalué</w:t>
            </w:r>
          </w:p>
        </w:tc>
        <w:tc>
          <w:tcPr>
            <w:tcW w:type="dxa" w:w="2160"/>
          </w:tcPr>
          <w:p>
            <w:r>
              <w:rPr>
                <w:sz w:val="17"/>
              </w:rPr>
            </w:r>
            <w:r>
              <w:rPr>
                <w:sz w:val="17"/>
              </w:rPr>
              <w:t>Champ STARS identifié (OP-6) mais valeur non extraite : nécessite les pages STARS authentifiées.</w:t>
            </w:r>
          </w:p>
        </w:tc>
        <w:tc>
          <w:tcPr>
            <w:tcW w:type="dxa" w:w="2160"/>
          </w:tcPr>
          <w:p>
            <w:r>
              <w:rPr>
                <w:sz w:val="17"/>
              </w:rPr>
            </w:r>
            <w:r>
              <w:rPr>
                <w:sz w:val="17"/>
              </w:rPr>
              <w:t>Périmètres différents entre établissements : ne jamais présenter l'écart comme une seule différence de performance.</w:t>
            </w:r>
          </w:p>
        </w:tc>
      </w:tr>
      <w:tr>
        <w:tc>
          <w:tcPr>
            <w:tcW w:type="dxa" w:w="2160"/>
          </w:tcPr>
          <w:p>
            <w:r>
              <w:rPr>
                <w:sz w:val="17"/>
              </w:rPr>
            </w:r>
            <w:r>
              <w:rPr>
                <w:b/>
                <w:sz w:val="17"/>
              </w:rPr>
              <w:t>305-5</w:t>
            </w:r>
            <w:r>
              <w:rPr>
                <w:sz w:val="17"/>
              </w:rPr>
              <w:t xml:space="preserve"> Réduction des émissions de GES</w:t>
            </w:r>
          </w:p>
        </w:tc>
        <w:tc>
          <w:tcPr>
            <w:tcW w:type="dxa" w:w="2160"/>
          </w:tcPr>
          <w:p>
            <w:r>
              <w:rPr>
                <w:sz w:val="17"/>
              </w:rPr>
            </w:r>
            <w:r>
              <w:rPr>
                <w:sz w:val="17"/>
              </w:rPr>
              <w:t>Non évalué</w:t>
            </w:r>
          </w:p>
        </w:tc>
        <w:tc>
          <w:tcPr>
            <w:tcW w:type="dxa" w:w="2160"/>
          </w:tcPr>
          <w:p>
            <w:r>
              <w:rPr>
                <w:sz w:val="17"/>
              </w:rPr>
            </w:r>
            <w:r>
              <w:rPr>
                <w:sz w:val="17"/>
              </w:rPr>
              <w:t>Champ STARS identifié (OP-6) mais valeur non extraite : nécessite les pages STARS authentifiées.</w:t>
            </w:r>
          </w:p>
        </w:tc>
        <w:tc>
          <w:tcPr>
            <w:tcW w:type="dxa" w:w="2160"/>
          </w:tcPr>
          <w:p>
            <w:r>
              <w:rPr>
                <w:sz w:val="17"/>
              </w:rPr>
            </w:r>
            <w:r>
              <w:rPr>
                <w:sz w:val="17"/>
              </w:rPr>
              <w:t>Le pourcentage STARS est NET des compensations carbone achetées : toujours préciser la base (brute ou nette) et citer les compensations séparément.</w:t>
            </w:r>
          </w:p>
        </w:tc>
      </w:tr>
      <w:tr>
        <w:tc>
          <w:tcPr>
            <w:tcW w:type="dxa" w:w="2160"/>
          </w:tcPr>
          <w:p>
            <w:r>
              <w:rPr>
                <w:sz w:val="17"/>
              </w:rPr>
            </w:r>
            <w:r>
              <w:rPr>
                <w:b/>
                <w:sz w:val="17"/>
              </w:rPr>
              <w:t>305-6</w:t>
            </w:r>
            <w:r>
              <w:rPr>
                <w:sz w:val="17"/>
              </w:rPr>
              <w:t xml:space="preserve"> Émissions de substances appauvrissant la couche d'ozone</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305-7</w:t>
            </w:r>
            <w:r>
              <w:rPr>
                <w:sz w:val="17"/>
              </w:rPr>
              <w:t xml:space="preserve"> NOx, SOx et autres émissions atmosphériques significatives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bl>
    <w:p/>
    <w:p>
      <w:pPr>
        <w:pStyle w:val="Heading2"/>
      </w:pPr>
      <w:r>
        <w:rPr>
          <w:color w:val="2F6F5E"/>
        </w:rPr>
        <w:t>GRI 306 : Déchets 2020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306-1</w:t>
            </w:r>
            <w:r>
              <w:rPr>
                <w:sz w:val="17"/>
              </w:rPr>
              <w:t xml:space="preserve"> Production de déchets et impacts significatifs liés aux déchets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306-2</w:t>
            </w:r>
            <w:r>
              <w:rPr>
                <w:sz w:val="17"/>
              </w:rPr>
              <w:t xml:space="preserve"> Gestion des impacts significatifs liés aux déchets</w:t>
            </w:r>
          </w:p>
        </w:tc>
        <w:tc>
          <w:tcPr>
            <w:tcW w:type="dxa" w:w="2160"/>
          </w:tcPr>
          <w:p>
            <w:r>
              <w:rPr>
                <w:sz w:val="17"/>
              </w:rPr>
            </w:r>
            <w:r>
              <w:rPr>
                <w:sz w:val="17"/>
              </w:rPr>
              <w:t>Partiellement rapporté</w:t>
            </w:r>
          </w:p>
        </w:tc>
        <w:tc>
          <w:tcPr>
            <w:tcW w:type="dxa" w:w="2160"/>
          </w:tcPr>
          <w:p>
            <w:r>
              <w:rPr>
                <w:sz w:val="17"/>
              </w:rPr>
            </w:r>
            <w:r>
              <w:rPr>
                <w:sz w:val="17"/>
              </w:rPr>
              <w:t>Couvert par le récit de l'établissement (OP-11, OP-12) ; les champs structurés n'ont pas été extraits.</w:t>
            </w:r>
          </w:p>
        </w:tc>
        <w:tc>
          <w:tcPr>
            <w:tcW w:type="dxa" w:w="2160"/>
          </w:tcPr>
          <w:p>
            <w:r>
              <w:rPr>
                <w:sz w:val="17"/>
              </w:rPr>
            </w:r>
          </w:p>
        </w:tc>
      </w:tr>
      <w:tr>
        <w:tc>
          <w:tcPr>
            <w:tcW w:type="dxa" w:w="2160"/>
          </w:tcPr>
          <w:p>
            <w:r>
              <w:rPr>
                <w:sz w:val="17"/>
              </w:rPr>
            </w:r>
            <w:r>
              <w:rPr>
                <w:b/>
                <w:sz w:val="17"/>
              </w:rPr>
              <w:t>306-3</w:t>
            </w:r>
            <w:r>
              <w:rPr>
                <w:sz w:val="17"/>
              </w:rPr>
              <w:t xml:space="preserve"> Déchets générés</w:t>
            </w:r>
          </w:p>
        </w:tc>
        <w:tc>
          <w:tcPr>
            <w:tcW w:type="dxa" w:w="2160"/>
          </w:tcPr>
          <w:p>
            <w:r>
              <w:rPr>
                <w:sz w:val="17"/>
              </w:rPr>
            </w:r>
            <w:r>
              <w:rPr>
                <w:sz w:val="17"/>
              </w:rPr>
              <w:t>Non évalué</w:t>
            </w:r>
          </w:p>
        </w:tc>
        <w:tc>
          <w:tcPr>
            <w:tcW w:type="dxa" w:w="2160"/>
          </w:tcPr>
          <w:p>
            <w:r>
              <w:rPr>
                <w:sz w:val="17"/>
              </w:rPr>
            </w:r>
            <w:r>
              <w:rPr>
                <w:sz w:val="17"/>
              </w:rPr>
              <w:t>Champ STARS identifié (OP-12) mais valeur non extraite : nécessite les pages STARS authentifiées.</w:t>
            </w:r>
          </w:p>
        </w:tc>
        <w:tc>
          <w:tcPr>
            <w:tcW w:type="dxa" w:w="2160"/>
          </w:tcPr>
          <w:p>
            <w:r>
              <w:rPr>
                <w:sz w:val="17"/>
              </w:rPr>
            </w:r>
            <w:r>
              <w:rPr>
                <w:sz w:val="17"/>
              </w:rPr>
              <w:t>Sous-ensemble seulement : STARS ne pèse aucun déchet dangereux. Ne jamais présenter les déchets non dangereux comme le total. Statut abaissé à « partiel » par rapport au rapport de référence.</w:t>
            </w:r>
          </w:p>
        </w:tc>
      </w:tr>
      <w:tr>
        <w:tc>
          <w:tcPr>
            <w:tcW w:type="dxa" w:w="2160"/>
          </w:tcPr>
          <w:p>
            <w:r>
              <w:rPr>
                <w:sz w:val="17"/>
              </w:rPr>
            </w:r>
            <w:r>
              <w:rPr>
                <w:b/>
                <w:sz w:val="17"/>
              </w:rPr>
              <w:t>306-4</w:t>
            </w:r>
            <w:r>
              <w:rPr>
                <w:sz w:val="17"/>
              </w:rPr>
              <w:t xml:space="preserve"> Déchets détournés de l'élimination</w:t>
            </w:r>
          </w:p>
        </w:tc>
        <w:tc>
          <w:tcPr>
            <w:tcW w:type="dxa" w:w="2160"/>
          </w:tcPr>
          <w:p>
            <w:r>
              <w:rPr>
                <w:sz w:val="17"/>
              </w:rPr>
            </w:r>
            <w:r>
              <w:rPr>
                <w:sz w:val="17"/>
              </w:rPr>
              <w:t>Non évalué</w:t>
            </w:r>
          </w:p>
        </w:tc>
        <w:tc>
          <w:tcPr>
            <w:tcW w:type="dxa" w:w="2160"/>
          </w:tcPr>
          <w:p>
            <w:r>
              <w:rPr>
                <w:sz w:val="17"/>
              </w:rPr>
            </w:r>
            <w:r>
              <w:rPr>
                <w:sz w:val="17"/>
              </w:rPr>
              <w:t>Champ STARS identifié (OP-12) mais valeur non extraite : nécessite les pages STARS authentifiées.</w:t>
            </w:r>
          </w:p>
        </w:tc>
        <w:tc>
          <w:tcPr>
            <w:tcW w:type="dxa" w:w="2160"/>
          </w:tcPr>
          <w:p>
            <w:r>
              <w:rPr>
                <w:sz w:val="17"/>
              </w:rPr>
            </w:r>
            <w:r>
              <w:rPr>
                <w:sz w:val="17"/>
              </w:rPr>
              <w:t>Partie non dangereuse uniquement ; pas de distinction sur site / hors site.</w:t>
            </w:r>
          </w:p>
        </w:tc>
      </w:tr>
      <w:tr>
        <w:tc>
          <w:tcPr>
            <w:tcW w:type="dxa" w:w="2160"/>
          </w:tcPr>
          <w:p>
            <w:r>
              <w:rPr>
                <w:sz w:val="17"/>
              </w:rPr>
            </w:r>
            <w:r>
              <w:rPr>
                <w:b/>
                <w:sz w:val="17"/>
              </w:rPr>
              <w:t>306-5</w:t>
            </w:r>
            <w:r>
              <w:rPr>
                <w:sz w:val="17"/>
              </w:rPr>
              <w:t xml:space="preserve"> Déchets destinés à l'élimination</w:t>
            </w:r>
          </w:p>
        </w:tc>
        <w:tc>
          <w:tcPr>
            <w:tcW w:type="dxa" w:w="2160"/>
          </w:tcPr>
          <w:p>
            <w:r>
              <w:rPr>
                <w:sz w:val="17"/>
              </w:rPr>
            </w:r>
            <w:r>
              <w:rPr>
                <w:sz w:val="17"/>
              </w:rPr>
              <w:t>Non évalué</w:t>
            </w:r>
          </w:p>
        </w:tc>
        <w:tc>
          <w:tcPr>
            <w:tcW w:type="dxa" w:w="2160"/>
          </w:tcPr>
          <w:p>
            <w:r>
              <w:rPr>
                <w:sz w:val="17"/>
              </w:rPr>
            </w:r>
            <w:r>
              <w:rPr>
                <w:sz w:val="17"/>
              </w:rPr>
              <w:t>Champ STARS identifié (OP-12) mais valeur non extraite : nécessite les pages STARS authentifiées.</w:t>
            </w:r>
          </w:p>
        </w:tc>
        <w:tc>
          <w:tcPr>
            <w:tcW w:type="dxa" w:w="2160"/>
          </w:tcPr>
          <w:p>
            <w:r>
              <w:rPr>
                <w:sz w:val="17"/>
              </w:rPr>
            </w:r>
            <w:r>
              <w:rPr>
                <w:sz w:val="17"/>
              </w:rPr>
              <w:t>STARS regroupe enfouissement et incinération en un seul chiffre.</w:t>
            </w:r>
          </w:p>
        </w:tc>
      </w:tr>
    </w:tbl>
    <w:p/>
    <w:p>
      <w:pPr>
        <w:pStyle w:val="Heading2"/>
      </w:pPr>
      <w:r>
        <w:rPr>
          <w:color w:val="2F6F5E"/>
        </w:rPr>
        <w:t>GRI 308 : Évaluation environnementale des fournisseurs 2016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308-1</w:t>
            </w:r>
            <w:r>
              <w:rPr>
                <w:sz w:val="17"/>
              </w:rPr>
              <w:t xml:space="preserve"> Nouveaux fournisseurs évalués selon des critères environnementaux</w:t>
            </w:r>
          </w:p>
        </w:tc>
        <w:tc>
          <w:tcPr>
            <w:tcW w:type="dxa" w:w="2160"/>
          </w:tcPr>
          <w:p>
            <w:r>
              <w:rPr>
                <w:sz w:val="17"/>
              </w:rPr>
            </w:r>
            <w:r>
              <w:rPr>
                <w:sz w:val="17"/>
              </w:rPr>
              <w:t>Partiellement rapporté</w:t>
            </w:r>
          </w:p>
        </w:tc>
        <w:tc>
          <w:tcPr>
            <w:tcW w:type="dxa" w:w="2160"/>
          </w:tcPr>
          <w:p>
            <w:r>
              <w:rPr>
                <w:sz w:val="17"/>
              </w:rPr>
            </w:r>
            <w:r>
              <w:rPr>
                <w:sz w:val="17"/>
              </w:rPr>
              <w:t>Couvert par le récit de l'établissement (OP-9) ; les champs structurés n'ont pas été extraits.</w:t>
            </w:r>
          </w:p>
        </w:tc>
        <w:tc>
          <w:tcPr>
            <w:tcW w:type="dxa" w:w="2160"/>
          </w:tcPr>
          <w:p>
            <w:r>
              <w:rPr>
                <w:sz w:val="17"/>
              </w:rPr>
            </w:r>
            <w:r>
              <w:rPr>
                <w:sz w:val="17"/>
              </w:rPr>
              <w:t>Le dénominateur STARS est l'appel d'offres, pas le nouveau fournisseur ; aucun pourcentage de fournisseurs évalués n'est calculable.</w:t>
            </w:r>
          </w:p>
        </w:tc>
      </w:tr>
      <w:tr>
        <w:tc>
          <w:tcPr>
            <w:tcW w:type="dxa" w:w="2160"/>
          </w:tcPr>
          <w:p>
            <w:r>
              <w:rPr>
                <w:sz w:val="17"/>
              </w:rPr>
            </w:r>
            <w:r>
              <w:rPr>
                <w:b/>
                <w:sz w:val="17"/>
              </w:rPr>
              <w:t>308-2</w:t>
            </w:r>
            <w:r>
              <w:rPr>
                <w:sz w:val="17"/>
              </w:rPr>
              <w:t xml:space="preserve"> Impacts environnementaux négatifs dans la chaîne d'approvisionnement</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bl>
    <w:p/>
    <w:p>
      <w:pPr>
        <w:pStyle w:val="Heading2"/>
      </w:pPr>
      <w:r>
        <w:rPr>
          <w:color w:val="2F6F5E"/>
        </w:rPr>
        <w:t>GRI 401 : Emploi 2016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401-1</w:t>
            </w:r>
            <w:r>
              <w:rPr>
                <w:sz w:val="17"/>
              </w:rPr>
              <w:t xml:space="preserve"> Recrutements et rotation du personnel</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401-2</w:t>
            </w:r>
            <w:r>
              <w:rPr>
                <w:sz w:val="17"/>
              </w:rPr>
              <w:t xml:space="preserve"> Avantages accordés aux salariés à temps plein et non aux temporaires ou temps partiels</w:t>
            </w:r>
          </w:p>
        </w:tc>
        <w:tc>
          <w:tcPr>
            <w:tcW w:type="dxa" w:w="2160"/>
          </w:tcPr>
          <w:p>
            <w:r>
              <w:rPr>
                <w:sz w:val="17"/>
              </w:rPr>
            </w:r>
            <w:r>
              <w:rPr>
                <w:sz w:val="17"/>
              </w:rPr>
              <w:t>Partiellement rapporté</w:t>
            </w:r>
          </w:p>
        </w:tc>
        <w:tc>
          <w:tcPr>
            <w:tcW w:type="dxa" w:w="2160"/>
          </w:tcPr>
          <w:p>
            <w:r>
              <w:rPr>
                <w:sz w:val="17"/>
              </w:rPr>
            </w:r>
            <w:r>
              <w:rPr>
                <w:sz w:val="17"/>
              </w:rPr>
              <w:t>Couvert par le récit de l'établissement (PA-12) ; les champs structurés n'ont pas été extraits.</w:t>
            </w:r>
          </w:p>
        </w:tc>
        <w:tc>
          <w:tcPr>
            <w:tcW w:type="dxa" w:w="2160"/>
          </w:tcPr>
          <w:p>
            <w:r>
              <w:rPr>
                <w:sz w:val="17"/>
              </w:rPr>
            </w:r>
            <w:r>
              <w:rPr>
                <w:sz w:val="17"/>
              </w:rPr>
              <w:t>Un taux d'éligibilité global, sans la comparaison temps plein / temps partiel qui est l'objet de la publication.</w:t>
            </w:r>
          </w:p>
        </w:tc>
      </w:tr>
      <w:tr>
        <w:tc>
          <w:tcPr>
            <w:tcW w:type="dxa" w:w="2160"/>
          </w:tcPr>
          <w:p>
            <w:r>
              <w:rPr>
                <w:sz w:val="17"/>
              </w:rPr>
            </w:r>
            <w:r>
              <w:rPr>
                <w:b/>
                <w:sz w:val="17"/>
              </w:rPr>
              <w:t>401-3</w:t>
            </w:r>
            <w:r>
              <w:rPr>
                <w:sz w:val="17"/>
              </w:rPr>
              <w:t xml:space="preserve"> Congé parental</w:t>
            </w:r>
          </w:p>
        </w:tc>
        <w:tc>
          <w:tcPr>
            <w:tcW w:type="dxa" w:w="2160"/>
          </w:tcPr>
          <w:p>
            <w:r>
              <w:rPr>
                <w:sz w:val="17"/>
              </w:rPr>
            </w:r>
            <w:r>
              <w:rPr>
                <w:sz w:val="17"/>
              </w:rPr>
              <w:t>Partiellement rapporté</w:t>
            </w:r>
          </w:p>
        </w:tc>
        <w:tc>
          <w:tcPr>
            <w:tcW w:type="dxa" w:w="2160"/>
          </w:tcPr>
          <w:p>
            <w:r>
              <w:rPr>
                <w:sz w:val="17"/>
              </w:rPr>
            </w:r>
            <w:r>
              <w:rPr>
                <w:sz w:val="17"/>
              </w:rPr>
              <w:t>Couvert par le récit de l'établissement (PA-12) ; les champs structurés n'ont pas été extraits.</w:t>
            </w:r>
          </w:p>
        </w:tc>
        <w:tc>
          <w:tcPr>
            <w:tcW w:type="dxa" w:w="2160"/>
          </w:tcPr>
          <w:p>
            <w:r>
              <w:rPr>
                <w:sz w:val="17"/>
              </w:rPr>
            </w:r>
            <w:r>
              <w:rPr>
                <w:sz w:val="17"/>
              </w:rPr>
              <w:t>STARS décrit la politique, pas son utilisation : ni effectifs, ni taux de retour, ni taux de rétention. « Maternité » est plus étroit que « parental ».</w:t>
            </w:r>
          </w:p>
        </w:tc>
      </w:tr>
    </w:tbl>
    <w:p/>
    <w:p>
      <w:pPr>
        <w:pStyle w:val="Heading2"/>
      </w:pPr>
      <w:r>
        <w:rPr>
          <w:color w:val="2F6F5E"/>
        </w:rPr>
        <w:t>GRI 403 : Santé et sécurité au travail 2018</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403-1</w:t>
            </w:r>
            <w:r>
              <w:rPr>
                <w:sz w:val="17"/>
              </w:rPr>
              <w:t xml:space="preserve"> Système de management de la santé et de la sécurité au travail</w:t>
            </w:r>
          </w:p>
        </w:tc>
        <w:tc>
          <w:tcPr>
            <w:tcW w:type="dxa" w:w="2160"/>
          </w:tcPr>
          <w:p>
            <w:r>
              <w:rPr>
                <w:sz w:val="17"/>
              </w:rPr>
            </w:r>
            <w:r>
              <w:rPr>
                <w:sz w:val="17"/>
              </w:rPr>
              <w:t>Partiellement rapporté</w:t>
            </w:r>
          </w:p>
        </w:tc>
        <w:tc>
          <w:tcPr>
            <w:tcW w:type="dxa" w:w="2160"/>
          </w:tcPr>
          <w:p>
            <w:r>
              <w:rPr>
                <w:sz w:val="17"/>
              </w:rPr>
            </w:r>
            <w:r>
              <w:rPr>
                <w:sz w:val="17"/>
              </w:rPr>
              <w:t>Couvert par le récit de l'établissement (PA-11) ; les champs structurés n'ont pas été extraits.</w:t>
            </w:r>
          </w:p>
        </w:tc>
        <w:tc>
          <w:tcPr>
            <w:tcW w:type="dxa" w:w="2160"/>
          </w:tcPr>
          <w:p>
            <w:r>
              <w:rPr>
                <w:sz w:val="17"/>
              </w:rPr>
            </w:r>
            <w:r>
              <w:rPr>
                <w:sz w:val="17"/>
              </w:rPr>
              <w:t>Rien n'indique si le système est réglementaire, quelle norme il suit, ni qui il couvre.</w:t>
            </w:r>
          </w:p>
        </w:tc>
      </w:tr>
      <w:tr>
        <w:tc>
          <w:tcPr>
            <w:tcW w:type="dxa" w:w="2160"/>
          </w:tcPr>
          <w:p>
            <w:r>
              <w:rPr>
                <w:sz w:val="17"/>
              </w:rPr>
            </w:r>
            <w:r>
              <w:rPr>
                <w:b/>
                <w:sz w:val="17"/>
              </w:rPr>
              <w:t>403-2</w:t>
            </w:r>
            <w:r>
              <w:rPr>
                <w:sz w:val="17"/>
              </w:rPr>
              <w:t xml:space="preserve"> Identification des dangers, évaluation des risques et enquêtes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403-3</w:t>
            </w:r>
            <w:r>
              <w:rPr>
                <w:sz w:val="17"/>
              </w:rPr>
              <w:t xml:space="preserve"> Services de santé au travail</w:t>
            </w:r>
          </w:p>
        </w:tc>
        <w:tc>
          <w:tcPr>
            <w:tcW w:type="dxa" w:w="2160"/>
          </w:tcPr>
          <w:p>
            <w:r>
              <w:rPr>
                <w:sz w:val="17"/>
              </w:rPr>
            </w:r>
            <w:r>
              <w:rPr>
                <w:sz w:val="17"/>
              </w:rPr>
              <w:t>Partiellement rapporté</w:t>
            </w:r>
          </w:p>
        </w:tc>
        <w:tc>
          <w:tcPr>
            <w:tcW w:type="dxa" w:w="2160"/>
          </w:tcPr>
          <w:p>
            <w:r>
              <w:rPr>
                <w:sz w:val="17"/>
              </w:rPr>
            </w:r>
            <w:r>
              <w:rPr>
                <w:sz w:val="17"/>
              </w:rPr>
              <w:t>Couvert par le récit de l'établissement (PA-11) ; les champs structurés n'ont pas été extraits.</w:t>
            </w:r>
          </w:p>
        </w:tc>
        <w:tc>
          <w:tcPr>
            <w:tcW w:type="dxa" w:w="2160"/>
          </w:tcPr>
          <w:p>
            <w:r>
              <w:rPr>
                <w:sz w:val="17"/>
              </w:rPr>
            </w:r>
            <w:r>
              <w:rPr>
                <w:sz w:val="17"/>
              </w:rPr>
              <w:t>Des services de santé généraux ne sont pas des services de santé au travail au sens de GRI 403-3.</w:t>
            </w:r>
          </w:p>
        </w:tc>
      </w:tr>
      <w:tr>
        <w:tc>
          <w:tcPr>
            <w:tcW w:type="dxa" w:w="2160"/>
          </w:tcPr>
          <w:p>
            <w:r>
              <w:rPr>
                <w:sz w:val="17"/>
              </w:rPr>
            </w:r>
            <w:r>
              <w:rPr>
                <w:b/>
                <w:sz w:val="17"/>
              </w:rPr>
              <w:t>403-4</w:t>
            </w:r>
            <w:r>
              <w:rPr>
                <w:sz w:val="17"/>
              </w:rPr>
              <w:t xml:space="preserve"> Participation et consultation des travailleurs en santé et sécurité</w:t>
            </w:r>
          </w:p>
        </w:tc>
        <w:tc>
          <w:tcPr>
            <w:tcW w:type="dxa" w:w="2160"/>
          </w:tcPr>
          <w:p>
            <w:r>
              <w:rPr>
                <w:sz w:val="17"/>
              </w:rPr>
            </w:r>
            <w:r>
              <w:rPr>
                <w:sz w:val="17"/>
              </w:rPr>
              <w:t>Partiellement rapporté</w:t>
            </w:r>
          </w:p>
        </w:tc>
        <w:tc>
          <w:tcPr>
            <w:tcW w:type="dxa" w:w="2160"/>
          </w:tcPr>
          <w:p>
            <w:r>
              <w:rPr>
                <w:sz w:val="17"/>
              </w:rPr>
            </w:r>
            <w:r>
              <w:rPr>
                <w:sz w:val="17"/>
              </w:rPr>
              <w:t>Couvert par le récit de l'établissement (PA-11) ; les champs structurés n'ont pas été extraits.</w:t>
            </w:r>
          </w:p>
        </w:tc>
        <w:tc>
          <w:tcPr>
            <w:tcW w:type="dxa" w:w="2160"/>
          </w:tcPr>
          <w:p>
            <w:r>
              <w:rPr>
                <w:sz w:val="17"/>
              </w:rPr>
            </w:r>
            <w:r>
              <w:rPr>
                <w:sz w:val="17"/>
              </w:rPr>
              <w:t>Existence du comité seulement : ni fréquence des réunions, ni pouvoir de décision.</w:t>
            </w:r>
          </w:p>
        </w:tc>
      </w:tr>
      <w:tr>
        <w:tc>
          <w:tcPr>
            <w:tcW w:type="dxa" w:w="2160"/>
          </w:tcPr>
          <w:p>
            <w:r>
              <w:rPr>
                <w:sz w:val="17"/>
              </w:rPr>
            </w:r>
            <w:r>
              <w:rPr>
                <w:b/>
                <w:sz w:val="17"/>
              </w:rPr>
              <w:t>403-5</w:t>
            </w:r>
            <w:r>
              <w:rPr>
                <w:sz w:val="17"/>
              </w:rPr>
              <w:t xml:space="preserve"> Formation des travailleurs à la santé et sécurité</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403-6</w:t>
            </w:r>
            <w:r>
              <w:rPr>
                <w:sz w:val="17"/>
              </w:rPr>
              <w:t xml:space="preserve"> Promotion de la santé des travailleurs</w:t>
            </w:r>
          </w:p>
        </w:tc>
        <w:tc>
          <w:tcPr>
            <w:tcW w:type="dxa" w:w="2160"/>
          </w:tcPr>
          <w:p>
            <w:r>
              <w:rPr>
                <w:sz w:val="17"/>
              </w:rPr>
            </w:r>
            <w:r>
              <w:rPr>
                <w:sz w:val="17"/>
              </w:rPr>
              <w:t>Partiellement rapporté</w:t>
            </w:r>
          </w:p>
        </w:tc>
        <w:tc>
          <w:tcPr>
            <w:tcW w:type="dxa" w:w="2160"/>
          </w:tcPr>
          <w:p>
            <w:r>
              <w:rPr>
                <w:sz w:val="17"/>
              </w:rPr>
            </w:r>
            <w:r>
              <w:rPr>
                <w:sz w:val="17"/>
              </w:rPr>
              <w:t>Couvert par le récit de l'établissement (PA-11) ; les champs structurés n'ont pas été extraits.</w:t>
            </w:r>
          </w:p>
        </w:tc>
        <w:tc>
          <w:tcPr>
            <w:tcW w:type="dxa" w:w="2160"/>
          </w:tcPr>
          <w:p>
            <w:r>
              <w:rPr>
                <w:sz w:val="17"/>
              </w:rPr>
            </w:r>
          </w:p>
        </w:tc>
      </w:tr>
      <w:tr>
        <w:tc>
          <w:tcPr>
            <w:tcW w:type="dxa" w:w="2160"/>
          </w:tcPr>
          <w:p>
            <w:r>
              <w:rPr>
                <w:sz w:val="17"/>
              </w:rPr>
            </w:r>
            <w:r>
              <w:rPr>
                <w:b/>
                <w:sz w:val="17"/>
              </w:rPr>
              <w:t>403-7</w:t>
            </w:r>
            <w:r>
              <w:rPr>
                <w:sz w:val="17"/>
              </w:rPr>
              <w:t xml:space="preserve"> Prévention des impacts liés aux relations d'affaires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403-8</w:t>
            </w:r>
            <w:r>
              <w:rPr>
                <w:sz w:val="17"/>
              </w:rPr>
              <w:t xml:space="preserve"> Travailleurs couverts par un système de management</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r>
        <w:tc>
          <w:tcPr>
            <w:tcW w:type="dxa" w:w="2160"/>
          </w:tcPr>
          <w:p>
            <w:r>
              <w:rPr>
                <w:sz w:val="17"/>
              </w:rPr>
            </w:r>
            <w:r>
              <w:rPr>
                <w:b/>
                <w:sz w:val="17"/>
              </w:rPr>
              <w:t>403-9</w:t>
            </w:r>
            <w:r>
              <w:rPr>
                <w:sz w:val="17"/>
              </w:rPr>
              <w:t xml:space="preserve"> Accidents du travail</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r>
              <w:rPr>
                <w:sz w:val="17"/>
              </w:rPr>
              <w:t>PA-11 ne contient aucun chiffre d'accident.</w:t>
            </w:r>
          </w:p>
        </w:tc>
      </w:tr>
      <w:tr>
        <w:tc>
          <w:tcPr>
            <w:tcW w:type="dxa" w:w="2160"/>
          </w:tcPr>
          <w:p>
            <w:r>
              <w:rPr>
                <w:sz w:val="17"/>
              </w:rPr>
            </w:r>
            <w:r>
              <w:rPr>
                <w:b/>
                <w:sz w:val="17"/>
              </w:rPr>
              <w:t>403-10</w:t>
            </w:r>
            <w:r>
              <w:rPr>
                <w:sz w:val="17"/>
              </w:rPr>
              <w:t xml:space="preserve"> Problèmes de santé liés au travail</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p>
        </w:tc>
      </w:tr>
    </w:tbl>
    <w:p/>
    <w:p>
      <w:pPr>
        <w:pStyle w:val="Heading2"/>
      </w:pPr>
      <w:r>
        <w:rPr>
          <w:color w:val="2F6F5E"/>
        </w:rPr>
        <w:t>GRI 405 : Diversité et égalité des chances 2016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Publication</w:t>
            </w:r>
          </w:p>
        </w:tc>
        <w:tc>
          <w:tcPr>
            <w:tcW w:type="dxa" w:w="2160"/>
          </w:tcPr>
          <w:p>
            <w:r>
              <w:rPr>
                <w:b/>
                <w:sz w:val="17"/>
              </w:rPr>
            </w:r>
            <w:r>
              <w:rPr>
                <w:b/>
                <w:sz w:val="17"/>
              </w:rPr>
              <w:t>Statut</w:t>
            </w:r>
          </w:p>
        </w:tc>
        <w:tc>
          <w:tcPr>
            <w:tcW w:type="dxa" w:w="2160"/>
          </w:tcPr>
          <w:p>
            <w:r>
              <w:rPr>
                <w:b/>
                <w:sz w:val="17"/>
              </w:rPr>
            </w:r>
            <w:r>
              <w:rPr>
                <w:b/>
                <w:sz w:val="17"/>
              </w:rPr>
              <w:t>Valeur ou justification</w:t>
            </w:r>
          </w:p>
        </w:tc>
        <w:tc>
          <w:tcPr>
            <w:tcW w:type="dxa" w:w="2160"/>
          </w:tcPr>
          <w:p>
            <w:r>
              <w:rPr>
                <w:b/>
                <w:sz w:val="17"/>
              </w:rPr>
            </w:r>
            <w:r>
              <w:rPr>
                <w:b/>
                <w:sz w:val="17"/>
              </w:rPr>
              <w:t>Remarques</w:t>
            </w:r>
          </w:p>
        </w:tc>
      </w:tr>
      <w:tr>
        <w:tc>
          <w:tcPr>
            <w:tcW w:type="dxa" w:w="2160"/>
          </w:tcPr>
          <w:p>
            <w:r>
              <w:rPr>
                <w:sz w:val="17"/>
              </w:rPr>
            </w:r>
            <w:r>
              <w:rPr>
                <w:b/>
                <w:sz w:val="17"/>
              </w:rPr>
              <w:t>405-1</w:t>
            </w:r>
            <w:r>
              <w:rPr>
                <w:sz w:val="17"/>
              </w:rPr>
              <w:t xml:space="preserve"> Diversité des organes de gouvernance et des salariés</w:t>
            </w:r>
          </w:p>
        </w:tc>
        <w:tc>
          <w:tcPr>
            <w:tcW w:type="dxa" w:w="2160"/>
          </w:tcPr>
          <w:p>
            <w:r>
              <w:rPr>
                <w:sz w:val="17"/>
              </w:rPr>
            </w:r>
            <w:r>
              <w:rPr>
                <w:sz w:val="17"/>
              </w:rPr>
              <w:t>Non évalué</w:t>
            </w:r>
          </w:p>
        </w:tc>
        <w:tc>
          <w:tcPr>
            <w:tcW w:type="dxa" w:w="2160"/>
          </w:tcPr>
          <w:p>
            <w:r>
              <w:rPr>
                <w:sz w:val="17"/>
              </w:rPr>
            </w:r>
            <w:r>
              <w:rPr>
                <w:sz w:val="17"/>
              </w:rPr>
              <w:t>Champ STARS identifié (PA-7, PA-8) mais valeur non extraite : nécessite les pages STARS authentifiées.</w:t>
            </w:r>
          </w:p>
        </w:tc>
        <w:tc>
          <w:tcPr>
            <w:tcW w:type="dxa" w:w="2160"/>
          </w:tcPr>
          <w:p>
            <w:r>
              <w:rPr>
                <w:sz w:val="17"/>
              </w:rPr>
            </w:r>
            <w:r>
              <w:rPr>
                <w:sz w:val="17"/>
              </w:rPr>
              <w:t>Un indice de diversité (score de 0 à 1) n'est pas la ventilation en pourcentages demandée ; deux catégories de genre au lieu de trois ; aucune donnée d'âge.</w:t>
            </w:r>
          </w:p>
        </w:tc>
      </w:tr>
      <w:tr>
        <w:tc>
          <w:tcPr>
            <w:tcW w:type="dxa" w:w="2160"/>
          </w:tcPr>
          <w:p>
            <w:r>
              <w:rPr>
                <w:sz w:val="17"/>
              </w:rPr>
            </w:r>
            <w:r>
              <w:rPr>
                <w:b/>
                <w:sz w:val="17"/>
              </w:rPr>
              <w:t>405-2</w:t>
            </w:r>
            <w:r>
              <w:rPr>
                <w:sz w:val="17"/>
              </w:rPr>
              <w:t xml:space="preserve"> Ratio du salaire de base et de la rémunération des femmes par rapport aux hommes</w:t>
            </w:r>
          </w:p>
        </w:tc>
        <w:tc>
          <w:tcPr>
            <w:tcW w:type="dxa" w:w="2160"/>
          </w:tcPr>
          <w:p>
            <w:r>
              <w:rPr>
                <w:sz w:val="17"/>
              </w:rPr>
            </w:r>
            <w:r>
              <w:rPr>
                <w:sz w:val="17"/>
              </w:rPr>
              <w:t>Non rapporté</w:t>
            </w:r>
          </w:p>
        </w:tc>
        <w:tc>
          <w:tcPr>
            <w:tcW w:type="dxa" w:w="2160"/>
          </w:tcPr>
          <w:p>
            <w:r>
              <w:rPr>
                <w:sz w:val="17"/>
              </w:rPr>
            </w:r>
            <w:r>
              <w:rPr>
                <w:sz w:val="17"/>
              </w:rPr>
              <w:t>Aucune donnée STARS ne correspond à cette publication.</w:t>
            </w:r>
          </w:p>
        </w:tc>
        <w:tc>
          <w:tcPr>
            <w:tcW w:type="dxa" w:w="2160"/>
          </w:tcPr>
          <w:p>
            <w:r>
              <w:rPr>
                <w:sz w:val="17"/>
              </w:rPr>
            </w:r>
            <w:r>
              <w:rPr>
                <w:sz w:val="17"/>
              </w:rPr>
              <w:t>PA-13 couvre le salaire décent, pas l'écart de rémunération femmes-hommes, malgré son intitulé « Pay Equity ».</w:t>
            </w:r>
          </w:p>
        </w:tc>
      </w:tr>
    </w:tbl>
    <w:p/>
    <w:p>
      <w:pPr>
        <w:pStyle w:val="Heading1"/>
      </w:pPr>
      <w:r>
        <w:rPr>
          <w:color w:val="2F6F5E"/>
        </w:rPr>
        <w:t>Annexe — Correspondance STARS → GRI, TCFD, ESRS</w:t>
      </w:r>
    </w:p>
    <w:p>
      <w:r>
        <w:t xml:space="preserve">Correspondance </w:t>
      </w:r>
      <w:r>
        <w:rPr>
          <w:b/>
        </w:rPr>
        <w:t>thématique</w:t>
      </w:r>
      <w:r>
        <w:t xml:space="preserve"> écrite à la main (</w:t>
      </w:r>
      <w:r>
        <w:rPr>
          <w:rFonts w:ascii="Consolas" w:hAnsi="Consolas"/>
        </w:rPr>
        <w:t>mapping/frameworks.yaml</w:t>
      </w:r>
      <w:r>
        <w:t xml:space="preserve">, </w:t>
      </w:r>
      <w:r>
        <w:rPr>
          <w:rFonts w:ascii="Consolas" w:hAnsi="Consolas"/>
        </w:rPr>
        <w:t>mapping/gri_map.yaml</w:t>
      </w:r>
      <w:r>
        <w:t>), jamais générée par le modèle. Un crédit sans équivalent est marqué « Aucune correspondance » plutôt que forcé. Correspondance STARS -&gt; GRI : 22/50 crédits reliés, 28 sans correspondance | TCFD : 7/50 crédits reliés, 43 sans correspondance | ESRS : 32/50 crédits reliés, 18 sans correspondance.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Crédit STARS</w:t>
            </w:r>
          </w:p>
        </w:tc>
        <w:tc>
          <w:tcPr>
            <w:tcW w:type="dxa" w:w="2160"/>
          </w:tcPr>
          <w:p>
            <w:r>
              <w:rPr>
                <w:b/>
                <w:sz w:val="17"/>
              </w:rPr>
            </w:r>
            <w:r>
              <w:rPr>
                <w:b/>
                <w:sz w:val="17"/>
              </w:rPr>
              <w:t>GRI</w:t>
            </w:r>
          </w:p>
        </w:tc>
        <w:tc>
          <w:tcPr>
            <w:tcW w:type="dxa" w:w="2160"/>
          </w:tcPr>
          <w:p>
            <w:r>
              <w:rPr>
                <w:b/>
                <w:sz w:val="17"/>
              </w:rPr>
            </w:r>
            <w:r>
              <w:rPr>
                <w:b/>
                <w:sz w:val="17"/>
              </w:rPr>
              <w:t>TCFD</w:t>
            </w:r>
          </w:p>
        </w:tc>
        <w:tc>
          <w:tcPr>
            <w:tcW w:type="dxa" w:w="2160"/>
          </w:tcPr>
          <w:p>
            <w:r>
              <w:rPr>
                <w:b/>
                <w:sz w:val="17"/>
              </w:rPr>
            </w:r>
            <w:r>
              <w:rPr>
                <w:b/>
                <w:sz w:val="17"/>
              </w:rPr>
              <w:t>ESRS</w:t>
            </w:r>
          </w:p>
        </w:tc>
      </w:tr>
      <w:tr>
        <w:tc>
          <w:tcPr>
            <w:tcW w:type="dxa" w:w="2160"/>
          </w:tcPr>
          <w:p>
            <w:r>
              <w:rPr>
                <w:sz w:val="17"/>
              </w:rPr>
            </w:r>
            <w:r>
              <w:rPr>
                <w:b/>
                <w:sz w:val="17"/>
              </w:rPr>
              <w:t>PRE-1</w:t>
            </w:r>
            <w:r>
              <w:rPr>
                <w:sz w:val="17"/>
              </w:rPr>
              <w:t xml:space="preserve"> Executive Letter</w:t>
            </w:r>
          </w:p>
        </w:tc>
        <w:tc>
          <w:tcPr>
            <w:tcW w:type="dxa" w:w="2160"/>
          </w:tcPr>
          <w:p>
            <w:r>
              <w:rPr>
                <w:sz w:val="17"/>
              </w:rPr>
            </w:r>
            <w:r>
              <w:rPr>
                <w:sz w:val="17"/>
              </w:rPr>
              <w:t>GRI 2-14</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PRE-2</w:t>
            </w:r>
            <w:r>
              <w:rPr>
                <w:sz w:val="17"/>
              </w:rPr>
              <w:t xml:space="preserve"> Points of Distinction</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PRE-3</w:t>
            </w:r>
            <w:r>
              <w:rPr>
                <w:sz w:val="17"/>
              </w:rPr>
              <w:t xml:space="preserve"> Institutional Characteristics</w:t>
            </w:r>
          </w:p>
        </w:tc>
        <w:tc>
          <w:tcPr>
            <w:tcW w:type="dxa" w:w="2160"/>
          </w:tcPr>
          <w:p>
            <w:r>
              <w:rPr>
                <w:sz w:val="17"/>
              </w:rPr>
            </w:r>
            <w:r>
              <w:rPr>
                <w:sz w:val="17"/>
              </w:rPr>
              <w:t>GRI 2-1, GRI 2-2, GRI 2-6, GRI 2-7</w:t>
            </w:r>
          </w:p>
        </w:tc>
        <w:tc>
          <w:tcPr>
            <w:tcW w:type="dxa" w:w="2160"/>
          </w:tcPr>
          <w:p>
            <w:r>
              <w:rPr>
                <w:sz w:val="17"/>
              </w:rPr>
            </w:r>
            <w:r>
              <w:rPr>
                <w:sz w:val="17"/>
              </w:rPr>
              <w:t>Aucune correspondance</w:t>
            </w:r>
          </w:p>
        </w:tc>
        <w:tc>
          <w:tcPr>
            <w:tcW w:type="dxa" w:w="2160"/>
          </w:tcPr>
          <w:p>
            <w:r>
              <w:rPr>
                <w:sz w:val="17"/>
              </w:rPr>
            </w:r>
            <w:r>
              <w:rPr>
                <w:sz w:val="17"/>
              </w:rPr>
              <w:t>ESRS 2</w:t>
            </w:r>
          </w:p>
        </w:tc>
      </w:tr>
      <w:tr>
        <w:tc>
          <w:tcPr>
            <w:tcW w:type="dxa" w:w="2160"/>
          </w:tcPr>
          <w:p>
            <w:r>
              <w:rPr>
                <w:sz w:val="17"/>
              </w:rPr>
            </w:r>
            <w:r>
              <w:rPr>
                <w:b/>
                <w:sz w:val="17"/>
              </w:rPr>
              <w:t>PRE-4</w:t>
            </w:r>
            <w:r>
              <w:rPr>
                <w:sz w:val="17"/>
              </w:rPr>
              <w:t xml:space="preserve"> Reporting Methodologies</w:t>
            </w:r>
          </w:p>
        </w:tc>
        <w:tc>
          <w:tcPr>
            <w:tcW w:type="dxa" w:w="2160"/>
          </w:tcPr>
          <w:p>
            <w:r>
              <w:rPr>
                <w:sz w:val="17"/>
              </w:rPr>
            </w:r>
            <w:r>
              <w:rPr>
                <w:sz w:val="17"/>
              </w:rPr>
              <w:t>GRI 2-3, GRI 2-5</w:t>
            </w:r>
          </w:p>
        </w:tc>
        <w:tc>
          <w:tcPr>
            <w:tcW w:type="dxa" w:w="2160"/>
          </w:tcPr>
          <w:p>
            <w:r>
              <w:rPr>
                <w:sz w:val="17"/>
              </w:rPr>
            </w:r>
            <w:r>
              <w:rPr>
                <w:sz w:val="17"/>
              </w:rPr>
              <w:t>Aucune correspondance</w:t>
            </w:r>
          </w:p>
        </w:tc>
        <w:tc>
          <w:tcPr>
            <w:tcW w:type="dxa" w:w="2160"/>
          </w:tcPr>
          <w:p>
            <w:r>
              <w:rPr>
                <w:sz w:val="17"/>
              </w:rPr>
            </w:r>
            <w:r>
              <w:rPr>
                <w:sz w:val="17"/>
              </w:rPr>
              <w:t>ESRS 2</w:t>
            </w:r>
          </w:p>
        </w:tc>
      </w:tr>
      <w:tr>
        <w:tc>
          <w:tcPr>
            <w:tcW w:type="dxa" w:w="2160"/>
          </w:tcPr>
          <w:p>
            <w:r>
              <w:rPr>
                <w:sz w:val="17"/>
              </w:rPr>
            </w:r>
            <w:r>
              <w:rPr>
                <w:b/>
                <w:sz w:val="17"/>
              </w:rPr>
              <w:t>AC-1</w:t>
            </w:r>
            <w:r>
              <w:rPr>
                <w:sz w:val="17"/>
              </w:rPr>
              <w:t xml:space="preserve"> Sustainability Course Offerings</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AC-2</w:t>
            </w:r>
            <w:r>
              <w:rPr>
                <w:sz w:val="17"/>
              </w:rPr>
              <w:t xml:space="preserve"> Undergraduate Programs</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AC-3</w:t>
            </w:r>
            <w:r>
              <w:rPr>
                <w:sz w:val="17"/>
              </w:rPr>
              <w:t xml:space="preserve"> Graduate Programs</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AC-4</w:t>
            </w:r>
            <w:r>
              <w:rPr>
                <w:sz w:val="17"/>
              </w:rPr>
              <w:t xml:space="preserve"> Applied Learning</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AC-5</w:t>
            </w:r>
            <w:r>
              <w:rPr>
                <w:sz w:val="17"/>
              </w:rPr>
              <w:t xml:space="preserve"> Sustainability Literacy Assessment</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AC-6</w:t>
            </w:r>
            <w:r>
              <w:rPr>
                <w:sz w:val="17"/>
              </w:rPr>
              <w:t xml:space="preserve"> Sustainability Research</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AC-7</w:t>
            </w:r>
            <w:r>
              <w:rPr>
                <w:sz w:val="17"/>
              </w:rPr>
              <w:t xml:space="preserve"> Center for Sustainability Research</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AC-8</w:t>
            </w:r>
            <w:r>
              <w:rPr>
                <w:sz w:val="17"/>
              </w:rPr>
              <w:t xml:space="preserve"> Responsible Research and Innovation</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EN-1</w:t>
            </w:r>
            <w:r>
              <w:rPr>
                <w:sz w:val="17"/>
              </w:rPr>
              <w:t xml:space="preserve"> Outreach and Communications</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EN-2</w:t>
            </w:r>
            <w:r>
              <w:rPr>
                <w:sz w:val="17"/>
              </w:rPr>
              <w:t xml:space="preserve"> Co-Curricular Activities</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EN-3</w:t>
            </w:r>
            <w:r>
              <w:rPr>
                <w:sz w:val="17"/>
              </w:rPr>
              <w:t xml:space="preserve"> Staff Engagement and Training</w:t>
            </w:r>
          </w:p>
        </w:tc>
        <w:tc>
          <w:tcPr>
            <w:tcW w:type="dxa" w:w="2160"/>
          </w:tcPr>
          <w:p>
            <w:r>
              <w:rPr>
                <w:sz w:val="17"/>
              </w:rPr>
            </w:r>
            <w:r>
              <w:rPr>
                <w:sz w:val="17"/>
              </w:rPr>
              <w:t>GRI 2-24</w:t>
            </w:r>
          </w:p>
        </w:tc>
        <w:tc>
          <w:tcPr>
            <w:tcW w:type="dxa" w:w="2160"/>
          </w:tcPr>
          <w:p>
            <w:r>
              <w:rPr>
                <w:sz w:val="17"/>
              </w:rPr>
            </w:r>
            <w:r>
              <w:rPr>
                <w:sz w:val="17"/>
              </w:rPr>
              <w:t>Aucune correspondance</w:t>
            </w:r>
          </w:p>
        </w:tc>
        <w:tc>
          <w:tcPr>
            <w:tcW w:type="dxa" w:w="2160"/>
          </w:tcPr>
          <w:p>
            <w:r>
              <w:rPr>
                <w:sz w:val="17"/>
              </w:rPr>
            </w:r>
            <w:r>
              <w:rPr>
                <w:sz w:val="17"/>
              </w:rPr>
              <w:t>S1</w:t>
            </w:r>
          </w:p>
        </w:tc>
      </w:tr>
      <w:tr>
        <w:tc>
          <w:tcPr>
            <w:tcW w:type="dxa" w:w="2160"/>
          </w:tcPr>
          <w:p>
            <w:r>
              <w:rPr>
                <w:sz w:val="17"/>
              </w:rPr>
            </w:r>
            <w:r>
              <w:rPr>
                <w:b/>
                <w:sz w:val="17"/>
              </w:rPr>
              <w:t>EN-4</w:t>
            </w:r>
            <w:r>
              <w:rPr>
                <w:sz w:val="17"/>
              </w:rPr>
              <w:t xml:space="preserve"> Sustainability Culture Assessment</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EN-5</w:t>
            </w:r>
            <w:r>
              <w:rPr>
                <w:sz w:val="17"/>
              </w:rPr>
              <w:t xml:space="preserve"> Civic Engagement</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S3</w:t>
            </w:r>
          </w:p>
        </w:tc>
      </w:tr>
      <w:tr>
        <w:tc>
          <w:tcPr>
            <w:tcW w:type="dxa" w:w="2160"/>
          </w:tcPr>
          <w:p>
            <w:r>
              <w:rPr>
                <w:sz w:val="17"/>
              </w:rPr>
            </w:r>
            <w:r>
              <w:rPr>
                <w:b/>
                <w:sz w:val="17"/>
              </w:rPr>
              <w:t>EN-6</w:t>
            </w:r>
            <w:r>
              <w:rPr>
                <w:sz w:val="17"/>
              </w:rPr>
              <w:t xml:space="preserve"> Community Partnerships</w:t>
            </w:r>
          </w:p>
        </w:tc>
        <w:tc>
          <w:tcPr>
            <w:tcW w:type="dxa" w:w="2160"/>
          </w:tcPr>
          <w:p>
            <w:r>
              <w:rPr>
                <w:sz w:val="17"/>
              </w:rPr>
            </w:r>
            <w:r>
              <w:rPr>
                <w:sz w:val="17"/>
              </w:rPr>
              <w:t>GRI 2-29</w:t>
            </w:r>
          </w:p>
        </w:tc>
        <w:tc>
          <w:tcPr>
            <w:tcW w:type="dxa" w:w="2160"/>
          </w:tcPr>
          <w:p>
            <w:r>
              <w:rPr>
                <w:sz w:val="17"/>
              </w:rPr>
            </w:r>
            <w:r>
              <w:rPr>
                <w:sz w:val="17"/>
              </w:rPr>
              <w:t>Aucune correspondance</w:t>
            </w:r>
          </w:p>
        </w:tc>
        <w:tc>
          <w:tcPr>
            <w:tcW w:type="dxa" w:w="2160"/>
          </w:tcPr>
          <w:p>
            <w:r>
              <w:rPr>
                <w:sz w:val="17"/>
              </w:rPr>
            </w:r>
            <w:r>
              <w:rPr>
                <w:sz w:val="17"/>
              </w:rPr>
              <w:t>S3</w:t>
            </w:r>
          </w:p>
        </w:tc>
      </w:tr>
      <w:tr>
        <w:tc>
          <w:tcPr>
            <w:tcW w:type="dxa" w:w="2160"/>
          </w:tcPr>
          <w:p>
            <w:r>
              <w:rPr>
                <w:sz w:val="17"/>
              </w:rPr>
            </w:r>
            <w:r>
              <w:rPr>
                <w:b/>
                <w:sz w:val="17"/>
              </w:rPr>
              <w:t>EN-7</w:t>
            </w:r>
            <w:r>
              <w:rPr>
                <w:sz w:val="17"/>
              </w:rPr>
              <w:t xml:space="preserve"> Continuing Education</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EN-8</w:t>
            </w:r>
            <w:r>
              <w:rPr>
                <w:sz w:val="17"/>
              </w:rPr>
              <w:t xml:space="preserve"> Shared Facilities</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EN-9</w:t>
            </w:r>
            <w:r>
              <w:rPr>
                <w:sz w:val="17"/>
              </w:rPr>
              <w:t xml:space="preserve"> Inter-Campus Collaboration</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OP-1</w:t>
            </w:r>
            <w:r>
              <w:rPr>
                <w:sz w:val="17"/>
              </w:rPr>
              <w:t xml:space="preserve"> Building Design and Construction</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E1</w:t>
            </w:r>
          </w:p>
        </w:tc>
      </w:tr>
      <w:tr>
        <w:tc>
          <w:tcPr>
            <w:tcW w:type="dxa" w:w="2160"/>
          </w:tcPr>
          <w:p>
            <w:r>
              <w:rPr>
                <w:sz w:val="17"/>
              </w:rPr>
            </w:r>
            <w:r>
              <w:rPr>
                <w:b/>
                <w:sz w:val="17"/>
              </w:rPr>
              <w:t>OP-2</w:t>
            </w:r>
            <w:r>
              <w:rPr>
                <w:sz w:val="17"/>
              </w:rPr>
              <w:t xml:space="preserve"> Building Operations and Maintenance</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E1</w:t>
            </w:r>
          </w:p>
        </w:tc>
      </w:tr>
      <w:tr>
        <w:tc>
          <w:tcPr>
            <w:tcW w:type="dxa" w:w="2160"/>
          </w:tcPr>
          <w:p>
            <w:r>
              <w:rPr>
                <w:sz w:val="17"/>
              </w:rPr>
            </w:r>
            <w:r>
              <w:rPr>
                <w:b/>
                <w:sz w:val="17"/>
              </w:rPr>
              <w:t>OP-3</w:t>
            </w:r>
            <w:r>
              <w:rPr>
                <w:sz w:val="17"/>
              </w:rPr>
              <w:t xml:space="preserve"> Water Use</w:t>
            </w:r>
          </w:p>
        </w:tc>
        <w:tc>
          <w:tcPr>
            <w:tcW w:type="dxa" w:w="2160"/>
          </w:tcPr>
          <w:p>
            <w:r>
              <w:rPr>
                <w:sz w:val="17"/>
              </w:rPr>
            </w:r>
            <w:r>
              <w:rPr>
                <w:sz w:val="17"/>
              </w:rPr>
              <w:t>GRI 303-1, GRI 303-3</w:t>
            </w:r>
          </w:p>
        </w:tc>
        <w:tc>
          <w:tcPr>
            <w:tcW w:type="dxa" w:w="2160"/>
          </w:tcPr>
          <w:p>
            <w:r>
              <w:rPr>
                <w:sz w:val="17"/>
              </w:rPr>
            </w:r>
            <w:r>
              <w:rPr>
                <w:sz w:val="17"/>
              </w:rPr>
              <w:t>Aucune correspondance</w:t>
            </w:r>
          </w:p>
        </w:tc>
        <w:tc>
          <w:tcPr>
            <w:tcW w:type="dxa" w:w="2160"/>
          </w:tcPr>
          <w:p>
            <w:r>
              <w:rPr>
                <w:sz w:val="17"/>
              </w:rPr>
            </w:r>
            <w:r>
              <w:rPr>
                <w:sz w:val="17"/>
              </w:rPr>
              <w:t>E3</w:t>
            </w:r>
          </w:p>
        </w:tc>
      </w:tr>
      <w:tr>
        <w:tc>
          <w:tcPr>
            <w:tcW w:type="dxa" w:w="2160"/>
          </w:tcPr>
          <w:p>
            <w:r>
              <w:rPr>
                <w:sz w:val="17"/>
              </w:rPr>
            </w:r>
            <w:r>
              <w:rPr>
                <w:b/>
                <w:sz w:val="17"/>
              </w:rPr>
              <w:t>OP-4</w:t>
            </w:r>
            <w:r>
              <w:rPr>
                <w:sz w:val="17"/>
              </w:rPr>
              <w:t xml:space="preserve"> Ecologically Managed Grounds</w:t>
            </w:r>
          </w:p>
        </w:tc>
        <w:tc>
          <w:tcPr>
            <w:tcW w:type="dxa" w:w="2160"/>
          </w:tcPr>
          <w:p>
            <w:r>
              <w:rPr>
                <w:sz w:val="17"/>
              </w:rPr>
            </w:r>
            <w:r>
              <w:rPr>
                <w:sz w:val="17"/>
              </w:rPr>
              <w:t>GRI 101-2</w:t>
            </w:r>
          </w:p>
        </w:tc>
        <w:tc>
          <w:tcPr>
            <w:tcW w:type="dxa" w:w="2160"/>
          </w:tcPr>
          <w:p>
            <w:r>
              <w:rPr>
                <w:sz w:val="17"/>
              </w:rPr>
            </w:r>
            <w:r>
              <w:rPr>
                <w:sz w:val="17"/>
              </w:rPr>
              <w:t>Aucune correspondance</w:t>
            </w:r>
          </w:p>
        </w:tc>
        <w:tc>
          <w:tcPr>
            <w:tcW w:type="dxa" w:w="2160"/>
          </w:tcPr>
          <w:p>
            <w:r>
              <w:rPr>
                <w:sz w:val="17"/>
              </w:rPr>
            </w:r>
            <w:r>
              <w:rPr>
                <w:sz w:val="17"/>
              </w:rPr>
              <w:t>E4, E2</w:t>
            </w:r>
          </w:p>
        </w:tc>
      </w:tr>
      <w:tr>
        <w:tc>
          <w:tcPr>
            <w:tcW w:type="dxa" w:w="2160"/>
          </w:tcPr>
          <w:p>
            <w:r>
              <w:rPr>
                <w:sz w:val="17"/>
              </w:rPr>
            </w:r>
            <w:r>
              <w:rPr>
                <w:b/>
                <w:sz w:val="17"/>
              </w:rPr>
              <w:t>OP-5</w:t>
            </w:r>
            <w:r>
              <w:rPr>
                <w:sz w:val="17"/>
              </w:rPr>
              <w:t xml:space="preserve"> Energy Use</w:t>
            </w:r>
          </w:p>
        </w:tc>
        <w:tc>
          <w:tcPr>
            <w:tcW w:type="dxa" w:w="2160"/>
          </w:tcPr>
          <w:p>
            <w:r>
              <w:rPr>
                <w:sz w:val="17"/>
              </w:rPr>
            </w:r>
            <w:r>
              <w:rPr>
                <w:sz w:val="17"/>
              </w:rPr>
              <w:t>GRI 302-1, GRI 302-3</w:t>
            </w:r>
          </w:p>
        </w:tc>
        <w:tc>
          <w:tcPr>
            <w:tcW w:type="dxa" w:w="2160"/>
          </w:tcPr>
          <w:p>
            <w:r>
              <w:rPr>
                <w:sz w:val="17"/>
              </w:rPr>
            </w:r>
            <w:r>
              <w:rPr>
                <w:sz w:val="17"/>
              </w:rPr>
              <w:t>MT-a</w:t>
            </w:r>
          </w:p>
        </w:tc>
        <w:tc>
          <w:tcPr>
            <w:tcW w:type="dxa" w:w="2160"/>
          </w:tcPr>
          <w:p>
            <w:r>
              <w:rPr>
                <w:sz w:val="17"/>
              </w:rPr>
            </w:r>
            <w:r>
              <w:rPr>
                <w:sz w:val="17"/>
              </w:rPr>
              <w:t>E1</w:t>
            </w:r>
          </w:p>
        </w:tc>
      </w:tr>
      <w:tr>
        <w:tc>
          <w:tcPr>
            <w:tcW w:type="dxa" w:w="2160"/>
          </w:tcPr>
          <w:p>
            <w:r>
              <w:rPr>
                <w:sz w:val="17"/>
              </w:rPr>
            </w:r>
            <w:r>
              <w:rPr>
                <w:b/>
                <w:sz w:val="17"/>
              </w:rPr>
              <w:t>OP-6</w:t>
            </w:r>
            <w:r>
              <w:rPr>
                <w:sz w:val="17"/>
              </w:rPr>
              <w:t xml:space="preserve"> Greenhouse Gas Emissions</w:t>
            </w:r>
          </w:p>
        </w:tc>
        <w:tc>
          <w:tcPr>
            <w:tcW w:type="dxa" w:w="2160"/>
          </w:tcPr>
          <w:p>
            <w:r>
              <w:rPr>
                <w:sz w:val="17"/>
              </w:rPr>
            </w:r>
            <w:r>
              <w:rPr>
                <w:sz w:val="17"/>
              </w:rPr>
              <w:t>GRI 2-3, GRI 305-1, GRI 305-2, GRI 305-3, GRI 305-4, GRI 305-5</w:t>
            </w:r>
          </w:p>
        </w:tc>
        <w:tc>
          <w:tcPr>
            <w:tcW w:type="dxa" w:w="2160"/>
          </w:tcPr>
          <w:p>
            <w:r>
              <w:rPr>
                <w:sz w:val="17"/>
              </w:rPr>
            </w:r>
            <w:r>
              <w:rPr>
                <w:sz w:val="17"/>
              </w:rPr>
              <w:t>MT-b, MT-c</w:t>
            </w:r>
          </w:p>
        </w:tc>
        <w:tc>
          <w:tcPr>
            <w:tcW w:type="dxa" w:w="2160"/>
          </w:tcPr>
          <w:p>
            <w:r>
              <w:rPr>
                <w:sz w:val="17"/>
              </w:rPr>
            </w:r>
            <w:r>
              <w:rPr>
                <w:sz w:val="17"/>
              </w:rPr>
              <w:t>E1</w:t>
            </w:r>
          </w:p>
        </w:tc>
      </w:tr>
      <w:tr>
        <w:tc>
          <w:tcPr>
            <w:tcW w:type="dxa" w:w="2160"/>
          </w:tcPr>
          <w:p>
            <w:r>
              <w:rPr>
                <w:sz w:val="17"/>
              </w:rPr>
            </w:r>
            <w:r>
              <w:rPr>
                <w:b/>
                <w:sz w:val="17"/>
              </w:rPr>
              <w:t>OP-7</w:t>
            </w:r>
            <w:r>
              <w:rPr>
                <w:sz w:val="17"/>
              </w:rPr>
              <w:t xml:space="preserve"> Dining Service Procurement</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G1</w:t>
            </w:r>
          </w:p>
        </w:tc>
      </w:tr>
      <w:tr>
        <w:tc>
          <w:tcPr>
            <w:tcW w:type="dxa" w:w="2160"/>
          </w:tcPr>
          <w:p>
            <w:r>
              <w:rPr>
                <w:sz w:val="17"/>
              </w:rPr>
            </w:r>
            <w:r>
              <w:rPr>
                <w:b/>
                <w:sz w:val="17"/>
              </w:rPr>
              <w:t>OP-8</w:t>
            </w:r>
            <w:r>
              <w:rPr>
                <w:sz w:val="17"/>
              </w:rPr>
              <w:t xml:space="preserve"> Food Recovery</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E5</w:t>
            </w:r>
          </w:p>
        </w:tc>
      </w:tr>
      <w:tr>
        <w:tc>
          <w:tcPr>
            <w:tcW w:type="dxa" w:w="2160"/>
          </w:tcPr>
          <w:p>
            <w:r>
              <w:rPr>
                <w:sz w:val="17"/>
              </w:rPr>
            </w:r>
            <w:r>
              <w:rPr>
                <w:b/>
                <w:sz w:val="17"/>
              </w:rPr>
              <w:t>OP-9</w:t>
            </w:r>
            <w:r>
              <w:rPr>
                <w:sz w:val="17"/>
              </w:rPr>
              <w:t xml:space="preserve"> Sustainable Procurement System</w:t>
            </w:r>
          </w:p>
        </w:tc>
        <w:tc>
          <w:tcPr>
            <w:tcW w:type="dxa" w:w="2160"/>
          </w:tcPr>
          <w:p>
            <w:r>
              <w:rPr>
                <w:sz w:val="17"/>
              </w:rPr>
            </w:r>
            <w:r>
              <w:rPr>
                <w:sz w:val="17"/>
              </w:rPr>
              <w:t>GRI 2-24, GRI 308-1</w:t>
            </w:r>
          </w:p>
        </w:tc>
        <w:tc>
          <w:tcPr>
            <w:tcW w:type="dxa" w:w="2160"/>
          </w:tcPr>
          <w:p>
            <w:r>
              <w:rPr>
                <w:sz w:val="17"/>
              </w:rPr>
            </w:r>
            <w:r>
              <w:rPr>
                <w:sz w:val="17"/>
              </w:rPr>
              <w:t>Aucune correspondance</w:t>
            </w:r>
          </w:p>
        </w:tc>
        <w:tc>
          <w:tcPr>
            <w:tcW w:type="dxa" w:w="2160"/>
          </w:tcPr>
          <w:p>
            <w:r>
              <w:rPr>
                <w:sz w:val="17"/>
              </w:rPr>
            </w:r>
            <w:r>
              <w:rPr>
                <w:sz w:val="17"/>
              </w:rPr>
              <w:t>G1, S2</w:t>
            </w:r>
          </w:p>
        </w:tc>
      </w:tr>
      <w:tr>
        <w:tc>
          <w:tcPr>
            <w:tcW w:type="dxa" w:w="2160"/>
          </w:tcPr>
          <w:p>
            <w:r>
              <w:rPr>
                <w:sz w:val="17"/>
              </w:rPr>
            </w:r>
            <w:r>
              <w:rPr>
                <w:b/>
                <w:sz w:val="17"/>
              </w:rPr>
              <w:t>OP-10</w:t>
            </w:r>
            <w:r>
              <w:rPr>
                <w:sz w:val="17"/>
              </w:rPr>
              <w:t xml:space="preserve"> Purchased Goods</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E5</w:t>
            </w:r>
          </w:p>
        </w:tc>
      </w:tr>
      <w:tr>
        <w:tc>
          <w:tcPr>
            <w:tcW w:type="dxa" w:w="2160"/>
          </w:tcPr>
          <w:p>
            <w:r>
              <w:rPr>
                <w:sz w:val="17"/>
              </w:rPr>
            </w:r>
            <w:r>
              <w:rPr>
                <w:b/>
                <w:sz w:val="17"/>
              </w:rPr>
              <w:t>OP-11</w:t>
            </w:r>
            <w:r>
              <w:rPr>
                <w:sz w:val="17"/>
              </w:rPr>
              <w:t xml:space="preserve"> Materials Management</w:t>
            </w:r>
          </w:p>
        </w:tc>
        <w:tc>
          <w:tcPr>
            <w:tcW w:type="dxa" w:w="2160"/>
          </w:tcPr>
          <w:p>
            <w:r>
              <w:rPr>
                <w:sz w:val="17"/>
              </w:rPr>
            </w:r>
            <w:r>
              <w:rPr>
                <w:sz w:val="17"/>
              </w:rPr>
              <w:t>GRI 306-2</w:t>
            </w:r>
          </w:p>
        </w:tc>
        <w:tc>
          <w:tcPr>
            <w:tcW w:type="dxa" w:w="2160"/>
          </w:tcPr>
          <w:p>
            <w:r>
              <w:rPr>
                <w:sz w:val="17"/>
              </w:rPr>
            </w:r>
            <w:r>
              <w:rPr>
                <w:sz w:val="17"/>
              </w:rPr>
              <w:t>Aucune correspondance</w:t>
            </w:r>
          </w:p>
        </w:tc>
        <w:tc>
          <w:tcPr>
            <w:tcW w:type="dxa" w:w="2160"/>
          </w:tcPr>
          <w:p>
            <w:r>
              <w:rPr>
                <w:sz w:val="17"/>
              </w:rPr>
            </w:r>
            <w:r>
              <w:rPr>
                <w:sz w:val="17"/>
              </w:rPr>
              <w:t>E5, E2</w:t>
            </w:r>
          </w:p>
        </w:tc>
      </w:tr>
      <w:tr>
        <w:tc>
          <w:tcPr>
            <w:tcW w:type="dxa" w:w="2160"/>
          </w:tcPr>
          <w:p>
            <w:r>
              <w:rPr>
                <w:sz w:val="17"/>
              </w:rPr>
            </w:r>
            <w:r>
              <w:rPr>
                <w:b/>
                <w:sz w:val="17"/>
              </w:rPr>
              <w:t>OP-12</w:t>
            </w:r>
            <w:r>
              <w:rPr>
                <w:sz w:val="17"/>
              </w:rPr>
              <w:t xml:space="preserve"> Waste Generation and Recovery</w:t>
            </w:r>
          </w:p>
        </w:tc>
        <w:tc>
          <w:tcPr>
            <w:tcW w:type="dxa" w:w="2160"/>
          </w:tcPr>
          <w:p>
            <w:r>
              <w:rPr>
                <w:sz w:val="17"/>
              </w:rPr>
            </w:r>
            <w:r>
              <w:rPr>
                <w:sz w:val="17"/>
              </w:rPr>
              <w:t>GRI 306-2, GRI 306-3, GRI 306-4, GRI 306-5</w:t>
            </w:r>
          </w:p>
        </w:tc>
        <w:tc>
          <w:tcPr>
            <w:tcW w:type="dxa" w:w="2160"/>
          </w:tcPr>
          <w:p>
            <w:r>
              <w:rPr>
                <w:sz w:val="17"/>
              </w:rPr>
            </w:r>
            <w:r>
              <w:rPr>
                <w:sz w:val="17"/>
              </w:rPr>
              <w:t>Aucune correspondance</w:t>
            </w:r>
          </w:p>
        </w:tc>
        <w:tc>
          <w:tcPr>
            <w:tcW w:type="dxa" w:w="2160"/>
          </w:tcPr>
          <w:p>
            <w:r>
              <w:rPr>
                <w:sz w:val="17"/>
              </w:rPr>
            </w:r>
            <w:r>
              <w:rPr>
                <w:sz w:val="17"/>
              </w:rPr>
              <w:t>E5</w:t>
            </w:r>
          </w:p>
        </w:tc>
      </w:tr>
      <w:tr>
        <w:tc>
          <w:tcPr>
            <w:tcW w:type="dxa" w:w="2160"/>
          </w:tcPr>
          <w:p>
            <w:r>
              <w:rPr>
                <w:sz w:val="17"/>
              </w:rPr>
            </w:r>
            <w:r>
              <w:rPr>
                <w:b/>
                <w:sz w:val="17"/>
              </w:rPr>
              <w:t>OP-13</w:t>
            </w:r>
            <w:r>
              <w:rPr>
                <w:sz w:val="17"/>
              </w:rPr>
              <w:t xml:space="preserve"> Vehicle Fleet</w:t>
            </w:r>
          </w:p>
        </w:tc>
        <w:tc>
          <w:tcPr>
            <w:tcW w:type="dxa" w:w="2160"/>
          </w:tcPr>
          <w:p>
            <w:r>
              <w:rPr>
                <w:sz w:val="17"/>
              </w:rPr>
            </w:r>
            <w:r>
              <w:rPr>
                <w:sz w:val="17"/>
              </w:rPr>
              <w:t>Aucune correspondance</w:t>
            </w:r>
          </w:p>
        </w:tc>
        <w:tc>
          <w:tcPr>
            <w:tcW w:type="dxa" w:w="2160"/>
          </w:tcPr>
          <w:p>
            <w:r>
              <w:rPr>
                <w:sz w:val="17"/>
              </w:rPr>
            </w:r>
            <w:r>
              <w:rPr>
                <w:sz w:val="17"/>
              </w:rPr>
              <w:t>MT-a</w:t>
            </w:r>
          </w:p>
        </w:tc>
        <w:tc>
          <w:tcPr>
            <w:tcW w:type="dxa" w:w="2160"/>
          </w:tcPr>
          <w:p>
            <w:r>
              <w:rPr>
                <w:sz w:val="17"/>
              </w:rPr>
            </w:r>
            <w:r>
              <w:rPr>
                <w:sz w:val="17"/>
              </w:rPr>
              <w:t>E1</w:t>
            </w:r>
          </w:p>
        </w:tc>
      </w:tr>
      <w:tr>
        <w:tc>
          <w:tcPr>
            <w:tcW w:type="dxa" w:w="2160"/>
          </w:tcPr>
          <w:p>
            <w:r>
              <w:rPr>
                <w:sz w:val="17"/>
              </w:rPr>
            </w:r>
            <w:r>
              <w:rPr>
                <w:b/>
                <w:sz w:val="17"/>
              </w:rPr>
              <w:t>OP-14</w:t>
            </w:r>
            <w:r>
              <w:rPr>
                <w:sz w:val="17"/>
              </w:rPr>
              <w:t xml:space="preserve"> Commute Modal Split</w:t>
            </w:r>
          </w:p>
        </w:tc>
        <w:tc>
          <w:tcPr>
            <w:tcW w:type="dxa" w:w="2160"/>
          </w:tcPr>
          <w:p>
            <w:r>
              <w:rPr>
                <w:sz w:val="17"/>
              </w:rPr>
            </w:r>
            <w:r>
              <w:rPr>
                <w:sz w:val="17"/>
              </w:rPr>
              <w:t>Aucune correspondance</w:t>
            </w:r>
          </w:p>
        </w:tc>
        <w:tc>
          <w:tcPr>
            <w:tcW w:type="dxa" w:w="2160"/>
          </w:tcPr>
          <w:p>
            <w:r>
              <w:rPr>
                <w:sz w:val="17"/>
              </w:rPr>
            </w:r>
            <w:r>
              <w:rPr>
                <w:sz w:val="17"/>
              </w:rPr>
              <w:t>MT-a</w:t>
            </w:r>
          </w:p>
        </w:tc>
        <w:tc>
          <w:tcPr>
            <w:tcW w:type="dxa" w:w="2160"/>
          </w:tcPr>
          <w:p>
            <w:r>
              <w:rPr>
                <w:sz w:val="17"/>
              </w:rPr>
            </w:r>
            <w:r>
              <w:rPr>
                <w:sz w:val="17"/>
              </w:rPr>
              <w:t>E1</w:t>
            </w:r>
          </w:p>
        </w:tc>
      </w:tr>
      <w:tr>
        <w:tc>
          <w:tcPr>
            <w:tcW w:type="dxa" w:w="2160"/>
          </w:tcPr>
          <w:p>
            <w:r>
              <w:rPr>
                <w:sz w:val="17"/>
              </w:rPr>
            </w:r>
            <w:r>
              <w:rPr>
                <w:b/>
                <w:sz w:val="17"/>
              </w:rPr>
              <w:t>OP-15</w:t>
            </w:r>
            <w:r>
              <w:rPr>
                <w:sz w:val="17"/>
              </w:rPr>
              <w:t xml:space="preserve"> Air Travel</w:t>
            </w:r>
          </w:p>
        </w:tc>
        <w:tc>
          <w:tcPr>
            <w:tcW w:type="dxa" w:w="2160"/>
          </w:tcPr>
          <w:p>
            <w:r>
              <w:rPr>
                <w:sz w:val="17"/>
              </w:rPr>
            </w:r>
            <w:r>
              <w:rPr>
                <w:sz w:val="17"/>
              </w:rPr>
              <w:t>Aucune correspondance</w:t>
            </w:r>
          </w:p>
        </w:tc>
        <w:tc>
          <w:tcPr>
            <w:tcW w:type="dxa" w:w="2160"/>
          </w:tcPr>
          <w:p>
            <w:r>
              <w:rPr>
                <w:sz w:val="17"/>
              </w:rPr>
            </w:r>
            <w:r>
              <w:rPr>
                <w:sz w:val="17"/>
              </w:rPr>
              <w:t>MT-a</w:t>
            </w:r>
          </w:p>
        </w:tc>
        <w:tc>
          <w:tcPr>
            <w:tcW w:type="dxa" w:w="2160"/>
          </w:tcPr>
          <w:p>
            <w:r>
              <w:rPr>
                <w:sz w:val="17"/>
              </w:rPr>
            </w:r>
            <w:r>
              <w:rPr>
                <w:sz w:val="17"/>
              </w:rPr>
              <w:t>E1</w:t>
            </w:r>
          </w:p>
        </w:tc>
      </w:tr>
      <w:tr>
        <w:tc>
          <w:tcPr>
            <w:tcW w:type="dxa" w:w="2160"/>
          </w:tcPr>
          <w:p>
            <w:r>
              <w:rPr>
                <w:sz w:val="17"/>
              </w:rPr>
            </w:r>
            <w:r>
              <w:rPr>
                <w:b/>
                <w:sz w:val="17"/>
              </w:rPr>
              <w:t>PA-1</w:t>
            </w:r>
            <w:r>
              <w:rPr>
                <w:sz w:val="17"/>
              </w:rPr>
              <w:t xml:space="preserve"> Sustainability Coordination</w:t>
            </w:r>
          </w:p>
        </w:tc>
        <w:tc>
          <w:tcPr>
            <w:tcW w:type="dxa" w:w="2160"/>
          </w:tcPr>
          <w:p>
            <w:r>
              <w:rPr>
                <w:sz w:val="17"/>
              </w:rPr>
            </w:r>
            <w:r>
              <w:rPr>
                <w:sz w:val="17"/>
              </w:rPr>
              <w:t>GRI 2-13, GRI 2-24, GRI 3-3</w:t>
            </w:r>
          </w:p>
        </w:tc>
        <w:tc>
          <w:tcPr>
            <w:tcW w:type="dxa" w:w="2160"/>
          </w:tcPr>
          <w:p>
            <w:r>
              <w:rPr>
                <w:sz w:val="17"/>
              </w:rPr>
            </w:r>
            <w:r>
              <w:rPr>
                <w:sz w:val="17"/>
              </w:rPr>
              <w:t>GOV-b</w:t>
            </w:r>
          </w:p>
        </w:tc>
        <w:tc>
          <w:tcPr>
            <w:tcW w:type="dxa" w:w="2160"/>
          </w:tcPr>
          <w:p>
            <w:r>
              <w:rPr>
                <w:sz w:val="17"/>
              </w:rPr>
            </w:r>
            <w:r>
              <w:rPr>
                <w:sz w:val="17"/>
              </w:rPr>
              <w:t>ESRS 2</w:t>
            </w:r>
          </w:p>
        </w:tc>
      </w:tr>
      <w:tr>
        <w:tc>
          <w:tcPr>
            <w:tcW w:type="dxa" w:w="2160"/>
          </w:tcPr>
          <w:p>
            <w:r>
              <w:rPr>
                <w:sz w:val="17"/>
              </w:rPr>
            </w:r>
            <w:r>
              <w:rPr>
                <w:b/>
                <w:sz w:val="17"/>
              </w:rPr>
              <w:t>PA-2</w:t>
            </w:r>
            <w:r>
              <w:rPr>
                <w:sz w:val="17"/>
              </w:rPr>
              <w:t xml:space="preserve"> Commitments and Planning</w:t>
            </w:r>
          </w:p>
        </w:tc>
        <w:tc>
          <w:tcPr>
            <w:tcW w:type="dxa" w:w="2160"/>
          </w:tcPr>
          <w:p>
            <w:r>
              <w:rPr>
                <w:sz w:val="17"/>
              </w:rPr>
            </w:r>
            <w:r>
              <w:rPr>
                <w:sz w:val="17"/>
              </w:rPr>
              <w:t>GRI 2-22, GRI 2-23, GRI 2-28, GRI 3-2, GRI 3-3</w:t>
            </w:r>
          </w:p>
        </w:tc>
        <w:tc>
          <w:tcPr>
            <w:tcW w:type="dxa" w:w="2160"/>
          </w:tcPr>
          <w:p>
            <w:r>
              <w:rPr>
                <w:sz w:val="17"/>
              </w:rPr>
            </w:r>
            <w:r>
              <w:rPr>
                <w:sz w:val="17"/>
              </w:rPr>
              <w:t>STR-a, MT-c</w:t>
            </w:r>
          </w:p>
        </w:tc>
        <w:tc>
          <w:tcPr>
            <w:tcW w:type="dxa" w:w="2160"/>
          </w:tcPr>
          <w:p>
            <w:r>
              <w:rPr>
                <w:sz w:val="17"/>
              </w:rPr>
            </w:r>
            <w:r>
              <w:rPr>
                <w:sz w:val="17"/>
              </w:rPr>
              <w:t>ESRS 2, E1</w:t>
            </w:r>
          </w:p>
        </w:tc>
      </w:tr>
      <w:tr>
        <w:tc>
          <w:tcPr>
            <w:tcW w:type="dxa" w:w="2160"/>
          </w:tcPr>
          <w:p>
            <w:r>
              <w:rPr>
                <w:sz w:val="17"/>
              </w:rPr>
            </w:r>
            <w:r>
              <w:rPr>
                <w:b/>
                <w:sz w:val="17"/>
              </w:rPr>
              <w:t>PA-3</w:t>
            </w:r>
            <w:r>
              <w:rPr>
                <w:sz w:val="17"/>
              </w:rPr>
              <w:t xml:space="preserve"> Institutional Governance</w:t>
            </w:r>
          </w:p>
        </w:tc>
        <w:tc>
          <w:tcPr>
            <w:tcW w:type="dxa" w:w="2160"/>
          </w:tcPr>
          <w:p>
            <w:r>
              <w:rPr>
                <w:sz w:val="17"/>
              </w:rPr>
            </w:r>
            <w:r>
              <w:rPr>
                <w:sz w:val="17"/>
              </w:rPr>
              <w:t>GRI 2-9, GRI 2-29</w:t>
            </w:r>
          </w:p>
        </w:tc>
        <w:tc>
          <w:tcPr>
            <w:tcW w:type="dxa" w:w="2160"/>
          </w:tcPr>
          <w:p>
            <w:r>
              <w:rPr>
                <w:sz w:val="17"/>
              </w:rPr>
            </w:r>
            <w:r>
              <w:rPr>
                <w:sz w:val="17"/>
              </w:rPr>
              <w:t>Aucune correspondance</w:t>
            </w:r>
          </w:p>
        </w:tc>
        <w:tc>
          <w:tcPr>
            <w:tcW w:type="dxa" w:w="2160"/>
          </w:tcPr>
          <w:p>
            <w:r>
              <w:rPr>
                <w:sz w:val="17"/>
              </w:rPr>
            </w:r>
            <w:r>
              <w:rPr>
                <w:sz w:val="17"/>
              </w:rPr>
              <w:t>ESRS 2</w:t>
            </w:r>
          </w:p>
        </w:tc>
      </w:tr>
      <w:tr>
        <w:tc>
          <w:tcPr>
            <w:tcW w:type="dxa" w:w="2160"/>
          </w:tcPr>
          <w:p>
            <w:r>
              <w:rPr>
                <w:sz w:val="17"/>
              </w:rPr>
            </w:r>
            <w:r>
              <w:rPr>
                <w:b/>
                <w:sz w:val="17"/>
              </w:rPr>
              <w:t>PA-4</w:t>
            </w:r>
            <w:r>
              <w:rPr>
                <w:sz w:val="17"/>
              </w:rPr>
              <w:t xml:space="preserve"> Sustainable Investment Program</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PA-5</w:t>
            </w:r>
            <w:r>
              <w:rPr>
                <w:sz w:val="17"/>
              </w:rPr>
              <w:t xml:space="preserve"> Investment Holdings</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Aucune correspondance</w:t>
            </w:r>
          </w:p>
        </w:tc>
      </w:tr>
      <w:tr>
        <w:tc>
          <w:tcPr>
            <w:tcW w:type="dxa" w:w="2160"/>
          </w:tcPr>
          <w:p>
            <w:r>
              <w:rPr>
                <w:sz w:val="17"/>
              </w:rPr>
            </w:r>
            <w:r>
              <w:rPr>
                <w:b/>
                <w:sz w:val="17"/>
              </w:rPr>
              <w:t>PA-6</w:t>
            </w:r>
            <w:r>
              <w:rPr>
                <w:sz w:val="17"/>
              </w:rPr>
              <w:t xml:space="preserve"> Institutional Climate</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S1</w:t>
            </w:r>
          </w:p>
        </w:tc>
      </w:tr>
      <w:tr>
        <w:tc>
          <w:tcPr>
            <w:tcW w:type="dxa" w:w="2160"/>
          </w:tcPr>
          <w:p>
            <w:r>
              <w:rPr>
                <w:sz w:val="17"/>
              </w:rPr>
            </w:r>
            <w:r>
              <w:rPr>
                <w:b/>
                <w:sz w:val="17"/>
              </w:rPr>
              <w:t>PA-7</w:t>
            </w:r>
            <w:r>
              <w:rPr>
                <w:sz w:val="17"/>
              </w:rPr>
              <w:t xml:space="preserve"> Racial and Ethnic Representation</w:t>
            </w:r>
          </w:p>
        </w:tc>
        <w:tc>
          <w:tcPr>
            <w:tcW w:type="dxa" w:w="2160"/>
          </w:tcPr>
          <w:p>
            <w:r>
              <w:rPr>
                <w:sz w:val="17"/>
              </w:rPr>
            </w:r>
            <w:r>
              <w:rPr>
                <w:sz w:val="17"/>
              </w:rPr>
              <w:t>GRI 405-1</w:t>
            </w:r>
          </w:p>
        </w:tc>
        <w:tc>
          <w:tcPr>
            <w:tcW w:type="dxa" w:w="2160"/>
          </w:tcPr>
          <w:p>
            <w:r>
              <w:rPr>
                <w:sz w:val="17"/>
              </w:rPr>
            </w:r>
            <w:r>
              <w:rPr>
                <w:sz w:val="17"/>
              </w:rPr>
              <w:t>Aucune correspondance</w:t>
            </w:r>
          </w:p>
        </w:tc>
        <w:tc>
          <w:tcPr>
            <w:tcW w:type="dxa" w:w="2160"/>
          </w:tcPr>
          <w:p>
            <w:r>
              <w:rPr>
                <w:sz w:val="17"/>
              </w:rPr>
            </w:r>
            <w:r>
              <w:rPr>
                <w:sz w:val="17"/>
              </w:rPr>
              <w:t>S1</w:t>
            </w:r>
          </w:p>
        </w:tc>
      </w:tr>
      <w:tr>
        <w:tc>
          <w:tcPr>
            <w:tcW w:type="dxa" w:w="2160"/>
          </w:tcPr>
          <w:p>
            <w:r>
              <w:rPr>
                <w:sz w:val="17"/>
              </w:rPr>
            </w:r>
            <w:r>
              <w:rPr>
                <w:b/>
                <w:sz w:val="17"/>
              </w:rPr>
              <w:t>PA-8</w:t>
            </w:r>
            <w:r>
              <w:rPr>
                <w:sz w:val="17"/>
              </w:rPr>
              <w:t xml:space="preserve"> Gender Parity</w:t>
            </w:r>
          </w:p>
        </w:tc>
        <w:tc>
          <w:tcPr>
            <w:tcW w:type="dxa" w:w="2160"/>
          </w:tcPr>
          <w:p>
            <w:r>
              <w:rPr>
                <w:sz w:val="17"/>
              </w:rPr>
            </w:r>
            <w:r>
              <w:rPr>
                <w:sz w:val="17"/>
              </w:rPr>
              <w:t>GRI 405-1</w:t>
            </w:r>
          </w:p>
        </w:tc>
        <w:tc>
          <w:tcPr>
            <w:tcW w:type="dxa" w:w="2160"/>
          </w:tcPr>
          <w:p>
            <w:r>
              <w:rPr>
                <w:sz w:val="17"/>
              </w:rPr>
            </w:r>
            <w:r>
              <w:rPr>
                <w:sz w:val="17"/>
              </w:rPr>
              <w:t>Aucune correspondance</w:t>
            </w:r>
          </w:p>
        </w:tc>
        <w:tc>
          <w:tcPr>
            <w:tcW w:type="dxa" w:w="2160"/>
          </w:tcPr>
          <w:p>
            <w:r>
              <w:rPr>
                <w:sz w:val="17"/>
              </w:rPr>
            </w:r>
            <w:r>
              <w:rPr>
                <w:sz w:val="17"/>
              </w:rPr>
              <w:t>S1</w:t>
            </w:r>
          </w:p>
        </w:tc>
      </w:tr>
      <w:tr>
        <w:tc>
          <w:tcPr>
            <w:tcW w:type="dxa" w:w="2160"/>
          </w:tcPr>
          <w:p>
            <w:r>
              <w:rPr>
                <w:sz w:val="17"/>
              </w:rPr>
            </w:r>
            <w:r>
              <w:rPr>
                <w:b/>
                <w:sz w:val="17"/>
              </w:rPr>
              <w:t>PA-9</w:t>
            </w:r>
            <w:r>
              <w:rPr>
                <w:sz w:val="17"/>
              </w:rPr>
              <w:t xml:space="preserve"> Affordability and Access</w:t>
            </w:r>
          </w:p>
        </w:tc>
        <w:tc>
          <w:tcPr>
            <w:tcW w:type="dxa" w:w="2160"/>
          </w:tcPr>
          <w:p>
            <w:r>
              <w:rPr>
                <w:sz w:val="17"/>
              </w:rPr>
            </w:r>
            <w:r>
              <w:rPr>
                <w:sz w:val="17"/>
              </w:rPr>
              <w:t>GRI 202-1</w:t>
            </w:r>
          </w:p>
        </w:tc>
        <w:tc>
          <w:tcPr>
            <w:tcW w:type="dxa" w:w="2160"/>
          </w:tcPr>
          <w:p>
            <w:r>
              <w:rPr>
                <w:sz w:val="17"/>
              </w:rPr>
            </w:r>
            <w:r>
              <w:rPr>
                <w:sz w:val="17"/>
              </w:rPr>
              <w:t>Aucune correspondance</w:t>
            </w:r>
          </w:p>
        </w:tc>
        <w:tc>
          <w:tcPr>
            <w:tcW w:type="dxa" w:w="2160"/>
          </w:tcPr>
          <w:p>
            <w:r>
              <w:rPr>
                <w:sz w:val="17"/>
              </w:rPr>
            </w:r>
            <w:r>
              <w:rPr>
                <w:sz w:val="17"/>
              </w:rPr>
              <w:t>S4</w:t>
            </w:r>
          </w:p>
        </w:tc>
      </w:tr>
      <w:tr>
        <w:tc>
          <w:tcPr>
            <w:tcW w:type="dxa" w:w="2160"/>
          </w:tcPr>
          <w:p>
            <w:r>
              <w:rPr>
                <w:sz w:val="17"/>
              </w:rPr>
            </w:r>
            <w:r>
              <w:rPr>
                <w:b/>
                <w:sz w:val="17"/>
              </w:rPr>
              <w:t>PA-10</w:t>
            </w:r>
            <w:r>
              <w:rPr>
                <w:sz w:val="17"/>
              </w:rPr>
              <w:t xml:space="preserve"> Student Success</w:t>
            </w:r>
          </w:p>
        </w:tc>
        <w:tc>
          <w:tcPr>
            <w:tcW w:type="dxa" w:w="2160"/>
          </w:tcPr>
          <w:p>
            <w:r>
              <w:rPr>
                <w:sz w:val="17"/>
              </w:rPr>
            </w:r>
            <w:r>
              <w:rPr>
                <w:sz w:val="17"/>
              </w:rPr>
              <w:t>Aucune correspondance</w:t>
            </w:r>
          </w:p>
        </w:tc>
        <w:tc>
          <w:tcPr>
            <w:tcW w:type="dxa" w:w="2160"/>
          </w:tcPr>
          <w:p>
            <w:r>
              <w:rPr>
                <w:sz w:val="17"/>
              </w:rPr>
            </w:r>
            <w:r>
              <w:rPr>
                <w:sz w:val="17"/>
              </w:rPr>
              <w:t>Aucune correspondance</w:t>
            </w:r>
          </w:p>
        </w:tc>
        <w:tc>
          <w:tcPr>
            <w:tcW w:type="dxa" w:w="2160"/>
          </w:tcPr>
          <w:p>
            <w:r>
              <w:rPr>
                <w:sz w:val="17"/>
              </w:rPr>
            </w:r>
            <w:r>
              <w:rPr>
                <w:sz w:val="17"/>
              </w:rPr>
              <w:t>S4</w:t>
            </w:r>
          </w:p>
        </w:tc>
      </w:tr>
      <w:tr>
        <w:tc>
          <w:tcPr>
            <w:tcW w:type="dxa" w:w="2160"/>
          </w:tcPr>
          <w:p>
            <w:r>
              <w:rPr>
                <w:sz w:val="17"/>
              </w:rPr>
            </w:r>
            <w:r>
              <w:rPr>
                <w:b/>
                <w:sz w:val="17"/>
              </w:rPr>
              <w:t>PA-11</w:t>
            </w:r>
            <w:r>
              <w:rPr>
                <w:sz w:val="17"/>
              </w:rPr>
              <w:t xml:space="preserve"> Health, Safety and Wellbeing</w:t>
            </w:r>
          </w:p>
        </w:tc>
        <w:tc>
          <w:tcPr>
            <w:tcW w:type="dxa" w:w="2160"/>
          </w:tcPr>
          <w:p>
            <w:r>
              <w:rPr>
                <w:sz w:val="17"/>
              </w:rPr>
            </w:r>
            <w:r>
              <w:rPr>
                <w:sz w:val="17"/>
              </w:rPr>
              <w:t>GRI 403-1, GRI 403-3, GRI 403-4, GRI 403-6</w:t>
            </w:r>
          </w:p>
        </w:tc>
        <w:tc>
          <w:tcPr>
            <w:tcW w:type="dxa" w:w="2160"/>
          </w:tcPr>
          <w:p>
            <w:r>
              <w:rPr>
                <w:sz w:val="17"/>
              </w:rPr>
            </w:r>
            <w:r>
              <w:rPr>
                <w:sz w:val="17"/>
              </w:rPr>
              <w:t>Aucune correspondance</w:t>
            </w:r>
          </w:p>
        </w:tc>
        <w:tc>
          <w:tcPr>
            <w:tcW w:type="dxa" w:w="2160"/>
          </w:tcPr>
          <w:p>
            <w:r>
              <w:rPr>
                <w:sz w:val="17"/>
              </w:rPr>
            </w:r>
            <w:r>
              <w:rPr>
                <w:sz w:val="17"/>
              </w:rPr>
              <w:t>S1</w:t>
            </w:r>
          </w:p>
        </w:tc>
      </w:tr>
      <w:tr>
        <w:tc>
          <w:tcPr>
            <w:tcW w:type="dxa" w:w="2160"/>
          </w:tcPr>
          <w:p>
            <w:r>
              <w:rPr>
                <w:sz w:val="17"/>
              </w:rPr>
            </w:r>
            <w:r>
              <w:rPr>
                <w:b/>
                <w:sz w:val="17"/>
              </w:rPr>
              <w:t>PA-12</w:t>
            </w:r>
            <w:r>
              <w:rPr>
                <w:sz w:val="17"/>
              </w:rPr>
              <w:t xml:space="preserve"> Employee Rights</w:t>
            </w:r>
          </w:p>
        </w:tc>
        <w:tc>
          <w:tcPr>
            <w:tcW w:type="dxa" w:w="2160"/>
          </w:tcPr>
          <w:p>
            <w:r>
              <w:rPr>
                <w:sz w:val="17"/>
              </w:rPr>
            </w:r>
            <w:r>
              <w:rPr>
                <w:sz w:val="17"/>
              </w:rPr>
              <w:t>GRI 2-25, GRI 2-26, GRI 401-2, GRI 401-3</w:t>
            </w:r>
          </w:p>
        </w:tc>
        <w:tc>
          <w:tcPr>
            <w:tcW w:type="dxa" w:w="2160"/>
          </w:tcPr>
          <w:p>
            <w:r>
              <w:rPr>
                <w:sz w:val="17"/>
              </w:rPr>
            </w:r>
            <w:r>
              <w:rPr>
                <w:sz w:val="17"/>
              </w:rPr>
              <w:t>Aucune correspondance</w:t>
            </w:r>
          </w:p>
        </w:tc>
        <w:tc>
          <w:tcPr>
            <w:tcW w:type="dxa" w:w="2160"/>
          </w:tcPr>
          <w:p>
            <w:r>
              <w:rPr>
                <w:sz w:val="17"/>
              </w:rPr>
            </w:r>
            <w:r>
              <w:rPr>
                <w:sz w:val="17"/>
              </w:rPr>
              <w:t>S1, G1</w:t>
            </w:r>
          </w:p>
        </w:tc>
      </w:tr>
      <w:tr>
        <w:tc>
          <w:tcPr>
            <w:tcW w:type="dxa" w:w="2160"/>
          </w:tcPr>
          <w:p>
            <w:r>
              <w:rPr>
                <w:sz w:val="17"/>
              </w:rPr>
            </w:r>
            <w:r>
              <w:rPr>
                <w:b/>
                <w:sz w:val="17"/>
              </w:rPr>
              <w:t>PA-13</w:t>
            </w:r>
            <w:r>
              <w:rPr>
                <w:sz w:val="17"/>
              </w:rPr>
              <w:t xml:space="preserve"> Pay Equity and Living Wage</w:t>
            </w:r>
          </w:p>
        </w:tc>
        <w:tc>
          <w:tcPr>
            <w:tcW w:type="dxa" w:w="2160"/>
          </w:tcPr>
          <w:p>
            <w:r>
              <w:rPr>
                <w:sz w:val="17"/>
              </w:rPr>
            </w:r>
            <w:r>
              <w:rPr>
                <w:sz w:val="17"/>
              </w:rPr>
              <w:t>GRI 202-1</w:t>
            </w:r>
          </w:p>
        </w:tc>
        <w:tc>
          <w:tcPr>
            <w:tcW w:type="dxa" w:w="2160"/>
          </w:tcPr>
          <w:p>
            <w:r>
              <w:rPr>
                <w:sz w:val="17"/>
              </w:rPr>
            </w:r>
            <w:r>
              <w:rPr>
                <w:sz w:val="17"/>
              </w:rPr>
              <w:t>Aucune correspondance</w:t>
            </w:r>
          </w:p>
        </w:tc>
        <w:tc>
          <w:tcPr>
            <w:tcW w:type="dxa" w:w="2160"/>
          </w:tcPr>
          <w:p>
            <w:r>
              <w:rPr>
                <w:sz w:val="17"/>
              </w:rPr>
            </w:r>
            <w:r>
              <w:rPr>
                <w:sz w:val="17"/>
              </w:rPr>
              <w:t>S1</w:t>
            </w:r>
          </w:p>
        </w:tc>
      </w:tr>
      <w:tr>
        <w:tc>
          <w:tcPr>
            <w:tcW w:type="dxa" w:w="2160"/>
          </w:tcPr>
          <w:p>
            <w:r>
              <w:rPr>
                <w:sz w:val="17"/>
              </w:rPr>
            </w:r>
            <w:r>
              <w:rPr>
                <w:b/>
                <w:sz w:val="17"/>
              </w:rPr>
              <w:t>IL-24</w:t>
            </w:r>
            <w:r>
              <w:rPr>
                <w:sz w:val="17"/>
              </w:rPr>
              <w:t xml:space="preserve"> Biodiversity Assessment</w:t>
            </w:r>
          </w:p>
        </w:tc>
        <w:tc>
          <w:tcPr>
            <w:tcW w:type="dxa" w:w="2160"/>
          </w:tcPr>
          <w:p>
            <w:r>
              <w:rPr>
                <w:sz w:val="17"/>
              </w:rPr>
            </w:r>
            <w:r>
              <w:rPr>
                <w:sz w:val="17"/>
              </w:rPr>
              <w:t>GRI 101-4, GRI 101-5</w:t>
            </w:r>
          </w:p>
        </w:tc>
        <w:tc>
          <w:tcPr>
            <w:tcW w:type="dxa" w:w="2160"/>
          </w:tcPr>
          <w:p>
            <w:r>
              <w:rPr>
                <w:sz w:val="17"/>
              </w:rPr>
            </w:r>
            <w:r>
              <w:rPr>
                <w:sz w:val="17"/>
              </w:rPr>
              <w:t>Aucune correspondance</w:t>
            </w:r>
          </w:p>
        </w:tc>
        <w:tc>
          <w:tcPr>
            <w:tcW w:type="dxa" w:w="2160"/>
          </w:tcPr>
          <w:p>
            <w:r>
              <w:rPr>
                <w:sz w:val="17"/>
              </w:rPr>
            </w:r>
            <w:r>
              <w:rPr>
                <w:sz w:val="17"/>
              </w:rPr>
              <w:t>E4</w:t>
            </w:r>
          </w:p>
        </w:tc>
      </w:tr>
    </w:tbl>
    <w:p/>
    <w:p>
      <w:pPr>
        <w:pStyle w:val="Heading1"/>
      </w:pPr>
      <w:r>
        <w:rPr>
          <w:color w:val="2F6F5E"/>
        </w:rPr>
        <w:t>Annexe — Validation du rapport</w:t>
      </w:r>
    </w:p>
    <w:p>
      <w:r>
        <w:t>Chaque section narrative a suivi la boucle : rédaction (placeholders) → garde-fou des chiffres → substitution par le code → audit par le juge → régénération si refus (trois tentatives au plus).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Section</w:t>
            </w:r>
          </w:p>
        </w:tc>
        <w:tc>
          <w:tcPr>
            <w:tcW w:type="dxa" w:w="1080"/>
          </w:tcPr>
          <w:p>
            <w:r>
              <w:rPr>
                <w:b/>
                <w:sz w:val="17"/>
              </w:rPr>
            </w:r>
            <w:r>
              <w:rPr>
                <w:b/>
                <w:sz w:val="17"/>
              </w:rPr>
              <w:t>Décision</w:t>
            </w:r>
          </w:p>
        </w:tc>
        <w:tc>
          <w:tcPr>
            <w:tcW w:type="dxa" w:w="1080"/>
          </w:tcPr>
          <w:p>
            <w:r>
              <w:rPr>
                <w:b/>
                <w:sz w:val="17"/>
              </w:rPr>
            </w:r>
            <w:r>
              <w:rPr>
                <w:b/>
                <w:sz w:val="17"/>
              </w:rPr>
              <w:t>Tentatives</w:t>
            </w:r>
          </w:p>
        </w:tc>
        <w:tc>
          <w:tcPr>
            <w:tcW w:type="dxa" w:w="1080"/>
          </w:tcPr>
          <w:p>
            <w:r>
              <w:rPr>
                <w:b/>
                <w:sz w:val="17"/>
              </w:rPr>
            </w:r>
            <w:r>
              <w:rPr>
                <w:b/>
                <w:sz w:val="17"/>
              </w:rPr>
              <w:t>Rejets garde-fou</w:t>
            </w:r>
          </w:p>
        </w:tc>
        <w:tc>
          <w:tcPr>
            <w:tcW w:type="dxa" w:w="1080"/>
          </w:tcPr>
          <w:p>
            <w:r>
              <w:rPr>
                <w:b/>
                <w:sz w:val="17"/>
              </w:rPr>
            </w:r>
            <w:r>
              <w:rPr>
                <w:b/>
                <w:sz w:val="17"/>
              </w:rPr>
              <w:t>Note du juge</w:t>
            </w:r>
          </w:p>
        </w:tc>
        <w:tc>
          <w:tcPr>
            <w:tcW w:type="dxa" w:w="1080"/>
          </w:tcPr>
          <w:p>
            <w:r>
              <w:rPr>
                <w:b/>
                <w:sz w:val="17"/>
              </w:rPr>
            </w:r>
            <w:r>
              <w:rPr>
                <w:b/>
                <w:sz w:val="17"/>
              </w:rPr>
              <w:t>Fidélité</w:t>
            </w:r>
          </w:p>
        </w:tc>
        <w:tc>
          <w:tcPr>
            <w:tcW w:type="dxa" w:w="1080"/>
          </w:tcPr>
          <w:p>
            <w:r>
              <w:rPr>
                <w:b/>
                <w:sz w:val="17"/>
              </w:rPr>
            </w:r>
            <w:r>
              <w:rPr>
                <w:b/>
                <w:sz w:val="17"/>
              </w:rPr>
              <w:t>Couverture GRI</w:t>
            </w:r>
          </w:p>
        </w:tc>
        <w:tc>
          <w:tcPr>
            <w:tcW w:type="dxa" w:w="1080"/>
          </w:tcPr>
          <w:p>
            <w:r>
              <w:rPr>
                <w:b/>
                <w:sz w:val="17"/>
              </w:rPr>
            </w:r>
            <w:r>
              <w:rPr>
                <w:b/>
                <w:sz w:val="17"/>
              </w:rPr>
              <w:t>Durée</w:t>
            </w:r>
          </w:p>
        </w:tc>
      </w:tr>
      <w:tr>
        <w:tc>
          <w:tcPr>
            <w:tcW w:type="dxa" w:w="1080"/>
          </w:tcPr>
          <w:p>
            <w:r>
              <w:rPr>
                <w:sz w:val="17"/>
              </w:rPr>
            </w:r>
            <w:r>
              <w:rPr>
                <w:sz w:val="17"/>
              </w:rPr>
              <w:t>L'organisation, son périmètre et ses effectifs</w:t>
            </w:r>
          </w:p>
        </w:tc>
        <w:tc>
          <w:tcPr>
            <w:tcW w:type="dxa" w:w="1080"/>
          </w:tcPr>
          <w:p>
            <w:r>
              <w:rPr>
                <w:sz w:val="17"/>
              </w:rPr>
            </w:r>
            <w:r>
              <w:rPr>
                <w:sz w:val="17"/>
              </w:rPr>
              <w:t>validée</w:t>
            </w:r>
          </w:p>
        </w:tc>
        <w:tc>
          <w:tcPr>
            <w:tcW w:type="dxa" w:w="1080"/>
          </w:tcPr>
          <w:p>
            <w:r>
              <w:rPr>
                <w:sz w:val="17"/>
              </w:rPr>
            </w:r>
            <w:r>
              <w:rPr>
                <w:sz w:val="17"/>
              </w:rPr>
              <w:t>1</w:t>
            </w:r>
          </w:p>
        </w:tc>
        <w:tc>
          <w:tcPr>
            <w:tcW w:type="dxa" w:w="1080"/>
          </w:tcPr>
          <w:p>
            <w:r>
              <w:rPr>
                <w:sz w:val="17"/>
              </w:rPr>
            </w:r>
            <w:r>
              <w:rPr>
                <w:sz w:val="17"/>
              </w:rPr>
              <w:t>0</w:t>
            </w:r>
          </w:p>
        </w:tc>
        <w:tc>
          <w:tcPr>
            <w:tcW w:type="dxa" w:w="1080"/>
          </w:tcPr>
          <w:p>
            <w:r>
              <w:rPr>
                <w:sz w:val="17"/>
              </w:rPr>
            </w:r>
            <w:r>
              <w:rPr>
                <w:sz w:val="17"/>
              </w:rPr>
              <w:t>4/5</w:t>
            </w:r>
          </w:p>
        </w:tc>
        <w:tc>
          <w:tcPr>
            <w:tcW w:type="dxa" w:w="1080"/>
          </w:tcPr>
          <w:p>
            <w:r>
              <w:rPr>
                <w:sz w:val="17"/>
              </w:rPr>
            </w:r>
            <w:r>
              <w:rPr>
                <w:sz w:val="17"/>
              </w:rPr>
              <w:t>100%</w:t>
            </w:r>
          </w:p>
        </w:tc>
        <w:tc>
          <w:tcPr>
            <w:tcW w:type="dxa" w:w="1080"/>
          </w:tcPr>
          <w:p>
            <w:r>
              <w:rPr>
                <w:sz w:val="17"/>
              </w:rPr>
            </w:r>
            <w:r>
              <w:rPr>
                <w:sz w:val="17"/>
              </w:rPr>
              <w:t>83%</w:t>
            </w:r>
          </w:p>
        </w:tc>
        <w:tc>
          <w:tcPr>
            <w:tcW w:type="dxa" w:w="1080"/>
          </w:tcPr>
          <w:p>
            <w:r>
              <w:rPr>
                <w:sz w:val="17"/>
              </w:rPr>
            </w:r>
            <w:r>
              <w:rPr>
                <w:sz w:val="17"/>
              </w:rPr>
              <w:t>9.0 min</w:t>
            </w:r>
          </w:p>
        </w:tc>
      </w:tr>
      <w:tr>
        <w:tc>
          <w:tcPr>
            <w:tcW w:type="dxa" w:w="1080"/>
          </w:tcPr>
          <w:p>
            <w:r>
              <w:rPr>
                <w:sz w:val="17"/>
              </w:rPr>
            </w:r>
            <w:r>
              <w:rPr>
                <w:sz w:val="17"/>
              </w:rPr>
              <w:t>Thèmes matériels</w:t>
            </w:r>
          </w:p>
        </w:tc>
        <w:tc>
          <w:tcPr>
            <w:tcW w:type="dxa" w:w="1080"/>
          </w:tcPr>
          <w:p>
            <w:r>
              <w:rPr>
                <w:sz w:val="17"/>
              </w:rPr>
            </w:r>
            <w:r>
              <w:rPr>
                <w:sz w:val="17"/>
              </w:rPr>
              <w:t>validée</w:t>
            </w:r>
          </w:p>
        </w:tc>
        <w:tc>
          <w:tcPr>
            <w:tcW w:type="dxa" w:w="1080"/>
          </w:tcPr>
          <w:p>
            <w:r>
              <w:rPr>
                <w:sz w:val="17"/>
              </w:rPr>
            </w:r>
            <w:r>
              <w:rPr>
                <w:sz w:val="17"/>
              </w:rPr>
              <w:t>1</w:t>
            </w:r>
          </w:p>
        </w:tc>
        <w:tc>
          <w:tcPr>
            <w:tcW w:type="dxa" w:w="1080"/>
          </w:tcPr>
          <w:p>
            <w:r>
              <w:rPr>
                <w:sz w:val="17"/>
              </w:rPr>
            </w:r>
            <w:r>
              <w:rPr>
                <w:sz w:val="17"/>
              </w:rPr>
              <w:t>0</w:t>
            </w:r>
          </w:p>
        </w:tc>
        <w:tc>
          <w:tcPr>
            <w:tcW w:type="dxa" w:w="1080"/>
          </w:tcPr>
          <w:p>
            <w:r>
              <w:rPr>
                <w:sz w:val="17"/>
              </w:rPr>
            </w:r>
            <w:r>
              <w:rPr>
                <w:sz w:val="17"/>
              </w:rPr>
              <w:t>4/5</w:t>
            </w:r>
          </w:p>
        </w:tc>
        <w:tc>
          <w:tcPr>
            <w:tcW w:type="dxa" w:w="1080"/>
          </w:tcPr>
          <w:p>
            <w:r>
              <w:rPr>
                <w:sz w:val="17"/>
              </w:rPr>
            </w:r>
            <w:r>
              <w:rPr>
                <w:sz w:val="17"/>
              </w:rPr>
              <w:t>100%</w:t>
            </w:r>
          </w:p>
        </w:tc>
        <w:tc>
          <w:tcPr>
            <w:tcW w:type="dxa" w:w="1080"/>
          </w:tcPr>
          <w:p>
            <w:r>
              <w:rPr>
                <w:sz w:val="17"/>
              </w:rPr>
            </w:r>
            <w:r>
              <w:rPr>
                <w:sz w:val="17"/>
              </w:rPr>
              <w:t>0%</w:t>
            </w:r>
          </w:p>
        </w:tc>
        <w:tc>
          <w:tcPr>
            <w:tcW w:type="dxa" w:w="1080"/>
          </w:tcPr>
          <w:p>
            <w:r>
              <w:rPr>
                <w:sz w:val="17"/>
              </w:rPr>
            </w:r>
            <w:r>
              <w:rPr>
                <w:sz w:val="17"/>
              </w:rPr>
              <w:t>9.1 min</w:t>
            </w:r>
          </w:p>
        </w:tc>
      </w:tr>
      <w:tr>
        <w:tc>
          <w:tcPr>
            <w:tcW w:type="dxa" w:w="1080"/>
          </w:tcPr>
          <w:p>
            <w:r>
              <w:rPr>
                <w:sz w:val="17"/>
              </w:rPr>
            </w:r>
            <w:r>
              <w:rPr>
                <w:sz w:val="17"/>
              </w:rPr>
              <w:t>Gouvernance</w:t>
            </w:r>
          </w:p>
        </w:tc>
        <w:tc>
          <w:tcPr>
            <w:tcW w:type="dxa" w:w="1080"/>
          </w:tcPr>
          <w:p>
            <w:r>
              <w:rPr>
                <w:sz w:val="17"/>
              </w:rPr>
            </w:r>
            <w:r>
              <w:rPr>
                <w:sz w:val="17"/>
              </w:rPr>
              <w:t>validée</w:t>
            </w:r>
          </w:p>
        </w:tc>
        <w:tc>
          <w:tcPr>
            <w:tcW w:type="dxa" w:w="1080"/>
          </w:tcPr>
          <w:p>
            <w:r>
              <w:rPr>
                <w:sz w:val="17"/>
              </w:rPr>
            </w:r>
            <w:r>
              <w:rPr>
                <w:sz w:val="17"/>
              </w:rPr>
              <w:t>2</w:t>
            </w:r>
          </w:p>
        </w:tc>
        <w:tc>
          <w:tcPr>
            <w:tcW w:type="dxa" w:w="1080"/>
          </w:tcPr>
          <w:p>
            <w:r>
              <w:rPr>
                <w:sz w:val="17"/>
              </w:rPr>
            </w:r>
            <w:r>
              <w:rPr>
                <w:sz w:val="17"/>
              </w:rPr>
              <w:t>1</w:t>
            </w:r>
          </w:p>
        </w:tc>
        <w:tc>
          <w:tcPr>
            <w:tcW w:type="dxa" w:w="1080"/>
          </w:tcPr>
          <w:p>
            <w:r>
              <w:rPr>
                <w:sz w:val="17"/>
              </w:rPr>
            </w:r>
            <w:r>
              <w:rPr>
                <w:sz w:val="17"/>
              </w:rPr>
              <w:t>4/5</w:t>
            </w:r>
          </w:p>
        </w:tc>
        <w:tc>
          <w:tcPr>
            <w:tcW w:type="dxa" w:w="1080"/>
          </w:tcPr>
          <w:p>
            <w:r>
              <w:rPr>
                <w:sz w:val="17"/>
              </w:rPr>
            </w:r>
            <w:r>
              <w:rPr>
                <w:sz w:val="17"/>
              </w:rPr>
              <w:t>100%</w:t>
            </w:r>
          </w:p>
        </w:tc>
        <w:tc>
          <w:tcPr>
            <w:tcW w:type="dxa" w:w="1080"/>
          </w:tcPr>
          <w:p>
            <w:r>
              <w:rPr>
                <w:sz w:val="17"/>
              </w:rPr>
            </w:r>
            <w:r>
              <w:rPr>
                <w:sz w:val="17"/>
              </w:rPr>
              <w:t>0%</w:t>
            </w:r>
          </w:p>
        </w:tc>
        <w:tc>
          <w:tcPr>
            <w:tcW w:type="dxa" w:w="1080"/>
          </w:tcPr>
          <w:p>
            <w:r>
              <w:rPr>
                <w:sz w:val="17"/>
              </w:rPr>
            </w:r>
            <w:r>
              <w:rPr>
                <w:sz w:val="17"/>
              </w:rPr>
              <w:t>12.3 min</w:t>
            </w:r>
          </w:p>
        </w:tc>
      </w:tr>
      <w:tr>
        <w:tc>
          <w:tcPr>
            <w:tcW w:type="dxa" w:w="1080"/>
          </w:tcPr>
          <w:p>
            <w:r>
              <w:rPr>
                <w:sz w:val="17"/>
              </w:rPr>
            </w:r>
            <w:r>
              <w:rPr>
                <w:sz w:val="17"/>
              </w:rPr>
              <w:t>Stratégie, politiques et pratiques</w:t>
            </w:r>
          </w:p>
        </w:tc>
        <w:tc>
          <w:tcPr>
            <w:tcW w:type="dxa" w:w="1080"/>
          </w:tcPr>
          <w:p>
            <w:r>
              <w:rPr>
                <w:sz w:val="17"/>
              </w:rPr>
            </w:r>
            <w:r>
              <w:rPr>
                <w:sz w:val="17"/>
              </w:rPr>
              <w:t>validée</w:t>
            </w:r>
          </w:p>
        </w:tc>
        <w:tc>
          <w:tcPr>
            <w:tcW w:type="dxa" w:w="1080"/>
          </w:tcPr>
          <w:p>
            <w:r>
              <w:rPr>
                <w:sz w:val="17"/>
              </w:rPr>
            </w:r>
            <w:r>
              <w:rPr>
                <w:sz w:val="17"/>
              </w:rPr>
              <w:t>1</w:t>
            </w:r>
          </w:p>
        </w:tc>
        <w:tc>
          <w:tcPr>
            <w:tcW w:type="dxa" w:w="1080"/>
          </w:tcPr>
          <w:p>
            <w:r>
              <w:rPr>
                <w:sz w:val="17"/>
              </w:rPr>
            </w:r>
            <w:r>
              <w:rPr>
                <w:sz w:val="17"/>
              </w:rPr>
              <w:t>0</w:t>
            </w:r>
          </w:p>
        </w:tc>
        <w:tc>
          <w:tcPr>
            <w:tcW w:type="dxa" w:w="1080"/>
          </w:tcPr>
          <w:p>
            <w:r>
              <w:rPr>
                <w:sz w:val="17"/>
              </w:rPr>
            </w:r>
            <w:r>
              <w:rPr>
                <w:sz w:val="17"/>
              </w:rPr>
              <w:t>3/5</w:t>
            </w:r>
          </w:p>
        </w:tc>
        <w:tc>
          <w:tcPr>
            <w:tcW w:type="dxa" w:w="1080"/>
          </w:tcPr>
          <w:p>
            <w:r>
              <w:rPr>
                <w:sz w:val="17"/>
              </w:rPr>
            </w:r>
            <w:r>
              <w:rPr>
                <w:sz w:val="17"/>
              </w:rPr>
              <w:t>100%</w:t>
            </w:r>
          </w:p>
        </w:tc>
        <w:tc>
          <w:tcPr>
            <w:tcW w:type="dxa" w:w="1080"/>
          </w:tcPr>
          <w:p>
            <w:r>
              <w:rPr>
                <w:sz w:val="17"/>
              </w:rPr>
            </w:r>
            <w:r>
              <w:rPr>
                <w:sz w:val="17"/>
              </w:rPr>
              <w:t>50%</w:t>
            </w:r>
          </w:p>
        </w:tc>
        <w:tc>
          <w:tcPr>
            <w:tcW w:type="dxa" w:w="1080"/>
          </w:tcPr>
          <w:p>
            <w:r>
              <w:rPr>
                <w:sz w:val="17"/>
              </w:rPr>
            </w:r>
            <w:r>
              <w:rPr>
                <w:sz w:val="17"/>
              </w:rPr>
              <w:t>12.2 min</w:t>
            </w:r>
          </w:p>
        </w:tc>
      </w:tr>
      <w:tr>
        <w:tc>
          <w:tcPr>
            <w:tcW w:type="dxa" w:w="1080"/>
          </w:tcPr>
          <w:p>
            <w:r>
              <w:rPr>
                <w:sz w:val="17"/>
              </w:rPr>
            </w:r>
            <w:r>
              <w:rPr>
                <w:sz w:val="17"/>
              </w:rPr>
              <w:t>Engagement des parties prenantes</w:t>
            </w:r>
          </w:p>
        </w:tc>
        <w:tc>
          <w:tcPr>
            <w:tcW w:type="dxa" w:w="1080"/>
          </w:tcPr>
          <w:p>
            <w:r>
              <w:rPr>
                <w:sz w:val="17"/>
              </w:rPr>
            </w:r>
            <w:r>
              <w:rPr>
                <w:sz w:val="17"/>
              </w:rPr>
              <w:t>validée</w:t>
            </w:r>
          </w:p>
        </w:tc>
        <w:tc>
          <w:tcPr>
            <w:tcW w:type="dxa" w:w="1080"/>
          </w:tcPr>
          <w:p>
            <w:r>
              <w:rPr>
                <w:sz w:val="17"/>
              </w:rPr>
            </w:r>
            <w:r>
              <w:rPr>
                <w:sz w:val="17"/>
              </w:rPr>
              <w:t>1</w:t>
            </w:r>
          </w:p>
        </w:tc>
        <w:tc>
          <w:tcPr>
            <w:tcW w:type="dxa" w:w="1080"/>
          </w:tcPr>
          <w:p>
            <w:r>
              <w:rPr>
                <w:sz w:val="17"/>
              </w:rPr>
            </w:r>
            <w:r>
              <w:rPr>
                <w:sz w:val="17"/>
              </w:rPr>
              <w:t>0</w:t>
            </w:r>
          </w:p>
        </w:tc>
        <w:tc>
          <w:tcPr>
            <w:tcW w:type="dxa" w:w="1080"/>
          </w:tcPr>
          <w:p>
            <w:r>
              <w:rPr>
                <w:sz w:val="17"/>
              </w:rPr>
            </w:r>
            <w:r>
              <w:rPr>
                <w:sz w:val="17"/>
              </w:rPr>
              <w:t>4/5</w:t>
            </w:r>
          </w:p>
        </w:tc>
        <w:tc>
          <w:tcPr>
            <w:tcW w:type="dxa" w:w="1080"/>
          </w:tcPr>
          <w:p>
            <w:r>
              <w:rPr>
                <w:sz w:val="17"/>
              </w:rPr>
            </w:r>
            <w:r>
              <w:rPr>
                <w:sz w:val="17"/>
              </w:rPr>
              <w:t>100%</w:t>
            </w:r>
          </w:p>
        </w:tc>
        <w:tc>
          <w:tcPr>
            <w:tcW w:type="dxa" w:w="1080"/>
          </w:tcPr>
          <w:p>
            <w:r>
              <w:rPr>
                <w:sz w:val="17"/>
              </w:rPr>
            </w:r>
            <w:r>
              <w:rPr>
                <w:sz w:val="17"/>
              </w:rPr>
              <w:t>100%</w:t>
            </w:r>
          </w:p>
        </w:tc>
        <w:tc>
          <w:tcPr>
            <w:tcW w:type="dxa" w:w="1080"/>
          </w:tcPr>
          <w:p>
            <w:r>
              <w:rPr>
                <w:sz w:val="17"/>
              </w:rPr>
            </w:r>
            <w:r>
              <w:rPr>
                <w:sz w:val="17"/>
              </w:rPr>
              <w:t>6.8 min</w:t>
            </w:r>
          </w:p>
        </w:tc>
      </w:tr>
      <w:tr>
        <w:tc>
          <w:tcPr>
            <w:tcW w:type="dxa" w:w="1080"/>
          </w:tcPr>
          <w:p>
            <w:r>
              <w:rPr>
                <w:sz w:val="17"/>
              </w:rPr>
            </w:r>
            <w:r>
              <w:rPr>
                <w:sz w:val="17"/>
              </w:rPr>
              <w:t>Performance environnementale</w:t>
            </w:r>
          </w:p>
        </w:tc>
        <w:tc>
          <w:tcPr>
            <w:tcW w:type="dxa" w:w="1080"/>
          </w:tcPr>
          <w:p>
            <w:r>
              <w:rPr>
                <w:sz w:val="17"/>
              </w:rPr>
            </w:r>
            <w:r>
              <w:rPr>
                <w:sz w:val="17"/>
              </w:rPr>
              <w:t>validée</w:t>
            </w:r>
          </w:p>
        </w:tc>
        <w:tc>
          <w:tcPr>
            <w:tcW w:type="dxa" w:w="1080"/>
          </w:tcPr>
          <w:p>
            <w:r>
              <w:rPr>
                <w:sz w:val="17"/>
              </w:rPr>
            </w:r>
            <w:r>
              <w:rPr>
                <w:sz w:val="17"/>
              </w:rPr>
              <w:t>2</w:t>
            </w:r>
          </w:p>
        </w:tc>
        <w:tc>
          <w:tcPr>
            <w:tcW w:type="dxa" w:w="1080"/>
          </w:tcPr>
          <w:p>
            <w:r>
              <w:rPr>
                <w:sz w:val="17"/>
              </w:rPr>
            </w:r>
            <w:r>
              <w:rPr>
                <w:sz w:val="17"/>
              </w:rPr>
              <w:t>1</w:t>
            </w:r>
          </w:p>
        </w:tc>
        <w:tc>
          <w:tcPr>
            <w:tcW w:type="dxa" w:w="1080"/>
          </w:tcPr>
          <w:p>
            <w:r>
              <w:rPr>
                <w:sz w:val="17"/>
              </w:rPr>
            </w:r>
            <w:r>
              <w:rPr>
                <w:sz w:val="17"/>
              </w:rPr>
              <w:t>4/5</w:t>
            </w:r>
          </w:p>
        </w:tc>
        <w:tc>
          <w:tcPr>
            <w:tcW w:type="dxa" w:w="1080"/>
          </w:tcPr>
          <w:p>
            <w:r>
              <w:rPr>
                <w:sz w:val="17"/>
              </w:rPr>
            </w:r>
            <w:r>
              <w:rPr>
                <w:sz w:val="17"/>
              </w:rPr>
              <w:t>83%</w:t>
            </w:r>
          </w:p>
        </w:tc>
        <w:tc>
          <w:tcPr>
            <w:tcW w:type="dxa" w:w="1080"/>
          </w:tcPr>
          <w:p>
            <w:r>
              <w:rPr>
                <w:sz w:val="17"/>
              </w:rPr>
            </w:r>
            <w:r>
              <w:rPr>
                <w:sz w:val="17"/>
              </w:rPr>
              <w:t>0%</w:t>
            </w:r>
          </w:p>
        </w:tc>
        <w:tc>
          <w:tcPr>
            <w:tcW w:type="dxa" w:w="1080"/>
          </w:tcPr>
          <w:p>
            <w:r>
              <w:rPr>
                <w:sz w:val="17"/>
              </w:rPr>
            </w:r>
            <w:r>
              <w:rPr>
                <w:sz w:val="17"/>
              </w:rPr>
              <w:t>21.2 min</w:t>
            </w:r>
          </w:p>
        </w:tc>
      </w:tr>
      <w:tr>
        <w:tc>
          <w:tcPr>
            <w:tcW w:type="dxa" w:w="1080"/>
          </w:tcPr>
          <w:p>
            <w:r>
              <w:rPr>
                <w:sz w:val="17"/>
              </w:rPr>
            </w:r>
            <w:r>
              <w:rPr>
                <w:sz w:val="17"/>
              </w:rPr>
              <w:t>Performance sociale et économique</w:t>
            </w:r>
          </w:p>
        </w:tc>
        <w:tc>
          <w:tcPr>
            <w:tcW w:type="dxa" w:w="1080"/>
          </w:tcPr>
          <w:p>
            <w:r>
              <w:rPr>
                <w:sz w:val="17"/>
              </w:rPr>
            </w:r>
            <w:r>
              <w:rPr>
                <w:sz w:val="17"/>
              </w:rPr>
              <w:t>validée</w:t>
            </w:r>
          </w:p>
        </w:tc>
        <w:tc>
          <w:tcPr>
            <w:tcW w:type="dxa" w:w="1080"/>
          </w:tcPr>
          <w:p>
            <w:r>
              <w:rPr>
                <w:sz w:val="17"/>
              </w:rPr>
            </w:r>
            <w:r>
              <w:rPr>
                <w:sz w:val="17"/>
              </w:rPr>
              <w:t>1</w:t>
            </w:r>
          </w:p>
        </w:tc>
        <w:tc>
          <w:tcPr>
            <w:tcW w:type="dxa" w:w="1080"/>
          </w:tcPr>
          <w:p>
            <w:r>
              <w:rPr>
                <w:sz w:val="17"/>
              </w:rPr>
            </w:r>
            <w:r>
              <w:rPr>
                <w:sz w:val="17"/>
              </w:rPr>
              <w:t>0</w:t>
            </w:r>
          </w:p>
        </w:tc>
        <w:tc>
          <w:tcPr>
            <w:tcW w:type="dxa" w:w="1080"/>
          </w:tcPr>
          <w:p>
            <w:r>
              <w:rPr>
                <w:sz w:val="17"/>
              </w:rPr>
            </w:r>
            <w:r>
              <w:rPr>
                <w:sz w:val="17"/>
              </w:rPr>
              <w:t>4/5</w:t>
            </w:r>
          </w:p>
        </w:tc>
        <w:tc>
          <w:tcPr>
            <w:tcW w:type="dxa" w:w="1080"/>
          </w:tcPr>
          <w:p>
            <w:r>
              <w:rPr>
                <w:sz w:val="17"/>
              </w:rPr>
            </w:r>
            <w:r>
              <w:rPr>
                <w:sz w:val="17"/>
              </w:rPr>
              <w:t>83%</w:t>
            </w:r>
          </w:p>
        </w:tc>
        <w:tc>
          <w:tcPr>
            <w:tcW w:type="dxa" w:w="1080"/>
          </w:tcPr>
          <w:p>
            <w:r>
              <w:rPr>
                <w:sz w:val="17"/>
              </w:rPr>
            </w:r>
            <w:r>
              <w:rPr>
                <w:sz w:val="17"/>
              </w:rPr>
              <w:t>0%</w:t>
            </w:r>
          </w:p>
        </w:tc>
        <w:tc>
          <w:tcPr>
            <w:tcW w:type="dxa" w:w="1080"/>
          </w:tcPr>
          <w:p>
            <w:r>
              <w:rPr>
                <w:sz w:val="17"/>
              </w:rPr>
            </w:r>
            <w:r>
              <w:rPr>
                <w:sz w:val="17"/>
              </w:rPr>
              <w:t>12.9 min</w:t>
            </w:r>
          </w:p>
        </w:tc>
      </w:tr>
      <w:tr>
        <w:tc>
          <w:tcPr>
            <w:tcW w:type="dxa" w:w="1080"/>
          </w:tcPr>
          <w:p>
            <w:r>
              <w:rPr>
                <w:sz w:val="17"/>
              </w:rPr>
            </w:r>
            <w:r>
              <w:rPr>
                <w:sz w:val="17"/>
              </w:rPr>
              <w:t>Enseignement, recherche et engagement (hors GRI)</w:t>
            </w:r>
          </w:p>
        </w:tc>
        <w:tc>
          <w:tcPr>
            <w:tcW w:type="dxa" w:w="1080"/>
          </w:tcPr>
          <w:p>
            <w:r>
              <w:rPr>
                <w:sz w:val="17"/>
              </w:rPr>
            </w:r>
            <w:r>
              <w:rPr>
                <w:sz w:val="17"/>
              </w:rPr>
              <w:t>validée</w:t>
            </w:r>
          </w:p>
        </w:tc>
        <w:tc>
          <w:tcPr>
            <w:tcW w:type="dxa" w:w="1080"/>
          </w:tcPr>
          <w:p>
            <w:r>
              <w:rPr>
                <w:sz w:val="17"/>
              </w:rPr>
            </w:r>
            <w:r>
              <w:rPr>
                <w:sz w:val="17"/>
              </w:rPr>
              <w:t>2</w:t>
            </w:r>
          </w:p>
        </w:tc>
        <w:tc>
          <w:tcPr>
            <w:tcW w:type="dxa" w:w="1080"/>
          </w:tcPr>
          <w:p>
            <w:r>
              <w:rPr>
                <w:sz w:val="17"/>
              </w:rPr>
            </w:r>
            <w:r>
              <w:rPr>
                <w:sz w:val="17"/>
              </w:rPr>
              <w:t>1</w:t>
            </w:r>
          </w:p>
        </w:tc>
        <w:tc>
          <w:tcPr>
            <w:tcW w:type="dxa" w:w="1080"/>
          </w:tcPr>
          <w:p>
            <w:r>
              <w:rPr>
                <w:sz w:val="17"/>
              </w:rPr>
            </w:r>
            <w:r>
              <w:rPr>
                <w:sz w:val="17"/>
              </w:rPr>
              <w:t>4/5</w:t>
            </w:r>
          </w:p>
        </w:tc>
        <w:tc>
          <w:tcPr>
            <w:tcW w:type="dxa" w:w="1080"/>
          </w:tcPr>
          <w:p>
            <w:r>
              <w:rPr>
                <w:sz w:val="17"/>
              </w:rPr>
            </w:r>
            <w:r>
              <w:rPr>
                <w:sz w:val="17"/>
              </w:rPr>
              <w:t>83%</w:t>
            </w:r>
          </w:p>
        </w:tc>
        <w:tc>
          <w:tcPr>
            <w:tcW w:type="dxa" w:w="1080"/>
          </w:tcPr>
          <w:p>
            <w:r>
              <w:rPr>
                <w:sz w:val="17"/>
              </w:rPr>
            </w:r>
            <w:r>
              <w:rPr>
                <w:sz w:val="17"/>
              </w:rPr>
              <w:t>100%</w:t>
            </w:r>
          </w:p>
        </w:tc>
        <w:tc>
          <w:tcPr>
            <w:tcW w:type="dxa" w:w="1080"/>
          </w:tcPr>
          <w:p>
            <w:r>
              <w:rPr>
                <w:sz w:val="17"/>
              </w:rPr>
            </w:r>
            <w:r>
              <w:rPr>
                <w:sz w:val="17"/>
              </w:rPr>
              <w:t>15.6 min</w:t>
            </w:r>
          </w:p>
        </w:tc>
      </w:tr>
    </w:tbl>
    <w:p/>
    <w:p>
      <w:r>
        <w:rPr>
          <w:b/>
        </w:rPr>
        <w:t>Bilan :</w:t>
      </w:r>
      <w:r>
        <w:t xml:space="preserve"> 8 section(s) validée(s) sur 8 ; fidélité moyenne 94% ; 3 version(s) rejetée(s) par le garde-fou avant le juge. Aucun nombre du texte final n'a été écrit par le modèle.</w:t>
      </w:r>
    </w:p>
    <w:p>
      <w:r>
        <w:t>2 violation(s) signalée(s) par le juge ont été écartées car contredites par le contrôle déterministe (par exemple une « revendication de conformité GRI » absente du texte) : le juge 8B se trompe parfois, le code tranche sur ce qu'il sait vérifier.</w:t>
      </w:r>
    </w:p>
    <w:p>
      <w:r>
        <w:rPr>
          <w:b/>
        </w:rPr>
        <w:t>Relecture hors pipeline</w:t>
      </w:r>
      <w:r>
        <w:t xml:space="preserve"> (6 octobre 2026) : 35 correction(s) dans 8 section(s). Phrases supprimées ou reformulées à partir des textes STARS uniquement, sans chiffre tapé à la main. Les corrections ont été proposées par l'assistant Claude Code (IA) à la demande de Wiem Ben Hassine, chacune avec sa source STARS ; elles deviennent une relecture humaine une fois validées par elle. Liste détaillée : </w:t>
      </w:r>
      <w:r>
        <w:rPr>
          <w:rFonts w:ascii="Consolas" w:hAnsi="Consolas"/>
        </w:rPr>
        <w:t>relecture/berkeley.yaml</w:t>
      </w:r>
      <w:r>
        <w:t xml:space="preserve"> et </w:t>
      </w:r>
      <w:r>
        <w:rPr>
          <w:rFonts w:ascii="Consolas" w:hAnsi="Consolas"/>
        </w:rPr>
        <w:t>outputs/relecture_humaine.md</w:t>
      </w:r>
      <w:r>
        <w:t xml:space="preserve">. Le texte écrit par le modèle reste consultable dans </w:t>
      </w:r>
      <w:r>
        <w:rPr>
          <w:rFonts w:ascii="Consolas" w:hAnsi="Consolas"/>
        </w:rPr>
        <w:t>outputs/cache/</w:t>
      </w:r>
      <w:r>
        <w:t>.</w:t>
      </w:r>
    </w:p>
    <w:p>
      <w:pPr>
        <w:pStyle w:val="Heading1"/>
      </w:pPr>
      <w:r>
        <w:rPr>
          <w:color w:val="2F6F5E"/>
        </w:rPr>
        <w:t>Vérifier ce rapport</w:t>
      </w:r>
    </w:p>
    <w:p>
      <w:r>
        <w:t xml:space="preserve">Chaque chiffre de ce rapport est listé dans </w:t>
      </w:r>
      <w:r>
        <w:rPr>
          <w:rFonts w:ascii="Consolas" w:hAnsi="Consolas"/>
        </w:rPr>
        <w:t>provenance.csv</w:t>
      </w:r>
      <w:r>
        <w:t xml:space="preserve"> avec le crédit STARS, le champ et l'URL dont il provient. </w:t>
      </w:r>
      <w:r>
        <w:rPr>
          <w:rFonts w:ascii="Consolas" w:hAnsi="Consolas"/>
        </w:rPr>
        <w:t>pytest</w:t>
      </w:r>
      <w:r>
        <w:t xml:space="preserve"> recalcule ces chiffres à partir des fichiers bruts, indépendamment du code qui les a produits, et vérifie qu'aucun nombre des sections narratives n'est absent de la table des faits.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durabilité — University of California, Berkeley</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