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6F5E"/>
        </w:rPr>
        <w:t>Synthèse comparative — Berkeley, Cork et TU Dublin</w:t>
      </w:r>
    </w:p>
    <w:p>
      <w:r>
        <w:rPr>
          <w:i/>
        </w:rPr>
        <w:t>Généré le 2026-10-06 · données AASHE STARS 3.0 · mêmes règles que les rapports individuels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p>
        </w:tc>
        <w:tc>
          <w:tcPr>
            <w:tcW w:type="dxa" w:w="2160"/>
          </w:tcPr>
          <w:p>
            <w:r>
              <w:rPr>
                <w:b/>
                <w:sz w:val="17"/>
              </w:rPr>
            </w:r>
            <w:r>
              <w:rPr>
                <w:b/>
                <w:sz w:val="17"/>
              </w:rPr>
              <w:t>University of California, Berkeley</w:t>
            </w:r>
          </w:p>
        </w:tc>
        <w:tc>
          <w:tcPr>
            <w:tcW w:type="dxa" w:w="2160"/>
          </w:tcPr>
          <w:p>
            <w:r>
              <w:rPr>
                <w:b/>
                <w:sz w:val="17"/>
              </w:rPr>
            </w:r>
            <w:r>
              <w:rPr>
                <w:b/>
                <w:sz w:val="17"/>
              </w:rPr>
              <w:t>University College Cork</w:t>
            </w:r>
          </w:p>
        </w:tc>
        <w:tc>
          <w:tcPr>
            <w:tcW w:type="dxa" w:w="2160"/>
          </w:tcPr>
          <w:p>
            <w:r>
              <w:rPr>
                <w:b/>
                <w:sz w:val="17"/>
              </w:rPr>
            </w:r>
            <w:r>
              <w:rPr>
                <w:b/>
                <w:sz w:val="17"/>
              </w:rPr>
              <w:t>Technological University Dublin</w:t>
            </w:r>
          </w:p>
        </w:tc>
      </w:tr>
      <w:tr>
        <w:tc>
          <w:tcPr>
            <w:tcW w:type="dxa" w:w="2160"/>
          </w:tcPr>
          <w:p>
            <w:r>
              <w:rPr>
                <w:sz w:val="17"/>
              </w:rPr>
            </w:r>
            <w:r>
              <w:rPr>
                <w:sz w:val="17"/>
              </w:rPr>
              <w:t>Note STARS</w:t>
            </w:r>
          </w:p>
        </w:tc>
        <w:tc>
          <w:tcPr>
            <w:tcW w:type="dxa" w:w="2160"/>
          </w:tcPr>
          <w:p>
            <w:r>
              <w:rPr>
                <w:sz w:val="17"/>
              </w:rPr>
            </w:r>
            <w:r>
              <w:rPr>
                <w:sz w:val="17"/>
              </w:rPr>
              <w:t>Platinum</w:t>
            </w:r>
          </w:p>
        </w:tc>
        <w:tc>
          <w:tcPr>
            <w:tcW w:type="dxa" w:w="2160"/>
          </w:tcPr>
          <w:p>
            <w:r>
              <w:rPr>
                <w:sz w:val="17"/>
              </w:rPr>
            </w:r>
            <w:r>
              <w:rPr>
                <w:sz w:val="17"/>
              </w:rPr>
              <w:t>Platinum</w:t>
            </w:r>
          </w:p>
        </w:tc>
        <w:tc>
          <w:tcPr>
            <w:tcW w:type="dxa" w:w="2160"/>
          </w:tcPr>
          <w:p>
            <w:r>
              <w:rPr>
                <w:sz w:val="17"/>
              </w:rPr>
            </w:r>
            <w:r>
              <w:rPr>
                <w:sz w:val="17"/>
              </w:rPr>
              <w:t>Gold</w:t>
            </w:r>
          </w:p>
        </w:tc>
      </w:tr>
      <w:tr>
        <w:tc>
          <w:tcPr>
            <w:tcW w:type="dxa" w:w="2160"/>
          </w:tcPr>
          <w:p>
            <w:r>
              <w:rPr>
                <w:sz w:val="17"/>
              </w:rPr>
            </w:r>
            <w:r>
              <w:rPr>
                <w:sz w:val="17"/>
              </w:rPr>
              <w:t>Score global</w:t>
            </w:r>
          </w:p>
        </w:tc>
        <w:tc>
          <w:tcPr>
            <w:tcW w:type="dxa" w:w="2160"/>
          </w:tcPr>
          <w:p>
            <w:r>
              <w:rPr>
                <w:sz w:val="17"/>
              </w:rPr>
            </w:r>
            <w:r>
              <w:rPr>
                <w:sz w:val="17"/>
              </w:rPr>
              <w:t>86,76</w:t>
            </w:r>
          </w:p>
        </w:tc>
        <w:tc>
          <w:tcPr>
            <w:tcW w:type="dxa" w:w="2160"/>
          </w:tcPr>
          <w:p>
            <w:r>
              <w:rPr>
                <w:sz w:val="17"/>
              </w:rPr>
            </w:r>
            <w:r>
              <w:rPr>
                <w:sz w:val="17"/>
              </w:rPr>
              <w:t>85,99</w:t>
            </w:r>
          </w:p>
        </w:tc>
        <w:tc>
          <w:tcPr>
            <w:tcW w:type="dxa" w:w="2160"/>
          </w:tcPr>
          <w:p>
            <w:r>
              <w:rPr>
                <w:sz w:val="17"/>
              </w:rPr>
            </w:r>
            <w:r>
              <w:rPr>
                <w:sz w:val="17"/>
              </w:rPr>
              <w:t>83,35</w:t>
            </w:r>
          </w:p>
        </w:tc>
      </w:tr>
      <w:tr>
        <w:tc>
          <w:tcPr>
            <w:tcW w:type="dxa" w:w="2160"/>
          </w:tcPr>
          <w:p>
            <w:r>
              <w:rPr>
                <w:sz w:val="17"/>
              </w:rPr>
            </w:r>
            <w:r>
              <w:rPr>
                <w:sz w:val="17"/>
              </w:rPr>
              <w:t>Date de soumission</w:t>
            </w:r>
          </w:p>
        </w:tc>
        <w:tc>
          <w:tcPr>
            <w:tcW w:type="dxa" w:w="2160"/>
          </w:tcPr>
          <w:p>
            <w:r>
              <w:rPr>
                <w:sz w:val="17"/>
              </w:rPr>
            </w:r>
            <w:r>
              <w:rPr>
                <w:sz w:val="17"/>
              </w:rPr>
              <w:t>19 février 2025</w:t>
            </w:r>
          </w:p>
        </w:tc>
        <w:tc>
          <w:tcPr>
            <w:tcW w:type="dxa" w:w="2160"/>
          </w:tcPr>
          <w:p>
            <w:r>
              <w:rPr>
                <w:sz w:val="17"/>
              </w:rPr>
            </w:r>
            <w:r>
              <w:rPr>
                <w:sz w:val="17"/>
              </w:rPr>
              <w:t>5 mars 2026</w:t>
            </w:r>
          </w:p>
        </w:tc>
        <w:tc>
          <w:tcPr>
            <w:tcW w:type="dxa" w:w="2160"/>
          </w:tcPr>
          <w:p>
            <w:r>
              <w:rPr>
                <w:sz w:val="17"/>
              </w:rPr>
            </w:r>
            <w:r>
              <w:rPr>
                <w:sz w:val="17"/>
              </w:rPr>
              <w:t>2 décembre 2024</w:t>
            </w:r>
          </w:p>
        </w:tc>
      </w:tr>
      <w:tr>
        <w:tc>
          <w:tcPr>
            <w:tcW w:type="dxa" w:w="2160"/>
          </w:tcPr>
          <w:p>
            <w:r>
              <w:rPr>
                <w:sz w:val="17"/>
              </w:rPr>
            </w:r>
            <w:r>
              <w:rPr>
                <w:sz w:val="17"/>
              </w:rPr>
              <w:t>Environnement</w:t>
            </w:r>
          </w:p>
        </w:tc>
        <w:tc>
          <w:tcPr>
            <w:tcW w:type="dxa" w:w="2160"/>
          </w:tcPr>
          <w:p>
            <w:r>
              <w:rPr>
                <w:sz w:val="17"/>
              </w:rPr>
            </w:r>
            <w:r>
              <w:rPr>
                <w:sz w:val="17"/>
              </w:rPr>
              <w:t>70,5 %</w:t>
            </w:r>
          </w:p>
        </w:tc>
        <w:tc>
          <w:tcPr>
            <w:tcW w:type="dxa" w:w="2160"/>
          </w:tcPr>
          <w:p>
            <w:r>
              <w:rPr>
                <w:sz w:val="17"/>
              </w:rPr>
            </w:r>
            <w:r>
              <w:rPr>
                <w:sz w:val="17"/>
              </w:rPr>
              <w:t>63,0 %</w:t>
            </w:r>
          </w:p>
        </w:tc>
        <w:tc>
          <w:tcPr>
            <w:tcW w:type="dxa" w:w="2160"/>
          </w:tcPr>
          <w:p>
            <w:r>
              <w:rPr>
                <w:sz w:val="17"/>
              </w:rPr>
            </w:r>
            <w:r>
              <w:rPr>
                <w:sz w:val="17"/>
              </w:rPr>
              <w:t>59,7 %</w:t>
            </w:r>
          </w:p>
        </w:tc>
      </w:tr>
      <w:tr>
        <w:tc>
          <w:tcPr>
            <w:tcW w:type="dxa" w:w="2160"/>
          </w:tcPr>
          <w:p>
            <w:r>
              <w:rPr>
                <w:sz w:val="17"/>
              </w:rPr>
            </w:r>
            <w:r>
              <w:rPr>
                <w:sz w:val="17"/>
              </w:rPr>
              <w:t>Social</w:t>
            </w:r>
          </w:p>
        </w:tc>
        <w:tc>
          <w:tcPr>
            <w:tcW w:type="dxa" w:w="2160"/>
          </w:tcPr>
          <w:p>
            <w:r>
              <w:rPr>
                <w:sz w:val="17"/>
              </w:rPr>
            </w:r>
            <w:r>
              <w:rPr>
                <w:sz w:val="17"/>
              </w:rPr>
              <w:t>85,6 %</w:t>
            </w:r>
          </w:p>
        </w:tc>
        <w:tc>
          <w:tcPr>
            <w:tcW w:type="dxa" w:w="2160"/>
          </w:tcPr>
          <w:p>
            <w:r>
              <w:rPr>
                <w:sz w:val="17"/>
              </w:rPr>
            </w:r>
            <w:r>
              <w:rPr>
                <w:sz w:val="17"/>
              </w:rPr>
              <w:t>82,0 %</w:t>
            </w:r>
          </w:p>
        </w:tc>
        <w:tc>
          <w:tcPr>
            <w:tcW w:type="dxa" w:w="2160"/>
          </w:tcPr>
          <w:p>
            <w:r>
              <w:rPr>
                <w:sz w:val="17"/>
              </w:rPr>
            </w:r>
            <w:r>
              <w:rPr>
                <w:sz w:val="17"/>
              </w:rPr>
              <w:t>81,6 %</w:t>
            </w:r>
          </w:p>
        </w:tc>
      </w:tr>
      <w:tr>
        <w:tc>
          <w:tcPr>
            <w:tcW w:type="dxa" w:w="2160"/>
          </w:tcPr>
          <w:p>
            <w:r>
              <w:rPr>
                <w:sz w:val="17"/>
              </w:rPr>
            </w:r>
            <w:r>
              <w:rPr>
                <w:sz w:val="17"/>
              </w:rPr>
              <w:t>Gouvernance</w:t>
            </w:r>
          </w:p>
        </w:tc>
        <w:tc>
          <w:tcPr>
            <w:tcW w:type="dxa" w:w="2160"/>
          </w:tcPr>
          <w:p>
            <w:r>
              <w:rPr>
                <w:sz w:val="17"/>
              </w:rPr>
            </w:r>
            <w:r>
              <w:rPr>
                <w:sz w:val="17"/>
              </w:rPr>
              <w:t>81,0 %</w:t>
            </w:r>
          </w:p>
        </w:tc>
        <w:tc>
          <w:tcPr>
            <w:tcW w:type="dxa" w:w="2160"/>
          </w:tcPr>
          <w:p>
            <w:r>
              <w:rPr>
                <w:sz w:val="17"/>
              </w:rPr>
            </w:r>
            <w:r>
              <w:rPr>
                <w:sz w:val="17"/>
              </w:rPr>
              <w:t>88,5 %</w:t>
            </w:r>
          </w:p>
        </w:tc>
        <w:tc>
          <w:tcPr>
            <w:tcW w:type="dxa" w:w="2160"/>
          </w:tcPr>
          <w:p>
            <w:r>
              <w:rPr>
                <w:sz w:val="17"/>
              </w:rPr>
            </w:r>
            <w:r>
              <w:rPr>
                <w:sz w:val="17"/>
              </w:rPr>
              <w:t>97,0 %</w:t>
            </w:r>
          </w:p>
        </w:tc>
      </w:tr>
      <w:tr>
        <w:tc>
          <w:tcPr>
            <w:tcW w:type="dxa" w:w="2160"/>
          </w:tcPr>
          <w:p>
            <w:r>
              <w:rPr>
                <w:sz w:val="17"/>
              </w:rPr>
            </w:r>
            <w:r>
              <w:rPr>
                <w:sz w:val="17"/>
              </w:rPr>
              <w:t>Enseignement, recherche et engagement</w:t>
            </w:r>
          </w:p>
        </w:tc>
        <w:tc>
          <w:tcPr>
            <w:tcW w:type="dxa" w:w="2160"/>
          </w:tcPr>
          <w:p>
            <w:r>
              <w:rPr>
                <w:sz w:val="17"/>
              </w:rPr>
            </w:r>
            <w:r>
              <w:rPr>
                <w:sz w:val="17"/>
              </w:rPr>
              <w:t>91,4 %</w:t>
            </w:r>
          </w:p>
        </w:tc>
        <w:tc>
          <w:tcPr>
            <w:tcW w:type="dxa" w:w="2160"/>
          </w:tcPr>
          <w:p>
            <w:r>
              <w:rPr>
                <w:sz w:val="17"/>
              </w:rPr>
            </w:r>
            <w:r>
              <w:rPr>
                <w:sz w:val="17"/>
              </w:rPr>
              <w:t>94,5 %</w:t>
            </w:r>
          </w:p>
        </w:tc>
        <w:tc>
          <w:tcPr>
            <w:tcW w:type="dxa" w:w="2160"/>
          </w:tcPr>
          <w:p>
            <w:r>
              <w:rPr>
                <w:sz w:val="17"/>
              </w:rPr>
            </w:r>
            <w:r>
              <w:rPr>
                <w:sz w:val="17"/>
              </w:rPr>
              <w:t>91,0 %</w:t>
            </w:r>
          </w:p>
        </w:tc>
      </w:tr>
      <w:tr>
        <w:tc>
          <w:tcPr>
            <w:tcW w:type="dxa" w:w="2160"/>
          </w:tcPr>
          <w:p>
            <w:r>
              <w:rPr>
                <w:sz w:val="17"/>
              </w:rPr>
            </w:r>
            <w:r>
              <w:rPr>
                <w:sz w:val="17"/>
              </w:rPr>
              <w:t>Publications GRI — rapporté</w:t>
            </w:r>
          </w:p>
        </w:tc>
        <w:tc>
          <w:tcPr>
            <w:tcW w:type="dxa" w:w="2160"/>
          </w:tcPr>
          <w:p>
            <w:r>
              <w:rPr>
                <w:sz w:val="17"/>
              </w:rPr>
            </w:r>
            <w:r>
              <w:rPr>
                <w:sz w:val="17"/>
              </w:rPr>
              <w:t>0</w:t>
            </w:r>
          </w:p>
        </w:tc>
        <w:tc>
          <w:tcPr>
            <w:tcW w:type="dxa" w:w="2160"/>
          </w:tcPr>
          <w:p>
            <w:r>
              <w:rPr>
                <w:sz w:val="17"/>
              </w:rPr>
            </w:r>
            <w:r>
              <w:rPr>
                <w:sz w:val="17"/>
              </w:rPr>
              <w:t>0</w:t>
            </w:r>
          </w:p>
        </w:tc>
        <w:tc>
          <w:tcPr>
            <w:tcW w:type="dxa" w:w="2160"/>
          </w:tcPr>
          <w:p>
            <w:r>
              <w:rPr>
                <w:sz w:val="17"/>
              </w:rPr>
            </w:r>
            <w:r>
              <w:rPr>
                <w:sz w:val="17"/>
              </w:rPr>
              <w:t>0</w:t>
            </w:r>
          </w:p>
        </w:tc>
      </w:tr>
      <w:tr>
        <w:tc>
          <w:tcPr>
            <w:tcW w:type="dxa" w:w="2160"/>
          </w:tcPr>
          <w:p>
            <w:r>
              <w:rPr>
                <w:sz w:val="17"/>
              </w:rPr>
            </w:r>
            <w:r>
              <w:rPr>
                <w:sz w:val="17"/>
              </w:rPr>
              <w:t>Publications GRI — partiellement rapporté</w:t>
            </w:r>
          </w:p>
        </w:tc>
        <w:tc>
          <w:tcPr>
            <w:tcW w:type="dxa" w:w="2160"/>
          </w:tcPr>
          <w:p>
            <w:r>
              <w:rPr>
                <w:sz w:val="17"/>
              </w:rPr>
            </w:r>
            <w:r>
              <w:rPr>
                <w:sz w:val="17"/>
              </w:rPr>
              <w:t>29</w:t>
            </w:r>
          </w:p>
        </w:tc>
        <w:tc>
          <w:tcPr>
            <w:tcW w:type="dxa" w:w="2160"/>
          </w:tcPr>
          <w:p>
            <w:r>
              <w:rPr>
                <w:sz w:val="17"/>
              </w:rPr>
            </w:r>
            <w:r>
              <w:rPr>
                <w:sz w:val="17"/>
              </w:rPr>
              <w:t>28</w:t>
            </w:r>
          </w:p>
        </w:tc>
        <w:tc>
          <w:tcPr>
            <w:tcW w:type="dxa" w:w="2160"/>
          </w:tcPr>
          <w:p>
            <w:r>
              <w:rPr>
                <w:sz w:val="17"/>
              </w:rPr>
            </w:r>
            <w:r>
              <w:rPr>
                <w:sz w:val="17"/>
              </w:rPr>
              <w:t>17</w:t>
            </w:r>
          </w:p>
        </w:tc>
      </w:tr>
      <w:tr>
        <w:tc>
          <w:tcPr>
            <w:tcW w:type="dxa" w:w="2160"/>
          </w:tcPr>
          <w:p>
            <w:r>
              <w:rPr>
                <w:sz w:val="17"/>
              </w:rPr>
            </w:r>
            <w:r>
              <w:rPr>
                <w:sz w:val="17"/>
              </w:rPr>
              <w:t>Publications GRI — non rapporté</w:t>
            </w:r>
          </w:p>
        </w:tc>
        <w:tc>
          <w:tcPr>
            <w:tcW w:type="dxa" w:w="2160"/>
          </w:tcPr>
          <w:p>
            <w:r>
              <w:rPr>
                <w:sz w:val="17"/>
              </w:rPr>
            </w:r>
            <w:r>
              <w:rPr>
                <w:sz w:val="17"/>
              </w:rPr>
              <w:t>43</w:t>
            </w:r>
          </w:p>
        </w:tc>
        <w:tc>
          <w:tcPr>
            <w:tcW w:type="dxa" w:w="2160"/>
          </w:tcPr>
          <w:p>
            <w:r>
              <w:rPr>
                <w:sz w:val="17"/>
              </w:rPr>
            </w:r>
            <w:r>
              <w:rPr>
                <w:sz w:val="17"/>
              </w:rPr>
              <w:t>44</w:t>
            </w:r>
          </w:p>
        </w:tc>
        <w:tc>
          <w:tcPr>
            <w:tcW w:type="dxa" w:w="2160"/>
          </w:tcPr>
          <w:p>
            <w:r>
              <w:rPr>
                <w:sz w:val="17"/>
              </w:rPr>
            </w:r>
            <w:r>
              <w:rPr>
                <w:sz w:val="17"/>
              </w:rPr>
              <w:t>49</w:t>
            </w:r>
          </w:p>
        </w:tc>
      </w:tr>
      <w:tr>
        <w:tc>
          <w:tcPr>
            <w:tcW w:type="dxa" w:w="2160"/>
          </w:tcPr>
          <w:p>
            <w:r>
              <w:rPr>
                <w:sz w:val="17"/>
              </w:rPr>
            </w:r>
            <w:r>
              <w:rPr>
                <w:sz w:val="17"/>
              </w:rPr>
              <w:t>Publications GRI — non évalué</w:t>
            </w:r>
          </w:p>
        </w:tc>
        <w:tc>
          <w:tcPr>
            <w:tcW w:type="dxa" w:w="2160"/>
          </w:tcPr>
          <w:p>
            <w:r>
              <w:rPr>
                <w:sz w:val="17"/>
              </w:rPr>
            </w:r>
            <w:r>
              <w:rPr>
                <w:sz w:val="17"/>
              </w:rPr>
              <w:t>14</w:t>
            </w:r>
          </w:p>
        </w:tc>
        <w:tc>
          <w:tcPr>
            <w:tcW w:type="dxa" w:w="2160"/>
          </w:tcPr>
          <w:p>
            <w:r>
              <w:rPr>
                <w:sz w:val="17"/>
              </w:rPr>
            </w:r>
            <w:r>
              <w:rPr>
                <w:sz w:val="17"/>
              </w:rPr>
              <w:t>14</w:t>
            </w:r>
          </w:p>
        </w:tc>
        <w:tc>
          <w:tcPr>
            <w:tcW w:type="dxa" w:w="2160"/>
          </w:tcPr>
          <w:p>
            <w:r>
              <w:rPr>
                <w:sz w:val="17"/>
              </w:rPr>
            </w:r>
            <w:r>
              <w:rPr>
                <w:sz w:val="17"/>
              </w:rPr>
              <w:t>20</w:t>
            </w:r>
          </w:p>
        </w:tc>
      </w:tr>
    </w:tbl>
    <w:p/>
    <w:p>
      <w:pPr>
        <w:pStyle w:val="Heading1"/>
      </w:pPr>
      <w:r>
        <w:rPr>
          <w:color w:val="2F6F5E"/>
        </w:rPr>
        <w:t>Analyse</w:t>
      </w:r>
    </w:p>
    <w:p>
      <w:pPr>
        <w:pStyle w:val="Heading2"/>
      </w:pPr>
      <w:r>
        <w:rPr>
          <w:color w:val="2F6F5E"/>
        </w:rPr>
        <w:t>Comparaison des établissements</w:t>
      </w:r>
    </w:p>
    <w:p>
      <w:r>
        <w:t>Cependant, il est important de noter que les différences entre les établissements peuvent être influencées par des facteurs tels que le périmètre de reporting, les dates de soumission et les caractéristiques propres à chaque établissement.</w:t>
      </w:r>
    </w:p>
    <w:p>
      <w:r>
        <w:t>En effet, University College Cork exclut ses filiales de son périmètre de reporting, ce qui peut affecter la comparaison avec les autres établissements. De plus, les scores STARS sont autodéclarés et notés par rapport à un groupe de pairs, ce qui signifie qu'ils ne sont pas vérifiés par l'AASHE. Enfin, Technological University Dublin n'a pas de fonds de dotation, ce qui change la base de son pilier Gouvernance.</w:t>
      </w:r>
    </w:p>
    <w:p>
      <w:r>
        <w:t>Il est donc difficile de conclure à des différences de performance entre les établissements sans tenir compte de ces facteurs. Il est important de considérer les limites de la comparaison et de ne pas présenter les écarts comme des différences de performance purement.</w:t>
      </w:r>
    </w:p>
    <w:p>
      <w:pPr>
        <w:pStyle w:val="Heading2"/>
      </w:pPr>
      <w:r>
        <w:rPr>
          <w:color w:val="2F6F5E"/>
        </w:rPr>
        <w:t>Limites et omissions</w:t>
      </w:r>
    </w:p>
    <w:p>
      <w:r>
        <w:t>Ce rapport ne peut pas établir de comparaison directe entre les établissements en raison des différences de périmètre de reporting, de dates de soumission et de caractéristiques propres à chaque établissement. Il est donc important de considérer ces facteurs lors de la comparaison des performances des établissements.</w:t>
      </w:r>
    </w:p>
    <w:p>
      <w:pPr>
        <w:pStyle w:val="Heading1"/>
      </w:pPr>
      <w:r>
        <w:rPr>
          <w:color w:val="2F6F5E"/>
        </w:rPr>
        <w:t>Validation</w:t>
      </w:r>
    </w:p>
    <w:p>
      <w:r>
        <w:t>Chaque section narrative a suivi la boucle : rédaction (placeholders) → garde-fou des chiffres → substitution par le code → audit par le juge → régénération si refus (trois tentatives au plus).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Section</w:t>
            </w:r>
          </w:p>
        </w:tc>
        <w:tc>
          <w:tcPr>
            <w:tcW w:type="dxa" w:w="1080"/>
          </w:tcPr>
          <w:p>
            <w:r>
              <w:rPr>
                <w:b/>
                <w:sz w:val="17"/>
              </w:rPr>
            </w:r>
            <w:r>
              <w:rPr>
                <w:b/>
                <w:sz w:val="17"/>
              </w:rPr>
              <w:t>Décision</w:t>
            </w:r>
          </w:p>
        </w:tc>
        <w:tc>
          <w:tcPr>
            <w:tcW w:type="dxa" w:w="1080"/>
          </w:tcPr>
          <w:p>
            <w:r>
              <w:rPr>
                <w:b/>
                <w:sz w:val="17"/>
              </w:rPr>
            </w:r>
            <w:r>
              <w:rPr>
                <w:b/>
                <w:sz w:val="17"/>
              </w:rPr>
              <w:t>Tentatives</w:t>
            </w:r>
          </w:p>
        </w:tc>
        <w:tc>
          <w:tcPr>
            <w:tcW w:type="dxa" w:w="1080"/>
          </w:tcPr>
          <w:p>
            <w:r>
              <w:rPr>
                <w:b/>
                <w:sz w:val="17"/>
              </w:rPr>
            </w:r>
            <w:r>
              <w:rPr>
                <w:b/>
                <w:sz w:val="17"/>
              </w:rPr>
              <w:t>Rejets garde-fou</w:t>
            </w:r>
          </w:p>
        </w:tc>
        <w:tc>
          <w:tcPr>
            <w:tcW w:type="dxa" w:w="1080"/>
          </w:tcPr>
          <w:p>
            <w:r>
              <w:rPr>
                <w:b/>
                <w:sz w:val="17"/>
              </w:rPr>
            </w:r>
            <w:r>
              <w:rPr>
                <w:b/>
                <w:sz w:val="17"/>
              </w:rPr>
              <w:t>Note du juge</w:t>
            </w:r>
          </w:p>
        </w:tc>
        <w:tc>
          <w:tcPr>
            <w:tcW w:type="dxa" w:w="1080"/>
          </w:tcPr>
          <w:p>
            <w:r>
              <w:rPr>
                <w:b/>
                <w:sz w:val="17"/>
              </w:rPr>
            </w:r>
            <w:r>
              <w:rPr>
                <w:b/>
                <w:sz w:val="17"/>
              </w:rPr>
              <w:t>Fidélité</w:t>
            </w:r>
          </w:p>
        </w:tc>
        <w:tc>
          <w:tcPr>
            <w:tcW w:type="dxa" w:w="1080"/>
          </w:tcPr>
          <w:p>
            <w:r>
              <w:rPr>
                <w:b/>
                <w:sz w:val="17"/>
              </w:rPr>
            </w:r>
            <w:r>
              <w:rPr>
                <w:b/>
                <w:sz w:val="17"/>
              </w:rPr>
              <w:t>Couverture GRI</w:t>
            </w:r>
          </w:p>
        </w:tc>
        <w:tc>
          <w:tcPr>
            <w:tcW w:type="dxa" w:w="1080"/>
          </w:tcPr>
          <w:p>
            <w:r>
              <w:rPr>
                <w:b/>
                <w:sz w:val="17"/>
              </w:rPr>
            </w:r>
            <w:r>
              <w:rPr>
                <w:b/>
                <w:sz w:val="17"/>
              </w:rPr>
              <w:t>Durée</w:t>
            </w:r>
          </w:p>
        </w:tc>
      </w:tr>
      <w:tr>
        <w:tc>
          <w:tcPr>
            <w:tcW w:type="dxa" w:w="1080"/>
          </w:tcPr>
          <w:p>
            <w:r>
              <w:rPr>
                <w:sz w:val="17"/>
              </w:rPr>
            </w:r>
            <w:r>
              <w:rPr>
                <w:sz w:val="17"/>
              </w:rPr>
              <w:t>Synthèse comparative</w:t>
            </w:r>
          </w:p>
        </w:tc>
        <w:tc>
          <w:tcPr>
            <w:tcW w:type="dxa" w:w="1080"/>
          </w:tcPr>
          <w:p>
            <w:r>
              <w:rPr>
                <w:sz w:val="17"/>
              </w:rPr>
            </w:r>
            <w:r>
              <w:rPr>
                <w:sz w:val="17"/>
              </w:rPr>
              <w:t>validée</w:t>
            </w:r>
          </w:p>
        </w:tc>
        <w:tc>
          <w:tcPr>
            <w:tcW w:type="dxa" w:w="1080"/>
          </w:tcPr>
          <w:p>
            <w:r>
              <w:rPr>
                <w:sz w:val="17"/>
              </w:rPr>
            </w:r>
            <w:r>
              <w:rPr>
                <w:sz w:val="17"/>
              </w:rPr>
              <w:t>1</w:t>
            </w:r>
          </w:p>
        </w:tc>
        <w:tc>
          <w:tcPr>
            <w:tcW w:type="dxa" w:w="1080"/>
          </w:tcPr>
          <w:p>
            <w:r>
              <w:rPr>
                <w:sz w:val="17"/>
              </w:rPr>
            </w:r>
            <w:r>
              <w:rPr>
                <w:sz w:val="17"/>
              </w:rPr>
              <w:t>0</w:t>
            </w:r>
          </w:p>
        </w:tc>
        <w:tc>
          <w:tcPr>
            <w:tcW w:type="dxa" w:w="1080"/>
          </w:tcPr>
          <w:p>
            <w:r>
              <w:rPr>
                <w:sz w:val="17"/>
              </w:rPr>
            </w:r>
            <w:r>
              <w:rPr>
                <w:sz w:val="17"/>
              </w:rPr>
              <w:t>4/5</w:t>
            </w:r>
          </w:p>
        </w:tc>
        <w:tc>
          <w:tcPr>
            <w:tcW w:type="dxa" w:w="1080"/>
          </w:tcPr>
          <w:p>
            <w:r>
              <w:rPr>
                <w:sz w:val="17"/>
              </w:rPr>
            </w:r>
            <w:r>
              <w:rPr>
                <w:sz w:val="17"/>
              </w:rPr>
              <w:t>100%</w:t>
            </w:r>
          </w:p>
        </w:tc>
        <w:tc>
          <w:tcPr>
            <w:tcW w:type="dxa" w:w="1080"/>
          </w:tcPr>
          <w:p>
            <w:r>
              <w:rPr>
                <w:sz w:val="17"/>
              </w:rPr>
            </w:r>
            <w:r>
              <w:rPr>
                <w:sz w:val="17"/>
              </w:rPr>
              <w:t>100%</w:t>
            </w:r>
          </w:p>
        </w:tc>
        <w:tc>
          <w:tcPr>
            <w:tcW w:type="dxa" w:w="1080"/>
          </w:tcPr>
          <w:p>
            <w:r>
              <w:rPr>
                <w:sz w:val="17"/>
              </w:rPr>
            </w:r>
            <w:r>
              <w:rPr>
                <w:sz w:val="17"/>
              </w:rPr>
              <w:t>6.9 min</w:t>
            </w:r>
          </w:p>
        </w:tc>
      </w:tr>
    </w:tbl>
    <w:p/>
    <w:p>
      <w:r>
        <w:rPr>
          <w:b/>
        </w:rPr>
        <w:t>Bilan :</w:t>
      </w:r>
      <w:r>
        <w:t xml:space="preserve"> 1 section(s) validée(s) sur 1 ; fidélité moyenne 100% ; 0 version(s) rejetée(s) par le garde-fou avant le juge. Aucun nombre du texte final n'a été écrit par le modèle.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Synthèse comparative ESG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