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F6F5E"/>
        </w:rPr>
        <w:t>Rapport de durabilité — Technological University Dublin</w:t>
      </w:r>
    </w:p>
    <w:p>
      <w:r>
        <w:rPr>
          <w:i/>
        </w:rPr>
        <w:t>Établi en référence aux normes GRI · généré le 2026-10-06 · données AASHE STARS 3.0</w:t>
      </w:r>
    </w:p>
    <w:p>
      <w:r>
        <w:rPr>
          <w:b/>
        </w:rPr>
        <w:t>À propos de ce rapport.</w:t>
      </w:r>
      <w:r>
        <w:t xml:space="preserve"> Ce rapport est généré automatiquement à partir de la soumission publique AASHE STARS 3.0 de Technological University Dublin (2 décembre 2024), mise en correspondance avec les normes GRI. Il examine les 86 publications GRI de 14 normes (dont GRI 101: Biodiversité 2024). Lorsqu'une publication ne peut pas être renseignée à partir des données STARS, il le dit et explique pourquoi, au lieu d'omettre la question.</w:t>
      </w:r>
    </w:p>
    <w:p>
      <w:r>
        <w:rPr>
          <w:b/>
        </w:rPr>
        <w:t>D'où viennent les chiffres, et pourquoi s'y fier.</w:t>
      </w:r>
      <w:r>
        <w:t xml:space="preserve"> Le modèle de langage qui rédige le texte (llama3.1:8b, exécuté localement avec Ollama) n'a jamais vu un chiffre : les nombres de son contexte sont masqués, et il écrit des marqueurs nommés que le code remplace ensuite par les valeurs de la table des faits. Un garde-fou déterministe rejette toute section où le modèle a écrit lui-même un nombre, puis chaque nombre du texte final est contrôlé contre cette table. Le modèle choisit les phrases ; il ne choisit pas les chiffres.</w:t>
      </w:r>
    </w:p>
    <w:p>
      <w:r>
        <w:rPr>
          <w:b/>
        </w:rPr>
        <w:t>Validation automatique.</w:t>
      </w:r>
      <w:r>
        <w:t xml:space="preserve"> Chaque section est ensuite auditée par le modèle configuré en juge : il découpe le texte en affirmations, vérifie chacune contre les sources, contrôle les règles de reporting et note la section. Une section refusée est régénérée avec les corrections demandées. Le détail figure en annexe « Validation du rapport ».</w:t>
      </w:r>
    </w:p>
    <w:p>
      <w:r>
        <w:rPr>
          <w:b/>
        </w:rPr>
        <w:t>Ce que la garantie ne couvre pas.</w:t>
      </w:r>
      <w:r>
        <w:t xml:space="preserve"> Elle porte sur les chiffres. Les énoncés qualitatifs proviennent des réponses narratives de l'établissement ; le juge les contrôle, mais un juge automatique peut se tromper. Les sections marquées « à relire » demandent une validation humaine.</w:t>
      </w:r>
    </w:p>
    <w:p>
      <w:r>
        <w:rPr>
          <w:b/>
        </w:rPr>
        <w:t>« En référence aux » normes GRI, et non « conformément à ».</w:t>
      </w:r>
      <w:r>
        <w:t xml:space="preserve"> GRI réserve la mention « conformément » aux rapports qui répondent à toutes les publications générales et à toutes celles de chaque thème matériel. Ce rapport ne le fait pas : il revendique donc la mention plus faible, qui est la mention exacte.</w:t>
      </w:r>
    </w:p>
    <w:p>
      <w:r>
        <w:rPr>
          <w:b/>
        </w:rPr>
        <w:t>Portée des données.</w:t>
      </w:r>
      <w:r>
        <w:t xml:space="preserve"> Cette version s'appuie sur les scores publics par crédit et sur les réponses narratives de l'établissement. Les valeurs détaillées des champs STARS (énergie, émissions, eau, déchets, effectifs…) exigent un accès authentifié AASHE et n'ont pas encore été extraites : les publications qui en dépendent sont marquées « Non évalué » plutôt que d'être devinées.</w:t>
      </w:r>
    </w:p>
    <w:p>
      <w:r>
        <w:rPr>
          <w:b/>
        </w:rPr>
        <w:t>Source et attribution.</w:t>
      </w:r>
      <w:r>
        <w:t xml:space="preserve"> </w:t>
      </w:r>
      <w:r>
        <w:t>Technological University Dublin STARS Report (https://reports.aashe.org/institutions/technological-university-dublin-dublin/report/2024-12-02/)</w:t>
      </w:r>
      <w:r>
        <w:t>, AASHE, note « Gold ». Les données STARS sont accessibles publiquement et utilisées ici avec attribution à l'AASHE ; elles ne sont pas sous licence ouverte et sont autodéclarées par l'établissement. Extraction initiale des données : Hakim Chaanbi (</w:t>
      </w:r>
      <w:r>
        <w:t>hakimchaanbi/esg-reporting (https://github.com/hakimchaanbi/esg-reporting)</w:t>
      </w:r>
      <w:r>
        <w:t>).</w:t>
      </w:r>
    </w:p>
    <w:p>
      <w:pPr>
        <w:pStyle w:val="Heading1"/>
      </w:pPr>
      <w:r>
        <w:rPr>
          <w:color w:val="2F6F5E"/>
        </w:rPr>
        <w:t>Synthèse des résultats STARS</w:t>
      </w:r>
    </w:p>
    <w:p>
      <w:r>
        <w:t xml:space="preserve">Note STARS : </w:t>
      </w:r>
      <w:r>
        <w:rPr>
          <w:b/>
        </w:rPr>
        <w:t>Gold</w:t>
      </w:r>
      <w:r>
        <w:t xml:space="preserve"> — score global </w:t>
      </w:r>
      <w:r>
        <w:rPr>
          <w:b/>
        </w:rPr>
        <w:t>83,35</w:t>
      </w:r>
      <w:r>
        <w:t xml:space="preserve"> sur 100. Les scores STARS 3.0 sont autodéclarés et notés par rapport à un groupe de pairs ; les piliers ci-dessous regroupent les crédits notés (regroupement du projet, pas une désignation STARS ; crédits bonus IL exclus).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Pilier</w:t>
            </w:r>
          </w:p>
        </w:tc>
        <w:tc>
          <w:tcPr>
            <w:tcW w:type="dxa" w:w="1728"/>
          </w:tcPr>
          <w:p>
            <w:r>
              <w:rPr>
                <w:b/>
                <w:sz w:val="17"/>
              </w:rPr>
            </w:r>
            <w:r>
              <w:rPr>
                <w:b/>
                <w:sz w:val="17"/>
              </w:rPr>
              <w:t>Points obtenus</w:t>
            </w:r>
          </w:p>
        </w:tc>
        <w:tc>
          <w:tcPr>
            <w:tcW w:type="dxa" w:w="1728"/>
          </w:tcPr>
          <w:p>
            <w:r>
              <w:rPr>
                <w:b/>
                <w:sz w:val="17"/>
              </w:rPr>
            </w:r>
            <w:r>
              <w:rPr>
                <w:b/>
                <w:sz w:val="17"/>
              </w:rPr>
              <w:t>Points possibles</w:t>
            </w:r>
          </w:p>
        </w:tc>
        <w:tc>
          <w:tcPr>
            <w:tcW w:type="dxa" w:w="1728"/>
          </w:tcPr>
          <w:p>
            <w:r>
              <w:rPr>
                <w:b/>
                <w:sz w:val="17"/>
              </w:rPr>
            </w:r>
            <w:r>
              <w:rPr>
                <w:b/>
                <w:sz w:val="17"/>
              </w:rPr>
              <w:t>Part obtenue</w:t>
            </w:r>
          </w:p>
        </w:tc>
        <w:tc>
          <w:tcPr>
            <w:tcW w:type="dxa" w:w="1728"/>
          </w:tcPr>
          <w:p>
            <w:r>
              <w:rPr>
                <w:b/>
                <w:sz w:val="17"/>
              </w:rPr>
            </w:r>
            <w:r>
              <w:rPr>
                <w:b/>
                <w:sz w:val="17"/>
              </w:rPr>
              <w:t>Niveau</w:t>
            </w:r>
          </w:p>
        </w:tc>
      </w:tr>
      <w:tr>
        <w:tc>
          <w:tcPr>
            <w:tcW w:type="dxa" w:w="1728"/>
          </w:tcPr>
          <w:p>
            <w:r>
              <w:rPr>
                <w:sz w:val="17"/>
              </w:rPr>
            </w:r>
            <w:r>
              <w:rPr>
                <w:sz w:val="17"/>
              </w:rPr>
              <w:t>Environnement</w:t>
            </w:r>
          </w:p>
        </w:tc>
        <w:tc>
          <w:tcPr>
            <w:tcW w:type="dxa" w:w="1728"/>
          </w:tcPr>
          <w:p>
            <w:r>
              <w:rPr>
                <w:sz w:val="17"/>
              </w:rPr>
            </w:r>
            <w:r>
              <w:rPr>
                <w:sz w:val="17"/>
              </w:rPr>
              <w:t>50,77</w:t>
            </w:r>
          </w:p>
        </w:tc>
        <w:tc>
          <w:tcPr>
            <w:tcW w:type="dxa" w:w="1728"/>
          </w:tcPr>
          <w:p>
            <w:r>
              <w:rPr>
                <w:sz w:val="17"/>
              </w:rPr>
            </w:r>
            <w:r>
              <w:rPr>
                <w:sz w:val="17"/>
              </w:rPr>
              <w:t>85</w:t>
            </w:r>
          </w:p>
        </w:tc>
        <w:tc>
          <w:tcPr>
            <w:tcW w:type="dxa" w:w="1728"/>
          </w:tcPr>
          <w:p>
            <w:r>
              <w:rPr>
                <w:sz w:val="17"/>
              </w:rPr>
            </w:r>
            <w:r>
              <w:rPr>
                <w:sz w:val="17"/>
              </w:rPr>
              <w:t>59,7 %</w:t>
            </w:r>
          </w:p>
        </w:tc>
        <w:tc>
          <w:tcPr>
            <w:tcW w:type="dxa" w:w="1728"/>
          </w:tcPr>
          <w:p>
            <w:r>
              <w:rPr>
                <w:sz w:val="17"/>
              </w:rPr>
            </w:r>
            <w:r>
              <w:rPr>
                <w:sz w:val="17"/>
              </w:rPr>
              <w:t>intermédiaire</w:t>
            </w:r>
          </w:p>
        </w:tc>
      </w:tr>
      <w:tr>
        <w:tc>
          <w:tcPr>
            <w:tcW w:type="dxa" w:w="1728"/>
          </w:tcPr>
          <w:p>
            <w:r>
              <w:rPr>
                <w:sz w:val="17"/>
              </w:rPr>
            </w:r>
            <w:r>
              <w:rPr>
                <w:sz w:val="17"/>
              </w:rPr>
              <w:t>Social</w:t>
            </w:r>
          </w:p>
        </w:tc>
        <w:tc>
          <w:tcPr>
            <w:tcW w:type="dxa" w:w="1728"/>
          </w:tcPr>
          <w:p>
            <w:r>
              <w:rPr>
                <w:sz w:val="17"/>
              </w:rPr>
            </w:r>
            <w:r>
              <w:rPr>
                <w:sz w:val="17"/>
              </w:rPr>
              <w:t>20,40</w:t>
            </w:r>
          </w:p>
        </w:tc>
        <w:tc>
          <w:tcPr>
            <w:tcW w:type="dxa" w:w="1728"/>
          </w:tcPr>
          <w:p>
            <w:r>
              <w:rPr>
                <w:sz w:val="17"/>
              </w:rPr>
            </w:r>
            <w:r>
              <w:rPr>
                <w:sz w:val="17"/>
              </w:rPr>
              <w:t>25</w:t>
            </w:r>
          </w:p>
        </w:tc>
        <w:tc>
          <w:tcPr>
            <w:tcW w:type="dxa" w:w="1728"/>
          </w:tcPr>
          <w:p>
            <w:r>
              <w:rPr>
                <w:sz w:val="17"/>
              </w:rPr>
            </w:r>
            <w:r>
              <w:rPr>
                <w:sz w:val="17"/>
              </w:rPr>
              <w:t>81,6 %</w:t>
            </w:r>
          </w:p>
        </w:tc>
        <w:tc>
          <w:tcPr>
            <w:tcW w:type="dxa" w:w="1728"/>
          </w:tcPr>
          <w:p>
            <w:r>
              <w:rPr>
                <w:sz w:val="17"/>
              </w:rPr>
            </w:r>
            <w:r>
              <w:rPr>
                <w:sz w:val="17"/>
              </w:rPr>
              <w:t>élevé</w:t>
            </w:r>
          </w:p>
        </w:tc>
      </w:tr>
      <w:tr>
        <w:tc>
          <w:tcPr>
            <w:tcW w:type="dxa" w:w="1728"/>
          </w:tcPr>
          <w:p>
            <w:r>
              <w:rPr>
                <w:sz w:val="17"/>
              </w:rPr>
            </w:r>
            <w:r>
              <w:rPr>
                <w:sz w:val="17"/>
              </w:rPr>
              <w:t>Gouvernance</w:t>
            </w:r>
          </w:p>
        </w:tc>
        <w:tc>
          <w:tcPr>
            <w:tcW w:type="dxa" w:w="1728"/>
          </w:tcPr>
          <w:p>
            <w:r>
              <w:rPr>
                <w:sz w:val="17"/>
              </w:rPr>
            </w:r>
            <w:r>
              <w:rPr>
                <w:sz w:val="17"/>
              </w:rPr>
              <w:t>10,67</w:t>
            </w:r>
          </w:p>
        </w:tc>
        <w:tc>
          <w:tcPr>
            <w:tcW w:type="dxa" w:w="1728"/>
          </w:tcPr>
          <w:p>
            <w:r>
              <w:rPr>
                <w:sz w:val="17"/>
              </w:rPr>
            </w:r>
            <w:r>
              <w:rPr>
                <w:sz w:val="17"/>
              </w:rPr>
              <w:t>11</w:t>
            </w:r>
          </w:p>
        </w:tc>
        <w:tc>
          <w:tcPr>
            <w:tcW w:type="dxa" w:w="1728"/>
          </w:tcPr>
          <w:p>
            <w:r>
              <w:rPr>
                <w:sz w:val="17"/>
              </w:rPr>
            </w:r>
            <w:r>
              <w:rPr>
                <w:sz w:val="17"/>
              </w:rPr>
              <w:t>97,0 %</w:t>
            </w:r>
          </w:p>
        </w:tc>
        <w:tc>
          <w:tcPr>
            <w:tcW w:type="dxa" w:w="1728"/>
          </w:tcPr>
          <w:p>
            <w:r>
              <w:rPr>
                <w:sz w:val="17"/>
              </w:rPr>
            </w:r>
            <w:r>
              <w:rPr>
                <w:sz w:val="17"/>
              </w:rPr>
              <w:t>élevé</w:t>
            </w:r>
          </w:p>
        </w:tc>
      </w:tr>
      <w:tr>
        <w:tc>
          <w:tcPr>
            <w:tcW w:type="dxa" w:w="1728"/>
          </w:tcPr>
          <w:p>
            <w:r>
              <w:rPr>
                <w:sz w:val="17"/>
              </w:rPr>
            </w:r>
            <w:r>
              <w:rPr>
                <w:sz w:val="17"/>
              </w:rPr>
              <w:t>Enseignement, recherche et engagement</w:t>
            </w:r>
          </w:p>
        </w:tc>
        <w:tc>
          <w:tcPr>
            <w:tcW w:type="dxa" w:w="1728"/>
          </w:tcPr>
          <w:p>
            <w:r>
              <w:rPr>
                <w:sz w:val="17"/>
              </w:rPr>
            </w:r>
            <w:r>
              <w:rPr>
                <w:sz w:val="17"/>
              </w:rPr>
              <w:t>107,36</w:t>
            </w:r>
          </w:p>
        </w:tc>
        <w:tc>
          <w:tcPr>
            <w:tcW w:type="dxa" w:w="1728"/>
          </w:tcPr>
          <w:p>
            <w:r>
              <w:rPr>
                <w:sz w:val="17"/>
              </w:rPr>
            </w:r>
            <w:r>
              <w:rPr>
                <w:sz w:val="17"/>
              </w:rPr>
              <w:t>118</w:t>
            </w:r>
          </w:p>
        </w:tc>
        <w:tc>
          <w:tcPr>
            <w:tcW w:type="dxa" w:w="1728"/>
          </w:tcPr>
          <w:p>
            <w:r>
              <w:rPr>
                <w:sz w:val="17"/>
              </w:rPr>
            </w:r>
            <w:r>
              <w:rPr>
                <w:sz w:val="17"/>
              </w:rPr>
              <w:t>91,0 %</w:t>
            </w:r>
          </w:p>
        </w:tc>
        <w:tc>
          <w:tcPr>
            <w:tcW w:type="dxa" w:w="1728"/>
          </w:tcPr>
          <w:p>
            <w:r>
              <w:rPr>
                <w:sz w:val="17"/>
              </w:rPr>
            </w:r>
            <w:r>
              <w:rPr>
                <w:sz w:val="17"/>
              </w:rPr>
              <w:t>élevé</w:t>
            </w:r>
          </w:p>
        </w:tc>
      </w:tr>
    </w:tbl>
    <w:p/>
    <w:p>
      <w:pPr>
        <w:pStyle w:val="Heading1"/>
      </w:pPr>
      <w:r>
        <w:rPr>
          <w:color w:val="2F6F5E"/>
        </w:rPr>
        <w:t>L'organisation, son périmètre et ses effectifs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Crédit STARS</w:t>
            </w:r>
          </w:p>
        </w:tc>
        <w:tc>
          <w:tcPr>
            <w:tcW w:type="dxa" w:w="2880"/>
          </w:tcPr>
          <w:p>
            <w:r>
              <w:rPr>
                <w:b/>
                <w:sz w:val="17"/>
              </w:rPr>
            </w:r>
            <w:r>
              <w:rPr>
                <w:b/>
                <w:sz w:val="17"/>
              </w:rPr>
              <w:t>Points obtenus</w:t>
            </w:r>
          </w:p>
        </w:tc>
        <w:tc>
          <w:tcPr>
            <w:tcW w:type="dxa" w:w="2880"/>
          </w:tcPr>
          <w:p>
            <w:r>
              <w:rPr>
                <w:b/>
                <w:sz w:val="17"/>
              </w:rPr>
            </w:r>
            <w:r>
              <w:rPr>
                <w:b/>
                <w:sz w:val="17"/>
              </w:rPr>
              <w:t>Niveau</w:t>
            </w:r>
          </w:p>
        </w:tc>
      </w:tr>
      <w:tr>
        <w:tc>
          <w:tcPr>
            <w:tcW w:type="dxa" w:w="2880"/>
          </w:tcPr>
          <w:p>
            <w:r>
              <w:rPr>
                <w:sz w:val="17"/>
              </w:rPr>
            </w:r>
            <w:r>
              <w:rPr>
                <w:sz w:val="17"/>
              </w:rPr>
              <w:t>PA-12 — Employee Rights</w:t>
            </w:r>
          </w:p>
        </w:tc>
        <w:tc>
          <w:tcPr>
            <w:tcW w:type="dxa" w:w="2880"/>
          </w:tcPr>
          <w:p>
            <w:r>
              <w:rPr>
                <w:sz w:val="17"/>
              </w:rPr>
            </w:r>
            <w:r>
              <w:rPr>
                <w:sz w:val="17"/>
              </w:rPr>
              <w:t>3 / 3</w:t>
            </w:r>
          </w:p>
        </w:tc>
        <w:tc>
          <w:tcPr>
            <w:tcW w:type="dxa" w:w="2880"/>
          </w:tcPr>
          <w:p>
            <w:r>
              <w:rPr>
                <w:sz w:val="17"/>
              </w:rPr>
            </w:r>
            <w:r>
              <w:rPr>
                <w:sz w:val="17"/>
              </w:rPr>
              <w:t>maximal (tous les points obtenus)</w:t>
            </w:r>
          </w:p>
        </w:tc>
      </w:tr>
    </w:tbl>
    <w:p/>
    <w:p>
      <w:r>
        <w:rPr>
          <w:i/>
        </w:rPr>
        <w:t>Valeurs insérées par le code depuis la table des faits ; le texte ci-dessous est rédigé par le modèle puis validé.</w:t>
      </w:r>
    </w:p>
    <w:p>
      <w:pPr>
        <w:pStyle w:val="Heading2"/>
      </w:pPr>
      <w:r>
        <w:rPr>
          <w:color w:val="2F6F5E"/>
        </w:rPr>
        <w:t>Organisation, périmètre et effectifs</w:t>
      </w:r>
    </w:p>
    <w:p>
      <w:r>
        <w:t>L'Université technologique de Dublin est une institution d'enseignement supérieur irlandaise. Le rapport STARS 3.0 de l'université a obtenu un score STARS global de 83,35. Le rapport a été soumis le 2 décembre 2024.</w:t>
      </w:r>
    </w:p>
    <w:p>
      <w:r>
        <w:t>L'université a mené une vaste étude de cartographie pour identifier les personnes qui collectent, traitent et valident les informations derrière chaque question STARS. Cette étude a permis de suivre la chaîne d'approvisionnement de l'information. Une deuxième étude a identifié les systèmes d'information qui détiennent les informations requises par STARS ou exploitable pour le rapport.</w:t>
      </w:r>
    </w:p>
    <w:p>
      <w:r>
        <w:t>Les représentants de l'Union des étudiants et les membres du Conseil de durabilité de l'université ont contribué à répondre aux questions liées aux étudiants.</w:t>
      </w:r>
    </w:p>
    <w:p>
      <w:r>
        <w:t>(GRI 2-3)</w:t>
      </w:r>
    </w:p>
    <w:p>
      <w:pPr>
        <w:pStyle w:val="Heading2"/>
      </w:pPr>
      <w:r>
        <w:rPr>
          <w:color w:val="2F6F5E"/>
        </w:rPr>
        <w:t>Limites et omissions</w:t>
      </w:r>
    </w:p>
    <w:p>
      <w:r>
        <w:t>Ce rapport ne peut pas établir la période de reporting, la fréquence et le point de contact de l'université. Les données STARS sont autodéclarées et non vérifiées par l'AASHE. (GRI 2-5)</w:t>
      </w:r>
    </w:p>
    <w:p>
      <w:pPr>
        <w:pStyle w:val="Heading1"/>
      </w:pPr>
      <w:r>
        <w:rPr>
          <w:color w:val="2F6F5E"/>
        </w:rPr>
        <w:t>Thèmes matériels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Crédit STARS</w:t>
            </w:r>
          </w:p>
        </w:tc>
        <w:tc>
          <w:tcPr>
            <w:tcW w:type="dxa" w:w="2880"/>
          </w:tcPr>
          <w:p>
            <w:r>
              <w:rPr>
                <w:b/>
                <w:sz w:val="17"/>
              </w:rPr>
            </w:r>
            <w:r>
              <w:rPr>
                <w:b/>
                <w:sz w:val="17"/>
              </w:rPr>
              <w:t>Points obtenus</w:t>
            </w:r>
          </w:p>
        </w:tc>
        <w:tc>
          <w:tcPr>
            <w:tcW w:type="dxa" w:w="2880"/>
          </w:tcPr>
          <w:p>
            <w:r>
              <w:rPr>
                <w:b/>
                <w:sz w:val="17"/>
              </w:rPr>
            </w:r>
            <w:r>
              <w:rPr>
                <w:b/>
                <w:sz w:val="17"/>
              </w:rPr>
              <w:t>Niveau</w:t>
            </w:r>
          </w:p>
        </w:tc>
      </w:tr>
      <w:tr>
        <w:tc>
          <w:tcPr>
            <w:tcW w:type="dxa" w:w="2880"/>
          </w:tcPr>
          <w:p>
            <w:r>
              <w:rPr>
                <w:sz w:val="17"/>
              </w:rPr>
            </w:r>
            <w:r>
              <w:rPr>
                <w:sz w:val="17"/>
              </w:rPr>
              <w:t>PA-2 — Commitments and Planning</w:t>
            </w:r>
          </w:p>
        </w:tc>
        <w:tc>
          <w:tcPr>
            <w:tcW w:type="dxa" w:w="2880"/>
          </w:tcPr>
          <w:p>
            <w:r>
              <w:rPr>
                <w:sz w:val="17"/>
              </w:rPr>
            </w:r>
            <w:r>
              <w:rPr>
                <w:sz w:val="17"/>
              </w:rPr>
              <w:t>5,67 / 6</w:t>
            </w:r>
          </w:p>
        </w:tc>
        <w:tc>
          <w:tcPr>
            <w:tcW w:type="dxa" w:w="2880"/>
          </w:tcPr>
          <w:p>
            <w:r>
              <w:rPr>
                <w:sz w:val="17"/>
              </w:rPr>
            </w:r>
            <w:r>
              <w:rPr>
                <w:sz w:val="17"/>
              </w:rPr>
              <w:t>élevé</w:t>
            </w:r>
          </w:p>
        </w:tc>
      </w:tr>
    </w:tbl>
    <w:p/>
    <w:p>
      <w:r>
        <w:rPr>
          <w:i/>
        </w:rPr>
        <w:t>Valeurs insérées par le code depuis la table des faits ; le texte ci-dessous est rédigé par le modèle puis validé.</w:t>
      </w:r>
    </w:p>
    <w:p>
      <w:pPr>
        <w:pStyle w:val="Heading3"/>
      </w:pPr>
      <w:r>
        <w:rPr>
          <w:color w:val="2F6F5E"/>
        </w:rPr>
        <w:t>Engagement et planification</w:t>
      </w:r>
    </w:p>
    <w:p>
      <w:r>
        <w:t>Le plan stratégique de l'université 2024 - 2028 comprend des objectifs de durabilité mesurables, dont la réduction des émissions de gaz à effet de serre de 46,5 % et l'augmentation de l'efficacité énergétique de 45 %.</w:t>
      </w:r>
    </w:p>
    <w:p>
      <w:pPr>
        <w:pStyle w:val="Heading3"/>
      </w:pPr>
      <w:r>
        <w:rPr>
          <w:color w:val="2F6F5E"/>
        </w:rPr>
        <w:t>Égalité, diversité et inclusion</w:t>
      </w:r>
    </w:p>
    <w:p>
      <w:r>
        <w:t>Le plan stratégique de l'université 2024 - 2028 comprend un indicateur clé de performance (KPI) sur la « livraison réussie des plans d'action EDI », mené par Prof. Yvonne Galligan, directrice de l'égalité, de la diversité et de l'inclusion. Les objectifs incluent l'obtention de la certification d'Athena Swan, le plan pour l'égalité raciale (Race Equality Plan), et la fin de la violence et du harcèlement sexuels (ESVH). L'université vise à atteindre un équilibre entre les genres (au moins 40 % de femmes et au moins 40 % d'hommes) à tous les niveaux de décision de la direction.</w:t>
      </w:r>
    </w:p>
    <w:p>
      <w:r>
        <w:t>(GRI 3-2)</w:t>
      </w:r>
    </w:p>
    <w:p>
      <w:pPr>
        <w:pStyle w:val="Heading2"/>
      </w:pPr>
      <w:r>
        <w:rPr>
          <w:color w:val="2F6F5E"/>
        </w:rPr>
        <w:t>Limites et omissions</w:t>
      </w:r>
    </w:p>
    <w:p>
      <w:r>
        <w:t>Ce rapport ne peut pas établir les impacts, les mesures de prévention et de remédiation, ou les enseignements tirés des thèmes matériels. Les données ne permettent pas d'établir une distinction entre les impacts des différents thèmes matériels.</w:t>
      </w:r>
    </w:p>
    <w:p>
      <w:r>
        <w:t>(GRI 3-3)</w:t>
      </w:r>
    </w:p>
    <w:p>
      <w:pPr>
        <w:pStyle w:val="Heading1"/>
      </w:pPr>
      <w:r>
        <w:rPr>
          <w:color w:val="2F6F5E"/>
        </w:rPr>
        <w:t>Gouvernance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Crédit STARS</w:t>
            </w:r>
          </w:p>
        </w:tc>
        <w:tc>
          <w:tcPr>
            <w:tcW w:type="dxa" w:w="2880"/>
          </w:tcPr>
          <w:p>
            <w:r>
              <w:rPr>
                <w:b/>
                <w:sz w:val="17"/>
              </w:rPr>
            </w:r>
            <w:r>
              <w:rPr>
                <w:b/>
                <w:sz w:val="17"/>
              </w:rPr>
              <w:t>Points obtenus</w:t>
            </w:r>
          </w:p>
        </w:tc>
        <w:tc>
          <w:tcPr>
            <w:tcW w:type="dxa" w:w="2880"/>
          </w:tcPr>
          <w:p>
            <w:r>
              <w:rPr>
                <w:b/>
                <w:sz w:val="17"/>
              </w:rPr>
            </w:r>
            <w:r>
              <w:rPr>
                <w:b/>
                <w:sz w:val="17"/>
              </w:rPr>
              <w:t>Niveau</w:t>
            </w:r>
          </w:p>
        </w:tc>
      </w:tr>
      <w:tr>
        <w:tc>
          <w:tcPr>
            <w:tcW w:type="dxa" w:w="2880"/>
          </w:tcPr>
          <w:p>
            <w:r>
              <w:rPr>
                <w:sz w:val="17"/>
              </w:rPr>
            </w:r>
            <w:r>
              <w:rPr>
                <w:sz w:val="17"/>
              </w:rPr>
              <w:t>PA-1 — Sustainability Coordination</w:t>
            </w:r>
          </w:p>
        </w:tc>
        <w:tc>
          <w:tcPr>
            <w:tcW w:type="dxa" w:w="2880"/>
          </w:tcPr>
          <w:p>
            <w:r>
              <w:rPr>
                <w:sz w:val="17"/>
              </w:rPr>
            </w:r>
            <w:r>
              <w:rPr>
                <w:sz w:val="17"/>
              </w:rPr>
              <w:t>1 / 1</w:t>
            </w:r>
          </w:p>
        </w:tc>
        <w:tc>
          <w:tcPr>
            <w:tcW w:type="dxa" w:w="2880"/>
          </w:tcPr>
          <w:p>
            <w:r>
              <w:rPr>
                <w:sz w:val="17"/>
              </w:rPr>
            </w:r>
            <w:r>
              <w:rPr>
                <w:sz w:val="17"/>
              </w:rPr>
              <w:t>maximal (tous les points obtenus)</w:t>
            </w:r>
          </w:p>
        </w:tc>
      </w:tr>
      <w:tr>
        <w:tc>
          <w:tcPr>
            <w:tcW w:type="dxa" w:w="2880"/>
          </w:tcPr>
          <w:p>
            <w:r>
              <w:rPr>
                <w:sz w:val="17"/>
              </w:rPr>
            </w:r>
            <w:r>
              <w:rPr>
                <w:sz w:val="17"/>
              </w:rPr>
              <w:t>PA-3 — Institutional Governance</w:t>
            </w:r>
          </w:p>
        </w:tc>
        <w:tc>
          <w:tcPr>
            <w:tcW w:type="dxa" w:w="2880"/>
          </w:tcPr>
          <w:p>
            <w:r>
              <w:rPr>
                <w:sz w:val="17"/>
              </w:rPr>
            </w:r>
            <w:r>
              <w:rPr>
                <w:sz w:val="17"/>
              </w:rPr>
              <w:t>4 / 4</w:t>
            </w:r>
          </w:p>
        </w:tc>
        <w:tc>
          <w:tcPr>
            <w:tcW w:type="dxa" w:w="2880"/>
          </w:tcPr>
          <w:p>
            <w:r>
              <w:rPr>
                <w:sz w:val="17"/>
              </w:rPr>
            </w:r>
            <w:r>
              <w:rPr>
                <w:sz w:val="17"/>
              </w:rPr>
              <w:t>maximal (tous les points obtenus)</w:t>
            </w:r>
          </w:p>
        </w:tc>
      </w:tr>
    </w:tbl>
    <w:p/>
    <w:p>
      <w:r>
        <w:rPr>
          <w:i/>
        </w:rPr>
        <w:t>Valeurs insérées par le code depuis la table des faits ; le texte ci-dessous est rédigé par le modèle puis validé.</w:t>
      </w:r>
    </w:p>
    <w:p>
      <w:pPr>
        <w:pStyle w:val="IntenseQuote"/>
      </w:pPr>
      <w:r>
        <w:rPr>
          <w:b/>
        </w:rPr>
        <w:t>Point de vigilance.</w:t>
      </w:r>
      <w:r>
        <w:t xml:space="preserve"> Les crédits PA-4 (programme d'investissement durable) et PA-5 (portefeuille d'investissements) sont « Non applicables » : TU Dublin est une université publique sans fonds de dotation. C'est un constat sur l'adéquation des référentiels au secteur, pas une défaillance.</w:t>
      </w:r>
    </w:p>
    <w:p>
      <w:r>
        <w:t>L'université obtient 4 points STARS sur 4 au crédit PA-3, niveau maximal.</w:t>
      </w:r>
    </w:p>
    <w:p>
      <w:r>
        <w:t>La gouvernance de l'université est assurée par le Technological Universities Act 2018, qui impose la représentation des étudiants dans les organes de gouvernance. Le site web de l'Union des étudiants (SU) liste diverses instances où les étudiants sont représentés. Le président de l'Union des étudiants (SU) est le porte-parole principal de l'Union et représente tous les étudiants de l'université. Il est également membre ex officio du corps de gouvernance et du conseil académique de l'université.</w:t>
      </w:r>
    </w:p>
    <w:p>
      <w:r>
        <w:t>En février 2025, les membres étudiants du corps de gouvernance étaient Shauna O'Toole (présidence de l'Union des étudiants), Princewill Aguele (vice-présidence de l'Union des étudiants chargée des événements et de l'engagement) et Avice Meya (membre au titre des étudiants de troisième cycle).</w:t>
      </w:r>
    </w:p>
    <w:p>
      <w:r>
        <w:t>Le corps de gouvernance compte également des membres non-académiques, dont un membre du personnel non-académique (professionnel) légiféré dans le TU Act 2018.</w:t>
      </w:r>
    </w:p>
    <w:p>
      <w:r>
        <w:t>L'université a également mis en place des comités et des groupes de travail formels, ainsi que des enquêtes universitaires, où les membres du personnel participent régulièrement. La représentation du personnel est souvent filtrée par le TUI (Syndicat des enseignants d'Irlande).</w:t>
      </w:r>
    </w:p>
    <w:p>
      <w:r>
        <w:t>(GRI 2-9)</w:t>
      </w:r>
    </w:p>
    <w:p>
      <w:pPr>
        <w:pStyle w:val="Heading2"/>
      </w:pPr>
      <w:r>
        <w:rPr>
          <w:color w:val="2F6F5E"/>
        </w:rPr>
        <w:t>Limites et omissions</w:t>
      </w:r>
    </w:p>
    <w:p>
      <w:r>
        <w:t>Ce rapport ne peut pas établir la rémunération totale annuelle des membres du corps de gouvernance, car ce chiffre n'est pas disponible.</w:t>
      </w:r>
    </w:p>
    <w:p>
      <w:r>
        <w:t>(GRI 2-21)</w:t>
      </w:r>
    </w:p>
    <w:p>
      <w:pPr>
        <w:pStyle w:val="Heading1"/>
      </w:pPr>
      <w:r>
        <w:rPr>
          <w:color w:val="2F6F5E"/>
        </w:rPr>
        <w:t>Stratégie, politiques et pratiques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Crédit STARS</w:t>
            </w:r>
          </w:p>
        </w:tc>
        <w:tc>
          <w:tcPr>
            <w:tcW w:type="dxa" w:w="2880"/>
          </w:tcPr>
          <w:p>
            <w:r>
              <w:rPr>
                <w:b/>
                <w:sz w:val="17"/>
              </w:rPr>
            </w:r>
            <w:r>
              <w:rPr>
                <w:b/>
                <w:sz w:val="17"/>
              </w:rPr>
              <w:t>Points obtenus</w:t>
            </w:r>
          </w:p>
        </w:tc>
        <w:tc>
          <w:tcPr>
            <w:tcW w:type="dxa" w:w="2880"/>
          </w:tcPr>
          <w:p>
            <w:r>
              <w:rPr>
                <w:b/>
                <w:sz w:val="17"/>
              </w:rPr>
            </w:r>
            <w:r>
              <w:rPr>
                <w:b/>
                <w:sz w:val="17"/>
              </w:rPr>
              <w:t>Niveau</w:t>
            </w:r>
          </w:p>
        </w:tc>
      </w:tr>
      <w:tr>
        <w:tc>
          <w:tcPr>
            <w:tcW w:type="dxa" w:w="2880"/>
          </w:tcPr>
          <w:p>
            <w:r>
              <w:rPr>
                <w:sz w:val="17"/>
              </w:rPr>
            </w:r>
            <w:r>
              <w:rPr>
                <w:sz w:val="17"/>
              </w:rPr>
              <w:t>PA-2 — Commitments and Planning</w:t>
            </w:r>
          </w:p>
        </w:tc>
        <w:tc>
          <w:tcPr>
            <w:tcW w:type="dxa" w:w="2880"/>
          </w:tcPr>
          <w:p>
            <w:r>
              <w:rPr>
                <w:sz w:val="17"/>
              </w:rPr>
            </w:r>
            <w:r>
              <w:rPr>
                <w:sz w:val="17"/>
              </w:rPr>
              <w:t>5,67 / 6</w:t>
            </w:r>
          </w:p>
        </w:tc>
        <w:tc>
          <w:tcPr>
            <w:tcW w:type="dxa" w:w="2880"/>
          </w:tcPr>
          <w:p>
            <w:r>
              <w:rPr>
                <w:sz w:val="17"/>
              </w:rPr>
            </w:r>
            <w:r>
              <w:rPr>
                <w:sz w:val="17"/>
              </w:rPr>
              <w:t>élevé</w:t>
            </w:r>
          </w:p>
        </w:tc>
      </w:tr>
      <w:tr>
        <w:tc>
          <w:tcPr>
            <w:tcW w:type="dxa" w:w="2880"/>
          </w:tcPr>
          <w:p>
            <w:r>
              <w:rPr>
                <w:sz w:val="17"/>
              </w:rPr>
            </w:r>
            <w:r>
              <w:rPr>
                <w:sz w:val="17"/>
              </w:rPr>
              <w:t>PA-1 — Sustainability Coordination</w:t>
            </w:r>
          </w:p>
        </w:tc>
        <w:tc>
          <w:tcPr>
            <w:tcW w:type="dxa" w:w="2880"/>
          </w:tcPr>
          <w:p>
            <w:r>
              <w:rPr>
                <w:sz w:val="17"/>
              </w:rPr>
            </w:r>
            <w:r>
              <w:rPr>
                <w:sz w:val="17"/>
              </w:rPr>
              <w:t>1 / 1</w:t>
            </w:r>
          </w:p>
        </w:tc>
        <w:tc>
          <w:tcPr>
            <w:tcW w:type="dxa" w:w="2880"/>
          </w:tcPr>
          <w:p>
            <w:r>
              <w:rPr>
                <w:sz w:val="17"/>
              </w:rPr>
            </w:r>
            <w:r>
              <w:rPr>
                <w:sz w:val="17"/>
              </w:rPr>
              <w:t>maximal (tous les points obtenus)</w:t>
            </w:r>
          </w:p>
        </w:tc>
      </w:tr>
      <w:tr>
        <w:tc>
          <w:tcPr>
            <w:tcW w:type="dxa" w:w="2880"/>
          </w:tcPr>
          <w:p>
            <w:r>
              <w:rPr>
                <w:sz w:val="17"/>
              </w:rPr>
            </w:r>
            <w:r>
              <w:rPr>
                <w:sz w:val="17"/>
              </w:rPr>
              <w:t>PA-12 — Employee Rights</w:t>
            </w:r>
          </w:p>
        </w:tc>
        <w:tc>
          <w:tcPr>
            <w:tcW w:type="dxa" w:w="2880"/>
          </w:tcPr>
          <w:p>
            <w:r>
              <w:rPr>
                <w:sz w:val="17"/>
              </w:rPr>
            </w:r>
            <w:r>
              <w:rPr>
                <w:sz w:val="17"/>
              </w:rPr>
              <w:t>3 / 3</w:t>
            </w:r>
          </w:p>
        </w:tc>
        <w:tc>
          <w:tcPr>
            <w:tcW w:type="dxa" w:w="2880"/>
          </w:tcPr>
          <w:p>
            <w:r>
              <w:rPr>
                <w:sz w:val="17"/>
              </w:rPr>
            </w:r>
            <w:r>
              <w:rPr>
                <w:sz w:val="17"/>
              </w:rPr>
              <w:t>maximal (tous les points obtenus)</w:t>
            </w:r>
          </w:p>
        </w:tc>
      </w:tr>
      <w:tr>
        <w:tc>
          <w:tcPr>
            <w:tcW w:type="dxa" w:w="2880"/>
          </w:tcPr>
          <w:p>
            <w:r>
              <w:rPr>
                <w:sz w:val="17"/>
              </w:rPr>
            </w:r>
            <w:r>
              <w:rPr>
                <w:sz w:val="17"/>
              </w:rPr>
              <w:t>OP-9 — Sustainable Procurement System</w:t>
            </w:r>
          </w:p>
        </w:tc>
        <w:tc>
          <w:tcPr>
            <w:tcW w:type="dxa" w:w="2880"/>
          </w:tcPr>
          <w:p>
            <w:r>
              <w:rPr>
                <w:sz w:val="17"/>
              </w:rPr>
            </w:r>
            <w:r>
              <w:rPr>
                <w:sz w:val="17"/>
              </w:rPr>
              <w:t>2,4 / 7</w:t>
            </w:r>
          </w:p>
        </w:tc>
        <w:tc>
          <w:tcPr>
            <w:tcW w:type="dxa" w:w="2880"/>
          </w:tcPr>
          <w:p>
            <w:r>
              <w:rPr>
                <w:sz w:val="17"/>
              </w:rPr>
            </w:r>
            <w:r>
              <w:rPr>
                <w:sz w:val="17"/>
              </w:rPr>
              <w:t>faible</w:t>
            </w:r>
          </w:p>
        </w:tc>
      </w:tr>
      <w:tr>
        <w:tc>
          <w:tcPr>
            <w:tcW w:type="dxa" w:w="2880"/>
          </w:tcPr>
          <w:p>
            <w:r>
              <w:rPr>
                <w:sz w:val="17"/>
              </w:rPr>
            </w:r>
            <w:r>
              <w:rPr>
                <w:sz w:val="17"/>
              </w:rPr>
              <w:t>EN-3 — Staff Engagement and Training</w:t>
            </w:r>
          </w:p>
        </w:tc>
        <w:tc>
          <w:tcPr>
            <w:tcW w:type="dxa" w:w="2880"/>
          </w:tcPr>
          <w:p>
            <w:r>
              <w:rPr>
                <w:sz w:val="17"/>
              </w:rPr>
            </w:r>
            <w:r>
              <w:rPr>
                <w:sz w:val="17"/>
              </w:rPr>
              <w:t>8 / 8</w:t>
            </w:r>
          </w:p>
        </w:tc>
        <w:tc>
          <w:tcPr>
            <w:tcW w:type="dxa" w:w="2880"/>
          </w:tcPr>
          <w:p>
            <w:r>
              <w:rPr>
                <w:sz w:val="17"/>
              </w:rPr>
            </w:r>
            <w:r>
              <w:rPr>
                <w:sz w:val="17"/>
              </w:rPr>
              <w:t>maximal (tous les points obtenus)</w:t>
            </w:r>
          </w:p>
        </w:tc>
      </w:tr>
    </w:tbl>
    <w:p/>
    <w:p>
      <w:r>
        <w:rPr>
          <w:i/>
        </w:rPr>
        <w:t>Valeurs insérées par le code depuis la table des faits ; le texte ci-dessous est rédigé par le modèle puis validé.</w:t>
      </w:r>
    </w:p>
    <w:p>
      <w:pPr>
        <w:pStyle w:val="Heading3"/>
      </w:pPr>
      <w:r>
        <w:rPr>
          <w:color w:val="2F6F5E"/>
        </w:rPr>
        <w:t>Stratégie de développement durable</w:t>
      </w:r>
    </w:p>
    <w:p>
      <w:r>
        <w:t>La Technological University Dublin (TU Dublin) a mis en place une stratégie de développement durable dans son TU Dublin Strategic Plan 2024 – 2028. Cette stratégie comprend des objectifs de durabilité mesurables, dont la réduction des émissions de gaz à effet de serre et l'augmentation de l'efficacité énergétique.</w:t>
      </w:r>
    </w:p>
    <w:p>
      <w:pPr>
        <w:pStyle w:val="Heading3"/>
      </w:pPr>
      <w:r>
        <w:rPr>
          <w:color w:val="2F6F5E"/>
        </w:rPr>
        <w:t>Engagements politiques</w:t>
      </w:r>
    </w:p>
    <w:p>
      <w:r>
        <w:t>Ces objectifs sont alignés sur le Climate Action Plan 2021 (CAP), qui demande au secteur public de montrer l'exemple pour réduire de 51 % les émissions de gaz à effet de serre de l'Irlande d'ici 2030 et atteindre la neutralité climatique au plus tard en 2050. Des membres de son Office de la durabilité participent à des Sustainable Energy Communities (SEC) voisines du campus de Grangegorman, soutenues par la SEAI, et mènent avec elles des activités de résilience climatique.</w:t>
      </w:r>
    </w:p>
    <w:p>
      <w:pPr>
        <w:pStyle w:val="Heading3"/>
      </w:pPr>
      <w:r>
        <w:rPr>
          <w:color w:val="2F6F5E"/>
        </w:rPr>
        <w:t>Intégration des engagements politiques</w:t>
      </w:r>
    </w:p>
    <w:p>
      <w:r>
        <w:t>Les SEC membres peuvent soulever des préoccupations, des besoins et des demandes d'aide auprès des agences de développement de Grangegorman et des fonctions de TU Dublin (par exemple, l'Office de la durabilité, les Affaires et la planification des campus) pour développer des actions stratégiques collaboratives.</w:t>
      </w:r>
    </w:p>
    <w:p>
      <w:pPr>
        <w:pStyle w:val="Heading3"/>
      </w:pPr>
      <w:r>
        <w:rPr>
          <w:color w:val="2F6F5E"/>
        </w:rPr>
        <w:t>Processus de remédiation des impacts négatifs</w:t>
      </w:r>
    </w:p>
    <w:p>
      <w:r>
        <w:t>Ce rapport ne peut pas établir les mécanismes de remédiation des impacts négatifs sur toutes les parties prenantes affectées.</w:t>
      </w:r>
    </w:p>
    <w:p>
      <w:pPr>
        <w:pStyle w:val="Heading3"/>
      </w:pPr>
      <w:r>
        <w:rPr>
          <w:color w:val="2F6F5E"/>
        </w:rPr>
        <w:t>Adhésion à des associations</w:t>
      </w:r>
    </w:p>
    <w:p>
      <w:r>
        <w:t>Parmi ses communautés de pratique, TU Dublin compte la SDG Literacy Community of Practice, qui permet aux enseignants et aux étudiants de construire ensemble des occasions d'apprendre sur les objectifs de développement durable des Nations unies. TU Dublin est par ailleurs membre de l'Université européenne de technologie (European University of Technology).</w:t>
      </w:r>
    </w:p>
    <w:p>
      <w:pPr>
        <w:pStyle w:val="Heading2"/>
      </w:pPr>
      <w:r>
        <w:rPr>
          <w:color w:val="2F6F5E"/>
        </w:rPr>
        <w:t>Limites et omissions</w:t>
      </w:r>
    </w:p>
    <w:p>
      <w:r>
        <w:t>De plus, certaines informations sur les engagements politiques et la stratégie de développement durable ne sont pas disponibles ou ne peuvent pas être établies.</w:t>
      </w:r>
    </w:p>
    <w:p>
      <w:r>
        <w:t>(GRI 2-22), (GRI 2-23), (GRI 2-24), (GRI 2-25)</w:t>
      </w:r>
    </w:p>
    <w:p>
      <w:pPr>
        <w:pStyle w:val="Heading1"/>
      </w:pPr>
      <w:r>
        <w:rPr>
          <w:color w:val="2F6F5E"/>
        </w:rPr>
        <w:t>Engagement des parties prenantes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Crédit STARS</w:t>
            </w:r>
          </w:p>
        </w:tc>
        <w:tc>
          <w:tcPr>
            <w:tcW w:type="dxa" w:w="2880"/>
          </w:tcPr>
          <w:p>
            <w:r>
              <w:rPr>
                <w:b/>
                <w:sz w:val="17"/>
              </w:rPr>
            </w:r>
            <w:r>
              <w:rPr>
                <w:b/>
                <w:sz w:val="17"/>
              </w:rPr>
              <w:t>Points obtenus</w:t>
            </w:r>
          </w:p>
        </w:tc>
        <w:tc>
          <w:tcPr>
            <w:tcW w:type="dxa" w:w="2880"/>
          </w:tcPr>
          <w:p>
            <w:r>
              <w:rPr>
                <w:b/>
                <w:sz w:val="17"/>
              </w:rPr>
            </w:r>
            <w:r>
              <w:rPr>
                <w:b/>
                <w:sz w:val="17"/>
              </w:rPr>
              <w:t>Niveau</w:t>
            </w:r>
          </w:p>
        </w:tc>
      </w:tr>
      <w:tr>
        <w:tc>
          <w:tcPr>
            <w:tcW w:type="dxa" w:w="2880"/>
          </w:tcPr>
          <w:p>
            <w:r>
              <w:rPr>
                <w:sz w:val="17"/>
              </w:rPr>
            </w:r>
            <w:r>
              <w:rPr>
                <w:sz w:val="17"/>
              </w:rPr>
              <w:t>PA-3 — Institutional Governance</w:t>
            </w:r>
          </w:p>
        </w:tc>
        <w:tc>
          <w:tcPr>
            <w:tcW w:type="dxa" w:w="2880"/>
          </w:tcPr>
          <w:p>
            <w:r>
              <w:rPr>
                <w:sz w:val="17"/>
              </w:rPr>
            </w:r>
            <w:r>
              <w:rPr>
                <w:sz w:val="17"/>
              </w:rPr>
              <w:t>4 / 4</w:t>
            </w:r>
          </w:p>
        </w:tc>
        <w:tc>
          <w:tcPr>
            <w:tcW w:type="dxa" w:w="2880"/>
          </w:tcPr>
          <w:p>
            <w:r>
              <w:rPr>
                <w:sz w:val="17"/>
              </w:rPr>
            </w:r>
            <w:r>
              <w:rPr>
                <w:sz w:val="17"/>
              </w:rPr>
              <w:t>maximal (tous les points obtenus)</w:t>
            </w:r>
          </w:p>
        </w:tc>
      </w:tr>
      <w:tr>
        <w:tc>
          <w:tcPr>
            <w:tcW w:type="dxa" w:w="2880"/>
          </w:tcPr>
          <w:p>
            <w:r>
              <w:rPr>
                <w:sz w:val="17"/>
              </w:rPr>
            </w:r>
            <w:r>
              <w:rPr>
                <w:sz w:val="17"/>
              </w:rPr>
              <w:t>EN-5 — Civic Engagement</w:t>
            </w:r>
          </w:p>
        </w:tc>
        <w:tc>
          <w:tcPr>
            <w:tcW w:type="dxa" w:w="2880"/>
          </w:tcPr>
          <w:p>
            <w:r>
              <w:rPr>
                <w:sz w:val="17"/>
              </w:rPr>
            </w:r>
            <w:r>
              <w:rPr>
                <w:sz w:val="17"/>
              </w:rPr>
              <w:t>4,5 / 8</w:t>
            </w:r>
          </w:p>
        </w:tc>
        <w:tc>
          <w:tcPr>
            <w:tcW w:type="dxa" w:w="2880"/>
          </w:tcPr>
          <w:p>
            <w:r>
              <w:rPr>
                <w:sz w:val="17"/>
              </w:rPr>
            </w:r>
            <w:r>
              <w:rPr>
                <w:sz w:val="17"/>
              </w:rPr>
              <w:t>intermédiaire</w:t>
            </w:r>
          </w:p>
        </w:tc>
      </w:tr>
      <w:tr>
        <w:tc>
          <w:tcPr>
            <w:tcW w:type="dxa" w:w="2880"/>
          </w:tcPr>
          <w:p>
            <w:r>
              <w:rPr>
                <w:sz w:val="17"/>
              </w:rPr>
            </w:r>
            <w:r>
              <w:rPr>
                <w:sz w:val="17"/>
              </w:rPr>
              <w:t>EN-6 — Community Partnerships</w:t>
            </w:r>
          </w:p>
        </w:tc>
        <w:tc>
          <w:tcPr>
            <w:tcW w:type="dxa" w:w="2880"/>
          </w:tcPr>
          <w:p>
            <w:r>
              <w:rPr>
                <w:sz w:val="17"/>
              </w:rPr>
            </w:r>
            <w:r>
              <w:rPr>
                <w:sz w:val="17"/>
              </w:rPr>
              <w:t>7 / 9</w:t>
            </w:r>
          </w:p>
        </w:tc>
        <w:tc>
          <w:tcPr>
            <w:tcW w:type="dxa" w:w="2880"/>
          </w:tcPr>
          <w:p>
            <w:r>
              <w:rPr>
                <w:sz w:val="17"/>
              </w:rPr>
            </w:r>
            <w:r>
              <w:rPr>
                <w:sz w:val="17"/>
              </w:rPr>
              <w:t>élevé</w:t>
            </w:r>
          </w:p>
        </w:tc>
      </w:tr>
      <w:tr>
        <w:tc>
          <w:tcPr>
            <w:tcW w:type="dxa" w:w="2880"/>
          </w:tcPr>
          <w:p>
            <w:r>
              <w:rPr>
                <w:sz w:val="17"/>
              </w:rPr>
            </w:r>
            <w:r>
              <w:rPr>
                <w:sz w:val="17"/>
              </w:rPr>
              <w:t>PA-12 — Employee Rights</w:t>
            </w:r>
          </w:p>
        </w:tc>
        <w:tc>
          <w:tcPr>
            <w:tcW w:type="dxa" w:w="2880"/>
          </w:tcPr>
          <w:p>
            <w:r>
              <w:rPr>
                <w:sz w:val="17"/>
              </w:rPr>
            </w:r>
            <w:r>
              <w:rPr>
                <w:sz w:val="17"/>
              </w:rPr>
              <w:t>3 / 3</w:t>
            </w:r>
          </w:p>
        </w:tc>
        <w:tc>
          <w:tcPr>
            <w:tcW w:type="dxa" w:w="2880"/>
          </w:tcPr>
          <w:p>
            <w:r>
              <w:rPr>
                <w:sz w:val="17"/>
              </w:rPr>
            </w:r>
            <w:r>
              <w:rPr>
                <w:sz w:val="17"/>
              </w:rPr>
              <w:t>maximal (tous les points obtenus)</w:t>
            </w:r>
          </w:p>
        </w:tc>
      </w:tr>
    </w:tbl>
    <w:p/>
    <w:p>
      <w:r>
        <w:rPr>
          <w:i/>
        </w:rPr>
        <w:t>Valeurs insérées par le code depuis la table des faits ; le texte ci-dessous est rédigé par le modèle puis validé.</w:t>
      </w:r>
    </w:p>
    <w:p>
      <w:r>
        <w:t>L'université Technological University Dublin (TU Dublin) s'engage dans l'engagement des parties prenantes de manière significative, comme le montre son score STARS de 4 points STARS sur 4 au crédit PA-3, niveau maximal. Cette approche est mise en œuvre en vertu de la Technological Universities Act 2018, qui prévoit la représentation obligatoire des étudiants dans les organes de gouvernance des universités techniques, y compris la TU Dublin.</w:t>
      </w:r>
    </w:p>
    <w:p>
      <w:r>
        <w:t>La Students' Union (SU) joue un rôle clé dans la représentation des étudiants. Le président de la SU est le porte-parole principal de l'union, représentant tous les étudiants de l'université, et est membre ex officio du corps gouvernemental et du conseil académique de l'université. Cela est établi par la constitution de la SU.</w:t>
      </w:r>
    </w:p>
    <w:p>
      <w:r>
        <w:t>La TU Dublin s'engage également dans des activités communautaires à travers divers programmes, comme les programmes de bénévolat étudiant, les comités des sports et des sociétés, les mentorats pairs et la représentation de classe.</w:t>
      </w:r>
    </w:p>
    <w:p>
      <w:r>
        <w:t>L'université offre diverses opportunités de service communautaire, notamment :</w:t>
      </w:r>
    </w:p>
    <w:p>
      <w:pPr>
        <w:pStyle w:val="ListBullet"/>
      </w:pPr>
      <w:r>
        <w:t>Les comités des sports et des sociétés qui gèrent des groupes étudiants pour le bénéfice d'autres étudiants ;</w:t>
      </w:r>
    </w:p>
    <w:p>
      <w:pPr>
        <w:pStyle w:val="ListBullet"/>
      </w:pPr>
      <w:r>
        <w:t>Les sociétés étudiantes qui sont principalement engagées dans le bénévolat et les entreprises sociales, y compris la Société St. Vincent de Paul de TU Dublin, la Société d'urbanisme environnemental de TU Dublin, la Société Enactus de TU Dublin - qui reçoit un soutien important de notre GrowthHub ;</w:t>
      </w:r>
    </w:p>
    <w:p>
      <w:pPr>
        <w:pStyle w:val="ListBullet"/>
      </w:pPr>
      <w:r>
        <w:t>Le programme de bénévolat étudiant est facilité par la plateforme de bénévolat étudiant ;</w:t>
      </w:r>
    </w:p>
    <w:p>
      <w:pPr>
        <w:pStyle w:val="ListBullet"/>
      </w:pPr>
      <w:r>
        <w:t>Le programme de représentation de la classe de l'Union des étudiants ;</w:t>
      </w:r>
    </w:p>
    <w:p>
      <w:pPr>
        <w:pStyle w:val="ListBullet"/>
      </w:pPr>
      <w:r>
        <w:t>Le programme de mentorat pairs de TU Dublin.</w:t>
      </w:r>
    </w:p>
    <w:p>
      <w:r>
        <w:t>Enfin, l'université a mis en place un programme de partenariats avec la communauté, comme le programme SLWC+ pilot, qui prévoit une déclaration de réciprocité dans l'accord de collaboration et sert de base pour l'évaluation conjointe du programme avec le partenaire de collaboration. Cependant, ce document n'est pas accessible au public, car il s'agit de la première fois que ce programme est mis en œuvre et que l'université met l'accent sur le bénéfice mutuel et la réciprocité.</w:t>
      </w:r>
    </w:p>
    <w:p>
      <w:r>
        <w:t>(GRI 2-29)</w:t>
      </w:r>
    </w:p>
    <w:p>
      <w:pPr>
        <w:pStyle w:val="Heading2"/>
      </w:pPr>
      <w:r>
        <w:rPr>
          <w:color w:val="2F6F5E"/>
        </w:rPr>
        <w:t>Limites et omissions</w:t>
      </w:r>
    </w:p>
    <w:p>
      <w:r>
        <w:t>Ce rapport ne peut pas établir les informations sur la méthode d'identification des parties prenantes, les groupes vulnérables ou les fournisseurs. Ce rapport ne peut pas établir la liste complète des partenariats de l'université avec la communauté pour la durabilité.</w:t>
      </w:r>
    </w:p>
    <w:p>
      <w:pPr>
        <w:pStyle w:val="Heading1"/>
      </w:pPr>
      <w:r>
        <w:rPr>
          <w:color w:val="2F6F5E"/>
        </w:rPr>
        <w:t>Performance environnementale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Crédit STARS</w:t>
            </w:r>
          </w:p>
        </w:tc>
        <w:tc>
          <w:tcPr>
            <w:tcW w:type="dxa" w:w="2880"/>
          </w:tcPr>
          <w:p>
            <w:r>
              <w:rPr>
                <w:b/>
                <w:sz w:val="17"/>
              </w:rPr>
            </w:r>
            <w:r>
              <w:rPr>
                <w:b/>
                <w:sz w:val="17"/>
              </w:rPr>
              <w:t>Points obtenus</w:t>
            </w:r>
          </w:p>
        </w:tc>
        <w:tc>
          <w:tcPr>
            <w:tcW w:type="dxa" w:w="2880"/>
          </w:tcPr>
          <w:p>
            <w:r>
              <w:rPr>
                <w:b/>
                <w:sz w:val="17"/>
              </w:rPr>
            </w:r>
            <w:r>
              <w:rPr>
                <w:b/>
                <w:sz w:val="17"/>
              </w:rPr>
              <w:t>Niveau</w:t>
            </w:r>
          </w:p>
        </w:tc>
      </w:tr>
      <w:tr>
        <w:tc>
          <w:tcPr>
            <w:tcW w:type="dxa" w:w="2880"/>
          </w:tcPr>
          <w:p>
            <w:r>
              <w:rPr>
                <w:sz w:val="17"/>
              </w:rPr>
            </w:r>
            <w:r>
              <w:rPr>
                <w:sz w:val="17"/>
              </w:rPr>
              <w:t>OP-5 — Energy Use</w:t>
            </w:r>
          </w:p>
        </w:tc>
        <w:tc>
          <w:tcPr>
            <w:tcW w:type="dxa" w:w="2880"/>
          </w:tcPr>
          <w:p>
            <w:r>
              <w:rPr>
                <w:sz w:val="17"/>
              </w:rPr>
            </w:r>
            <w:r>
              <w:rPr>
                <w:sz w:val="17"/>
              </w:rPr>
              <w:t>6,34 / 10</w:t>
            </w:r>
          </w:p>
        </w:tc>
        <w:tc>
          <w:tcPr>
            <w:tcW w:type="dxa" w:w="2880"/>
          </w:tcPr>
          <w:p>
            <w:r>
              <w:rPr>
                <w:sz w:val="17"/>
              </w:rPr>
            </w:r>
            <w:r>
              <w:rPr>
                <w:sz w:val="17"/>
              </w:rPr>
              <w:t>intermédiaire</w:t>
            </w:r>
          </w:p>
        </w:tc>
      </w:tr>
      <w:tr>
        <w:tc>
          <w:tcPr>
            <w:tcW w:type="dxa" w:w="2880"/>
          </w:tcPr>
          <w:p>
            <w:r>
              <w:rPr>
                <w:sz w:val="17"/>
              </w:rPr>
            </w:r>
            <w:r>
              <w:rPr>
                <w:sz w:val="17"/>
              </w:rPr>
              <w:t>OP-6 — Greenhouse Gas Emissions</w:t>
            </w:r>
          </w:p>
        </w:tc>
        <w:tc>
          <w:tcPr>
            <w:tcW w:type="dxa" w:w="2880"/>
          </w:tcPr>
          <w:p>
            <w:r>
              <w:rPr>
                <w:sz w:val="17"/>
              </w:rPr>
            </w:r>
            <w:r>
              <w:rPr>
                <w:sz w:val="17"/>
              </w:rPr>
              <w:t>10,79 / 16</w:t>
            </w:r>
          </w:p>
        </w:tc>
        <w:tc>
          <w:tcPr>
            <w:tcW w:type="dxa" w:w="2880"/>
          </w:tcPr>
          <w:p>
            <w:r>
              <w:rPr>
                <w:sz w:val="17"/>
              </w:rPr>
            </w:r>
            <w:r>
              <w:rPr>
                <w:sz w:val="17"/>
              </w:rPr>
              <w:t>intermédiaire</w:t>
            </w:r>
          </w:p>
        </w:tc>
      </w:tr>
      <w:tr>
        <w:tc>
          <w:tcPr>
            <w:tcW w:type="dxa" w:w="2880"/>
          </w:tcPr>
          <w:p>
            <w:r>
              <w:rPr>
                <w:sz w:val="17"/>
              </w:rPr>
            </w:r>
            <w:r>
              <w:rPr>
                <w:sz w:val="17"/>
              </w:rPr>
              <w:t>OP-3 — Water Use</w:t>
            </w:r>
          </w:p>
        </w:tc>
        <w:tc>
          <w:tcPr>
            <w:tcW w:type="dxa" w:w="2880"/>
          </w:tcPr>
          <w:p>
            <w:r>
              <w:rPr>
                <w:sz w:val="17"/>
              </w:rPr>
            </w:r>
            <w:r>
              <w:rPr>
                <w:sz w:val="17"/>
              </w:rPr>
              <w:t>4,33 / 6</w:t>
            </w:r>
          </w:p>
        </w:tc>
        <w:tc>
          <w:tcPr>
            <w:tcW w:type="dxa" w:w="2880"/>
          </w:tcPr>
          <w:p>
            <w:r>
              <w:rPr>
                <w:sz w:val="17"/>
              </w:rPr>
            </w:r>
            <w:r>
              <w:rPr>
                <w:sz w:val="17"/>
              </w:rPr>
              <w:t>intermédiaire</w:t>
            </w:r>
          </w:p>
        </w:tc>
      </w:tr>
      <w:tr>
        <w:tc>
          <w:tcPr>
            <w:tcW w:type="dxa" w:w="2880"/>
          </w:tcPr>
          <w:p>
            <w:r>
              <w:rPr>
                <w:sz w:val="17"/>
              </w:rPr>
            </w:r>
            <w:r>
              <w:rPr>
                <w:sz w:val="17"/>
              </w:rPr>
              <w:t>OP-12 — Waste Generation and Recovery</w:t>
            </w:r>
          </w:p>
        </w:tc>
        <w:tc>
          <w:tcPr>
            <w:tcW w:type="dxa" w:w="2880"/>
          </w:tcPr>
          <w:p>
            <w:r>
              <w:rPr>
                <w:sz w:val="17"/>
              </w:rPr>
            </w:r>
            <w:r>
              <w:rPr>
                <w:sz w:val="17"/>
              </w:rPr>
              <w:t>3,94 / 5</w:t>
            </w:r>
          </w:p>
        </w:tc>
        <w:tc>
          <w:tcPr>
            <w:tcW w:type="dxa" w:w="2880"/>
          </w:tcPr>
          <w:p>
            <w:r>
              <w:rPr>
                <w:sz w:val="17"/>
              </w:rPr>
            </w:r>
            <w:r>
              <w:rPr>
                <w:sz w:val="17"/>
              </w:rPr>
              <w:t>élevé</w:t>
            </w:r>
          </w:p>
        </w:tc>
      </w:tr>
      <w:tr>
        <w:tc>
          <w:tcPr>
            <w:tcW w:type="dxa" w:w="2880"/>
          </w:tcPr>
          <w:p>
            <w:r>
              <w:rPr>
                <w:sz w:val="17"/>
              </w:rPr>
            </w:r>
            <w:r>
              <w:rPr>
                <w:sz w:val="17"/>
              </w:rPr>
              <w:t>OP-11 — Materials Management</w:t>
            </w:r>
          </w:p>
        </w:tc>
        <w:tc>
          <w:tcPr>
            <w:tcW w:type="dxa" w:w="2880"/>
          </w:tcPr>
          <w:p>
            <w:r>
              <w:rPr>
                <w:sz w:val="17"/>
              </w:rPr>
            </w:r>
            <w:r>
              <w:rPr>
                <w:sz w:val="17"/>
              </w:rPr>
              <w:t>2,25 / 4</w:t>
            </w:r>
          </w:p>
        </w:tc>
        <w:tc>
          <w:tcPr>
            <w:tcW w:type="dxa" w:w="2880"/>
          </w:tcPr>
          <w:p>
            <w:r>
              <w:rPr>
                <w:sz w:val="17"/>
              </w:rPr>
            </w:r>
            <w:r>
              <w:rPr>
                <w:sz w:val="17"/>
              </w:rPr>
              <w:t>intermédiaire</w:t>
            </w:r>
          </w:p>
        </w:tc>
      </w:tr>
      <w:tr>
        <w:tc>
          <w:tcPr>
            <w:tcW w:type="dxa" w:w="2880"/>
          </w:tcPr>
          <w:p>
            <w:r>
              <w:rPr>
                <w:sz w:val="17"/>
              </w:rPr>
            </w:r>
            <w:r>
              <w:rPr>
                <w:sz w:val="17"/>
              </w:rPr>
              <w:t>OP-9 — Sustainable Procurement System</w:t>
            </w:r>
          </w:p>
        </w:tc>
        <w:tc>
          <w:tcPr>
            <w:tcW w:type="dxa" w:w="2880"/>
          </w:tcPr>
          <w:p>
            <w:r>
              <w:rPr>
                <w:sz w:val="17"/>
              </w:rPr>
            </w:r>
            <w:r>
              <w:rPr>
                <w:sz w:val="17"/>
              </w:rPr>
              <w:t>2,4 / 7</w:t>
            </w:r>
          </w:p>
        </w:tc>
        <w:tc>
          <w:tcPr>
            <w:tcW w:type="dxa" w:w="2880"/>
          </w:tcPr>
          <w:p>
            <w:r>
              <w:rPr>
                <w:sz w:val="17"/>
              </w:rPr>
            </w:r>
            <w:r>
              <w:rPr>
                <w:sz w:val="17"/>
              </w:rPr>
              <w:t>faible</w:t>
            </w:r>
          </w:p>
        </w:tc>
      </w:tr>
      <w:tr>
        <w:tc>
          <w:tcPr>
            <w:tcW w:type="dxa" w:w="2880"/>
          </w:tcPr>
          <w:p>
            <w:r>
              <w:rPr>
                <w:sz w:val="17"/>
              </w:rPr>
            </w:r>
            <w:r>
              <w:rPr>
                <w:sz w:val="17"/>
              </w:rPr>
              <w:t>OP-10 — Purchased Goods</w:t>
            </w:r>
          </w:p>
        </w:tc>
        <w:tc>
          <w:tcPr>
            <w:tcW w:type="dxa" w:w="2880"/>
          </w:tcPr>
          <w:p>
            <w:r>
              <w:rPr>
                <w:sz w:val="17"/>
              </w:rPr>
            </w:r>
            <w:r>
              <w:rPr>
                <w:sz w:val="17"/>
              </w:rPr>
              <w:t>2,75 / 4</w:t>
            </w:r>
          </w:p>
        </w:tc>
        <w:tc>
          <w:tcPr>
            <w:tcW w:type="dxa" w:w="2880"/>
          </w:tcPr>
          <w:p>
            <w:r>
              <w:rPr>
                <w:sz w:val="17"/>
              </w:rPr>
            </w:r>
            <w:r>
              <w:rPr>
                <w:sz w:val="17"/>
              </w:rPr>
              <w:t>intermédiaire</w:t>
            </w:r>
          </w:p>
        </w:tc>
      </w:tr>
      <w:tr>
        <w:tc>
          <w:tcPr>
            <w:tcW w:type="dxa" w:w="2880"/>
          </w:tcPr>
          <w:p>
            <w:r>
              <w:rPr>
                <w:sz w:val="17"/>
              </w:rPr>
            </w:r>
            <w:r>
              <w:rPr>
                <w:sz w:val="17"/>
              </w:rPr>
              <w:t>OP-1 — Building Design and Construction</w:t>
            </w:r>
          </w:p>
        </w:tc>
        <w:tc>
          <w:tcPr>
            <w:tcW w:type="dxa" w:w="2880"/>
          </w:tcPr>
          <w:p>
            <w:r>
              <w:rPr>
                <w:sz w:val="17"/>
              </w:rPr>
            </w:r>
            <w:r>
              <w:rPr>
                <w:sz w:val="17"/>
              </w:rPr>
              <w:t>1,38 / 3</w:t>
            </w:r>
          </w:p>
        </w:tc>
        <w:tc>
          <w:tcPr>
            <w:tcW w:type="dxa" w:w="2880"/>
          </w:tcPr>
          <w:p>
            <w:r>
              <w:rPr>
                <w:sz w:val="17"/>
              </w:rPr>
            </w:r>
            <w:r>
              <w:rPr>
                <w:sz w:val="17"/>
              </w:rPr>
              <w:t>intermédiaire</w:t>
            </w:r>
          </w:p>
        </w:tc>
      </w:tr>
      <w:tr>
        <w:tc>
          <w:tcPr>
            <w:tcW w:type="dxa" w:w="2880"/>
          </w:tcPr>
          <w:p>
            <w:r>
              <w:rPr>
                <w:sz w:val="17"/>
              </w:rPr>
            </w:r>
            <w:r>
              <w:rPr>
                <w:sz w:val="17"/>
              </w:rPr>
              <w:t>OP-2 — Building Operations and Maintenance</w:t>
            </w:r>
          </w:p>
        </w:tc>
        <w:tc>
          <w:tcPr>
            <w:tcW w:type="dxa" w:w="2880"/>
          </w:tcPr>
          <w:p>
            <w:r>
              <w:rPr>
                <w:sz w:val="17"/>
              </w:rPr>
            </w:r>
            <w:r>
              <w:rPr>
                <w:sz w:val="17"/>
              </w:rPr>
              <w:t>1,97 / 5</w:t>
            </w:r>
          </w:p>
        </w:tc>
        <w:tc>
          <w:tcPr>
            <w:tcW w:type="dxa" w:w="2880"/>
          </w:tcPr>
          <w:p>
            <w:r>
              <w:rPr>
                <w:sz w:val="17"/>
              </w:rPr>
            </w:r>
            <w:r>
              <w:rPr>
                <w:sz w:val="17"/>
              </w:rPr>
              <w:t>faible</w:t>
            </w:r>
          </w:p>
        </w:tc>
      </w:tr>
      <w:tr>
        <w:tc>
          <w:tcPr>
            <w:tcW w:type="dxa" w:w="2880"/>
          </w:tcPr>
          <w:p>
            <w:r>
              <w:rPr>
                <w:sz w:val="17"/>
              </w:rPr>
            </w:r>
            <w:r>
              <w:rPr>
                <w:sz w:val="17"/>
              </w:rPr>
              <w:t>OP-13 — Vehicle Fleet</w:t>
            </w:r>
          </w:p>
        </w:tc>
        <w:tc>
          <w:tcPr>
            <w:tcW w:type="dxa" w:w="2880"/>
          </w:tcPr>
          <w:p>
            <w:r>
              <w:rPr>
                <w:sz w:val="17"/>
              </w:rPr>
            </w:r>
            <w:r>
              <w:rPr>
                <w:sz w:val="17"/>
              </w:rPr>
              <w:t>2 / 2</w:t>
            </w:r>
          </w:p>
        </w:tc>
        <w:tc>
          <w:tcPr>
            <w:tcW w:type="dxa" w:w="2880"/>
          </w:tcPr>
          <w:p>
            <w:r>
              <w:rPr>
                <w:sz w:val="17"/>
              </w:rPr>
            </w:r>
            <w:r>
              <w:rPr>
                <w:sz w:val="17"/>
              </w:rPr>
              <w:t>maximal (tous les points obtenus)</w:t>
            </w:r>
          </w:p>
        </w:tc>
      </w:tr>
      <w:tr>
        <w:tc>
          <w:tcPr>
            <w:tcW w:type="dxa" w:w="2880"/>
          </w:tcPr>
          <w:p>
            <w:r>
              <w:rPr>
                <w:sz w:val="17"/>
              </w:rPr>
            </w:r>
            <w:r>
              <w:rPr>
                <w:sz w:val="17"/>
              </w:rPr>
              <w:t>OP-14 — Commute Modal Split</w:t>
            </w:r>
          </w:p>
        </w:tc>
        <w:tc>
          <w:tcPr>
            <w:tcW w:type="dxa" w:w="2880"/>
          </w:tcPr>
          <w:p>
            <w:r>
              <w:rPr>
                <w:sz w:val="17"/>
              </w:rPr>
            </w:r>
            <w:r>
              <w:rPr>
                <w:sz w:val="17"/>
              </w:rPr>
              <w:t>5,39 / 6</w:t>
            </w:r>
          </w:p>
        </w:tc>
        <w:tc>
          <w:tcPr>
            <w:tcW w:type="dxa" w:w="2880"/>
          </w:tcPr>
          <w:p>
            <w:r>
              <w:rPr>
                <w:sz w:val="17"/>
              </w:rPr>
            </w:r>
            <w:r>
              <w:rPr>
                <w:sz w:val="17"/>
              </w:rPr>
              <w:t>élevé</w:t>
            </w:r>
          </w:p>
        </w:tc>
      </w:tr>
      <w:tr>
        <w:tc>
          <w:tcPr>
            <w:tcW w:type="dxa" w:w="2880"/>
          </w:tcPr>
          <w:p>
            <w:r>
              <w:rPr>
                <w:sz w:val="17"/>
              </w:rPr>
            </w:r>
            <w:r>
              <w:rPr>
                <w:sz w:val="17"/>
              </w:rPr>
              <w:t>OP-15 — Air Travel</w:t>
            </w:r>
          </w:p>
        </w:tc>
        <w:tc>
          <w:tcPr>
            <w:tcW w:type="dxa" w:w="2880"/>
          </w:tcPr>
          <w:p>
            <w:r>
              <w:rPr>
                <w:sz w:val="17"/>
              </w:rPr>
            </w:r>
            <w:r>
              <w:rPr>
                <w:sz w:val="17"/>
              </w:rPr>
              <w:t>0 / 2</w:t>
            </w:r>
          </w:p>
        </w:tc>
        <w:tc>
          <w:tcPr>
            <w:tcW w:type="dxa" w:w="2880"/>
          </w:tcPr>
          <w:p>
            <w:r>
              <w:rPr>
                <w:sz w:val="17"/>
              </w:rPr>
            </w:r>
            <w:r>
              <w:rPr>
                <w:sz w:val="17"/>
              </w:rPr>
              <w:t>nul (aucun point obtenu)</w:t>
            </w:r>
          </w:p>
        </w:tc>
      </w:tr>
      <w:tr>
        <w:tc>
          <w:tcPr>
            <w:tcW w:type="dxa" w:w="2880"/>
          </w:tcPr>
          <w:p>
            <w:r>
              <w:rPr>
                <w:sz w:val="17"/>
              </w:rPr>
            </w:r>
            <w:r>
              <w:rPr>
                <w:sz w:val="17"/>
              </w:rPr>
              <w:t>OP-4 — Ecologically Managed Grounds</w:t>
            </w:r>
          </w:p>
        </w:tc>
        <w:tc>
          <w:tcPr>
            <w:tcW w:type="dxa" w:w="2880"/>
          </w:tcPr>
          <w:p>
            <w:r>
              <w:rPr>
                <w:sz w:val="17"/>
              </w:rPr>
            </w:r>
            <w:r>
              <w:rPr>
                <w:sz w:val="17"/>
              </w:rPr>
              <w:t>0,69 / 5</w:t>
            </w:r>
          </w:p>
        </w:tc>
        <w:tc>
          <w:tcPr>
            <w:tcW w:type="dxa" w:w="2880"/>
          </w:tcPr>
          <w:p>
            <w:r>
              <w:rPr>
                <w:sz w:val="17"/>
              </w:rPr>
            </w:r>
            <w:r>
              <w:rPr>
                <w:sz w:val="17"/>
              </w:rPr>
              <w:t>faible</w:t>
            </w:r>
          </w:p>
        </w:tc>
      </w:tr>
    </w:tbl>
    <w:p/>
    <w:p>
      <w:r>
        <w:rPr>
          <w:i/>
        </w:rPr>
        <w:t>Valeurs insérées par le code depuis la table des faits ; le texte ci-dessous est rédigé par le modèle puis validé.</w:t>
      </w:r>
    </w:p>
    <w:p>
      <w:r>
        <w:t>TU Dublin a mis en place plusieurs initiatives pour réduire son impact environnemental.</w:t>
      </w:r>
    </w:p>
    <w:p>
      <w:pPr>
        <w:pStyle w:val="Heading3"/>
      </w:pPr>
      <w:r>
        <w:rPr>
          <w:color w:val="2F6F5E"/>
        </w:rPr>
        <w:t>Énergie</w:t>
      </w:r>
    </w:p>
    <w:p>
      <w:r>
        <w:t>Des panneaux photovoltaïques sont installés sur le toit de l'atelier d'impression. Leur production d'électricité reste faible, et un projet de géothermie est en cours de développement.</w:t>
      </w:r>
    </w:p>
    <w:p>
      <w:pPr>
        <w:pStyle w:val="Heading3"/>
      </w:pPr>
      <w:r>
        <w:rPr>
          <w:color w:val="2F6F5E"/>
        </w:rPr>
        <w:t>Eau</w:t>
      </w:r>
    </w:p>
    <w:p>
      <w:r>
        <w:t>L'université a mis en place un système de récupération d'eau de pluie sur le toit du Greenway Hub, qui est utilisé pour alimenter les toilettes. La consommation d'eau n'est mesurée bâtiment par bâtiment que pour le Greenway Hub, un bâtiment de recherche équipé de capteurs reliés à son système de gestion technique.</w:t>
      </w:r>
    </w:p>
    <w:p>
      <w:pPr>
        <w:pStyle w:val="Heading3"/>
      </w:pPr>
      <w:r>
        <w:rPr>
          <w:color w:val="2F6F5E"/>
        </w:rPr>
        <w:t>Déchets</w:t>
      </w:r>
    </w:p>
    <w:p>
      <w:r>
        <w:t>Les déchets alimentaires, avant et après consommation, sont déposés dans des bacs à compost bruns fournis par le prestataire de gestion des déchets de l'université.</w:t>
      </w:r>
    </w:p>
    <w:p>
      <w:pPr>
        <w:pStyle w:val="Heading3"/>
      </w:pPr>
      <w:r>
        <w:rPr>
          <w:color w:val="2F6F5E"/>
        </w:rPr>
        <w:t>Véhicules</w:t>
      </w:r>
    </w:p>
    <w:p>
      <w:r>
        <w:t>L'université a remplacé tous ses véhicules diesel par des véhicules électriques, ce qui a contribué à réduire les émissions de gaz à effet de serre.</w:t>
      </w:r>
    </w:p>
    <w:p>
      <w:pPr>
        <w:pStyle w:val="Heading1"/>
      </w:pPr>
      <w:r>
        <w:rPr>
          <w:color w:val="2F6F5E"/>
        </w:rPr>
        <w:t>Performance sociale et économique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Crédit STARS</w:t>
            </w:r>
          </w:p>
        </w:tc>
        <w:tc>
          <w:tcPr>
            <w:tcW w:type="dxa" w:w="2880"/>
          </w:tcPr>
          <w:p>
            <w:r>
              <w:rPr>
                <w:b/>
                <w:sz w:val="17"/>
              </w:rPr>
            </w:r>
            <w:r>
              <w:rPr>
                <w:b/>
                <w:sz w:val="17"/>
              </w:rPr>
              <w:t>Points obtenus</w:t>
            </w:r>
          </w:p>
        </w:tc>
        <w:tc>
          <w:tcPr>
            <w:tcW w:type="dxa" w:w="2880"/>
          </w:tcPr>
          <w:p>
            <w:r>
              <w:rPr>
                <w:b/>
                <w:sz w:val="17"/>
              </w:rPr>
            </w:r>
            <w:r>
              <w:rPr>
                <w:b/>
                <w:sz w:val="17"/>
              </w:rPr>
              <w:t>Niveau</w:t>
            </w:r>
          </w:p>
        </w:tc>
      </w:tr>
      <w:tr>
        <w:tc>
          <w:tcPr>
            <w:tcW w:type="dxa" w:w="2880"/>
          </w:tcPr>
          <w:p>
            <w:r>
              <w:rPr>
                <w:sz w:val="17"/>
              </w:rPr>
            </w:r>
            <w:r>
              <w:rPr>
                <w:sz w:val="17"/>
              </w:rPr>
              <w:t>PA-13 — Pay Equity and Living Wage</w:t>
            </w:r>
          </w:p>
        </w:tc>
        <w:tc>
          <w:tcPr>
            <w:tcW w:type="dxa" w:w="2880"/>
          </w:tcPr>
          <w:p>
            <w:r>
              <w:rPr>
                <w:sz w:val="17"/>
              </w:rPr>
            </w:r>
            <w:r>
              <w:rPr>
                <w:sz w:val="17"/>
              </w:rPr>
              <w:t>4,8 / 5</w:t>
            </w:r>
          </w:p>
        </w:tc>
        <w:tc>
          <w:tcPr>
            <w:tcW w:type="dxa" w:w="2880"/>
          </w:tcPr>
          <w:p>
            <w:r>
              <w:rPr>
                <w:sz w:val="17"/>
              </w:rPr>
            </w:r>
            <w:r>
              <w:rPr>
                <w:sz w:val="17"/>
              </w:rPr>
              <w:t>élevé</w:t>
            </w:r>
          </w:p>
        </w:tc>
      </w:tr>
      <w:tr>
        <w:tc>
          <w:tcPr>
            <w:tcW w:type="dxa" w:w="2880"/>
          </w:tcPr>
          <w:p>
            <w:r>
              <w:rPr>
                <w:sz w:val="17"/>
              </w:rPr>
            </w:r>
            <w:r>
              <w:rPr>
                <w:sz w:val="17"/>
              </w:rPr>
              <w:t>PA-12 — Employee Rights</w:t>
            </w:r>
          </w:p>
        </w:tc>
        <w:tc>
          <w:tcPr>
            <w:tcW w:type="dxa" w:w="2880"/>
          </w:tcPr>
          <w:p>
            <w:r>
              <w:rPr>
                <w:sz w:val="17"/>
              </w:rPr>
            </w:r>
            <w:r>
              <w:rPr>
                <w:sz w:val="17"/>
              </w:rPr>
              <w:t>3 / 3</w:t>
            </w:r>
          </w:p>
        </w:tc>
        <w:tc>
          <w:tcPr>
            <w:tcW w:type="dxa" w:w="2880"/>
          </w:tcPr>
          <w:p>
            <w:r>
              <w:rPr>
                <w:sz w:val="17"/>
              </w:rPr>
            </w:r>
            <w:r>
              <w:rPr>
                <w:sz w:val="17"/>
              </w:rPr>
              <w:t>maximal (tous les points obtenus)</w:t>
            </w:r>
          </w:p>
        </w:tc>
      </w:tr>
      <w:tr>
        <w:tc>
          <w:tcPr>
            <w:tcW w:type="dxa" w:w="2880"/>
          </w:tcPr>
          <w:p>
            <w:r>
              <w:rPr>
                <w:sz w:val="17"/>
              </w:rPr>
            </w:r>
            <w:r>
              <w:rPr>
                <w:sz w:val="17"/>
              </w:rPr>
              <w:t>PA-11 — Health, Safety and Wellbeing</w:t>
            </w:r>
          </w:p>
        </w:tc>
        <w:tc>
          <w:tcPr>
            <w:tcW w:type="dxa" w:w="2880"/>
          </w:tcPr>
          <w:p>
            <w:r>
              <w:rPr>
                <w:sz w:val="17"/>
              </w:rPr>
            </w:r>
            <w:r>
              <w:rPr>
                <w:sz w:val="17"/>
              </w:rPr>
              <w:t>3 / 3</w:t>
            </w:r>
          </w:p>
        </w:tc>
        <w:tc>
          <w:tcPr>
            <w:tcW w:type="dxa" w:w="2880"/>
          </w:tcPr>
          <w:p>
            <w:r>
              <w:rPr>
                <w:sz w:val="17"/>
              </w:rPr>
            </w:r>
            <w:r>
              <w:rPr>
                <w:sz w:val="17"/>
              </w:rPr>
              <w:t>maximal (tous les points obtenus)</w:t>
            </w:r>
          </w:p>
        </w:tc>
      </w:tr>
      <w:tr>
        <w:tc>
          <w:tcPr>
            <w:tcW w:type="dxa" w:w="2880"/>
          </w:tcPr>
          <w:p>
            <w:r>
              <w:rPr>
                <w:sz w:val="17"/>
              </w:rPr>
            </w:r>
            <w:r>
              <w:rPr>
                <w:sz w:val="17"/>
              </w:rPr>
              <w:t>PA-8 — Gender Parity</w:t>
            </w:r>
          </w:p>
        </w:tc>
        <w:tc>
          <w:tcPr>
            <w:tcW w:type="dxa" w:w="2880"/>
          </w:tcPr>
          <w:p>
            <w:r>
              <w:rPr>
                <w:sz w:val="17"/>
              </w:rPr>
            </w:r>
            <w:r>
              <w:rPr>
                <w:sz w:val="17"/>
              </w:rPr>
              <w:t>0,33 / 2</w:t>
            </w:r>
          </w:p>
        </w:tc>
        <w:tc>
          <w:tcPr>
            <w:tcW w:type="dxa" w:w="2880"/>
          </w:tcPr>
          <w:p>
            <w:r>
              <w:rPr>
                <w:sz w:val="17"/>
              </w:rPr>
            </w:r>
            <w:r>
              <w:rPr>
                <w:sz w:val="17"/>
              </w:rPr>
              <w:t>faible</w:t>
            </w:r>
          </w:p>
        </w:tc>
      </w:tr>
      <w:tr>
        <w:tc>
          <w:tcPr>
            <w:tcW w:type="dxa" w:w="2880"/>
          </w:tcPr>
          <w:p>
            <w:r>
              <w:rPr>
                <w:sz w:val="17"/>
              </w:rPr>
            </w:r>
            <w:r>
              <w:rPr>
                <w:sz w:val="17"/>
              </w:rPr>
              <w:t>PA-7 — Racial and Ethnic Representation</w:t>
            </w:r>
          </w:p>
        </w:tc>
        <w:tc>
          <w:tcPr>
            <w:tcW w:type="dxa" w:w="2880"/>
          </w:tcPr>
          <w:p>
            <w:r>
              <w:rPr>
                <w:sz w:val="17"/>
              </w:rPr>
            </w:r>
            <w:r>
              <w:rPr>
                <w:sz w:val="17"/>
              </w:rPr>
              <w:t>0,86 / 3</w:t>
            </w:r>
          </w:p>
        </w:tc>
        <w:tc>
          <w:tcPr>
            <w:tcW w:type="dxa" w:w="2880"/>
          </w:tcPr>
          <w:p>
            <w:r>
              <w:rPr>
                <w:sz w:val="17"/>
              </w:rPr>
            </w:r>
            <w:r>
              <w:rPr>
                <w:sz w:val="17"/>
              </w:rPr>
              <w:t>faible</w:t>
            </w:r>
          </w:p>
        </w:tc>
      </w:tr>
      <w:tr>
        <w:tc>
          <w:tcPr>
            <w:tcW w:type="dxa" w:w="2880"/>
          </w:tcPr>
          <w:p>
            <w:r>
              <w:rPr>
                <w:sz w:val="17"/>
              </w:rPr>
            </w:r>
            <w:r>
              <w:rPr>
                <w:sz w:val="17"/>
              </w:rPr>
              <w:t>PA-9 — Affordability and Access</w:t>
            </w:r>
          </w:p>
        </w:tc>
        <w:tc>
          <w:tcPr>
            <w:tcW w:type="dxa" w:w="2880"/>
          </w:tcPr>
          <w:p>
            <w:r>
              <w:rPr>
                <w:sz w:val="17"/>
              </w:rPr>
            </w:r>
            <w:r>
              <w:rPr>
                <w:sz w:val="17"/>
              </w:rPr>
              <w:t>2,5 / 3</w:t>
            </w:r>
          </w:p>
        </w:tc>
        <w:tc>
          <w:tcPr>
            <w:tcW w:type="dxa" w:w="2880"/>
          </w:tcPr>
          <w:p>
            <w:r>
              <w:rPr>
                <w:sz w:val="17"/>
              </w:rPr>
            </w:r>
            <w:r>
              <w:rPr>
                <w:sz w:val="17"/>
              </w:rPr>
              <w:t>élevé</w:t>
            </w:r>
          </w:p>
        </w:tc>
      </w:tr>
      <w:tr>
        <w:tc>
          <w:tcPr>
            <w:tcW w:type="dxa" w:w="2880"/>
          </w:tcPr>
          <w:p>
            <w:r>
              <w:rPr>
                <w:sz w:val="17"/>
              </w:rPr>
            </w:r>
            <w:r>
              <w:rPr>
                <w:sz w:val="17"/>
              </w:rPr>
              <w:t>PA-6 — Institutional Climate</w:t>
            </w:r>
          </w:p>
        </w:tc>
        <w:tc>
          <w:tcPr>
            <w:tcW w:type="dxa" w:w="2880"/>
          </w:tcPr>
          <w:p>
            <w:r>
              <w:rPr>
                <w:sz w:val="17"/>
              </w:rPr>
            </w:r>
            <w:r>
              <w:rPr>
                <w:sz w:val="17"/>
              </w:rPr>
              <w:t>3 / 3</w:t>
            </w:r>
          </w:p>
        </w:tc>
        <w:tc>
          <w:tcPr>
            <w:tcW w:type="dxa" w:w="2880"/>
          </w:tcPr>
          <w:p>
            <w:r>
              <w:rPr>
                <w:sz w:val="17"/>
              </w:rPr>
            </w:r>
            <w:r>
              <w:rPr>
                <w:sz w:val="17"/>
              </w:rPr>
              <w:t>maximal (tous les points obtenus)</w:t>
            </w:r>
          </w:p>
        </w:tc>
      </w:tr>
      <w:tr>
        <w:tc>
          <w:tcPr>
            <w:tcW w:type="dxa" w:w="2880"/>
          </w:tcPr>
          <w:p>
            <w:r>
              <w:rPr>
                <w:sz w:val="17"/>
              </w:rPr>
            </w:r>
            <w:r>
              <w:rPr>
                <w:sz w:val="17"/>
              </w:rPr>
              <w:t>PA-10 — Student Success</w:t>
            </w:r>
          </w:p>
        </w:tc>
        <w:tc>
          <w:tcPr>
            <w:tcW w:type="dxa" w:w="2880"/>
          </w:tcPr>
          <w:p>
            <w:r>
              <w:rPr>
                <w:sz w:val="17"/>
              </w:rPr>
            </w:r>
            <w:r>
              <w:rPr>
                <w:sz w:val="17"/>
              </w:rPr>
              <w:t>2,91 / 3</w:t>
            </w:r>
          </w:p>
        </w:tc>
        <w:tc>
          <w:tcPr>
            <w:tcW w:type="dxa" w:w="2880"/>
          </w:tcPr>
          <w:p>
            <w:r>
              <w:rPr>
                <w:sz w:val="17"/>
              </w:rPr>
            </w:r>
            <w:r>
              <w:rPr>
                <w:sz w:val="17"/>
              </w:rPr>
              <w:t>élevé</w:t>
            </w:r>
          </w:p>
        </w:tc>
      </w:tr>
    </w:tbl>
    <w:p/>
    <w:p>
      <w:r>
        <w:rPr>
          <w:i/>
        </w:rPr>
        <w:t>Valeurs insérées par le code depuis la table des faits ; le texte ci-dessous est rédigé par le modèle puis validé.</w:t>
      </w:r>
    </w:p>
    <w:p>
      <w:pPr>
        <w:pStyle w:val="Heading3"/>
      </w:pPr>
      <w:r>
        <w:rPr>
          <w:color w:val="2F6F5E"/>
        </w:rPr>
        <w:t>Équité salariale et salaire décent</w:t>
      </w:r>
    </w:p>
    <w:p>
      <w:r>
        <w:t>TU Dublin vérifie régulièrement la conformité de ses sous-traitants avec la National Minimum Wage Act 2000 et la Payment of Wages Act 1991, qui imposent aux employeurs de payer un salaire minimum et de fournir tous les avantages statutaires. La TU Dublin estime que tout le monde a le droit à un salaire équitable et attend que tous ses fournisseurs paient à leurs employés au moins le salaire minimum, ou une représentation juste du salaire moyen de l'industrie (ce qui est le plus élevé), et leur fournissent tous les avantages statutaires.</w:t>
      </w:r>
    </w:p>
    <w:p>
      <w:r>
        <w:t>La TU Dublin a identifié des sous-traitants importants, notamment ceux fournissant des services de restauration, de nettoyage, de maintenance, de jardinage, de services professionnels, de transport et de vente. Tous les sous-traitants paient un salaire décent à leurs employés.</w:t>
      </w:r>
    </w:p>
    <w:p>
      <w:r>
        <w:t>Les salaires des employés de la TU Dublin sont fixés en fonction des politiques de rémunération et de conditions du secteur public, établies et mises à jour périodiquement par le gouvernement.</w:t>
      </w:r>
    </w:p>
    <w:p>
      <w:r>
        <w:t>(GRI 202-1)</w:t>
      </w:r>
    </w:p>
    <w:p>
      <w:pPr>
        <w:pStyle w:val="Heading3"/>
      </w:pPr>
      <w:r>
        <w:rPr>
          <w:color w:val="2F6F5E"/>
        </w:rPr>
        <w:t>Santé, sécurité et bien-être</w:t>
      </w:r>
    </w:p>
    <w:p>
      <w:r>
        <w:t>En vertu de la politique du gouvernement irlandais de « Tobacco Free Ireland », la TU Dublin a introduit une zone sans fumée sur le campus en septembre 2020.</w:t>
      </w:r>
    </w:p>
    <w:p>
      <w:r>
        <w:t>(GRI 403-1)</w:t>
      </w:r>
    </w:p>
    <w:p>
      <w:pPr>
        <w:pStyle w:val="Heading3"/>
      </w:pPr>
      <w:r>
        <w:rPr>
          <w:color w:val="2F6F5E"/>
        </w:rPr>
        <w:t>Accessibilité financière et accès</w:t>
      </w:r>
    </w:p>
    <w:p>
      <w:r>
        <w:t>La TU Dublin a mis en place des fonds d'aide aux étudiants (Student Assistance Fund) et le Fonds de bourse, qui visent les étudiants issus de milieux défavorisés ou sous-représentés.</w:t>
      </w:r>
    </w:p>
    <w:p>
      <w:pPr>
        <w:pStyle w:val="Heading3"/>
      </w:pPr>
      <w:r>
        <w:rPr>
          <w:color w:val="2F6F5E"/>
        </w:rPr>
        <w:t>Climat institutionnel (inclusion)</w:t>
      </w:r>
    </w:p>
    <w:p>
      <w:r>
        <w:t>L'office de l'égalité, de la diversité et de l'inclusion (EDI) de la TU Dublin comprend plusieurs initiatives. L'université soutient les employés qui se déclarent membres de groupes raciaux, ethniques et/ou autochtones marginalisés, par exemple :</w:t>
      </w:r>
    </w:p>
    <w:p>
      <w:pPr>
        <w:pStyle w:val="ListBullet"/>
      </w:pPr>
      <w:r>
        <w:t>L'office de l'EDI soutient les employés de plusieurs groupes sous-représentés.</w:t>
      </w:r>
    </w:p>
    <w:p>
      <w:pPr>
        <w:pStyle w:val="ListBullet"/>
      </w:pPr>
      <w:r>
        <w:t>La direction de l'EDI mène des efforts pour intégrer l'antiracisme dans tous les programmes, en fournissant des ressources, des formations et un soutien aux employés et étudiants.</w:t>
      </w:r>
    </w:p>
    <w:p>
      <w:pPr>
        <w:pStyle w:val="ListBullet"/>
      </w:pPr>
      <w:r>
        <w:t>Le programme de développement communautaire et de travail avec les jeunes (CDYW) inclut des ateliers de formation sur l'antiracisme.</w:t>
      </w:r>
    </w:p>
    <w:p>
      <w:pPr>
        <w:pStyle w:val="Heading1"/>
      </w:pPr>
      <w:r>
        <w:rPr>
          <w:color w:val="2F6F5E"/>
        </w:rPr>
        <w:t>Enseignement, recherche et engagement (hors GRI)</w:t>
      </w:r>
    </w:p>
    <w:p>
      <w:pPr>
        <w:pStyle w:val="IntenseQuote"/>
      </w:pPr>
      <w:r>
        <w:t>Ces crédits STARS n'ont aucun équivalent dans les normes GRI, conçues pour des organisations qui n'enseignent pas. C'est un écart structurel entre les deux référentiels, et l'une des contributions de ce rapport : il montre ce qu'une université peut déclarer et que GRI ne demande pas.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Crédit STARS</w:t>
            </w:r>
          </w:p>
        </w:tc>
        <w:tc>
          <w:tcPr>
            <w:tcW w:type="dxa" w:w="2880"/>
          </w:tcPr>
          <w:p>
            <w:r>
              <w:rPr>
                <w:b/>
                <w:sz w:val="17"/>
              </w:rPr>
            </w:r>
            <w:r>
              <w:rPr>
                <w:b/>
                <w:sz w:val="17"/>
              </w:rPr>
              <w:t>Points obtenus</w:t>
            </w:r>
          </w:p>
        </w:tc>
        <w:tc>
          <w:tcPr>
            <w:tcW w:type="dxa" w:w="2880"/>
          </w:tcPr>
          <w:p>
            <w:r>
              <w:rPr>
                <w:b/>
                <w:sz w:val="17"/>
              </w:rPr>
            </w:r>
            <w:r>
              <w:rPr>
                <w:b/>
                <w:sz w:val="17"/>
              </w:rPr>
              <w:t>Niveau</w:t>
            </w:r>
          </w:p>
        </w:tc>
      </w:tr>
      <w:tr>
        <w:tc>
          <w:tcPr>
            <w:tcW w:type="dxa" w:w="2880"/>
          </w:tcPr>
          <w:p>
            <w:r>
              <w:rPr>
                <w:sz w:val="17"/>
              </w:rPr>
            </w:r>
            <w:r>
              <w:rPr>
                <w:sz w:val="17"/>
              </w:rPr>
              <w:t>AC-1 — Sustainability Course Offerings</w:t>
            </w:r>
          </w:p>
        </w:tc>
        <w:tc>
          <w:tcPr>
            <w:tcW w:type="dxa" w:w="2880"/>
          </w:tcPr>
          <w:p>
            <w:r>
              <w:rPr>
                <w:sz w:val="17"/>
              </w:rPr>
            </w:r>
            <w:r>
              <w:rPr>
                <w:sz w:val="17"/>
              </w:rPr>
              <w:t>14 / 14</w:t>
            </w:r>
          </w:p>
        </w:tc>
        <w:tc>
          <w:tcPr>
            <w:tcW w:type="dxa" w:w="2880"/>
          </w:tcPr>
          <w:p>
            <w:r>
              <w:rPr>
                <w:sz w:val="17"/>
              </w:rPr>
            </w:r>
            <w:r>
              <w:rPr>
                <w:sz w:val="17"/>
              </w:rPr>
              <w:t>maximal (tous les points obtenus)</w:t>
            </w:r>
          </w:p>
        </w:tc>
      </w:tr>
      <w:tr>
        <w:tc>
          <w:tcPr>
            <w:tcW w:type="dxa" w:w="2880"/>
          </w:tcPr>
          <w:p>
            <w:r>
              <w:rPr>
                <w:sz w:val="17"/>
              </w:rPr>
            </w:r>
            <w:r>
              <w:rPr>
                <w:sz w:val="17"/>
              </w:rPr>
              <w:t>AC-2 — Undergraduate Programs</w:t>
            </w:r>
          </w:p>
        </w:tc>
        <w:tc>
          <w:tcPr>
            <w:tcW w:type="dxa" w:w="2880"/>
          </w:tcPr>
          <w:p>
            <w:r>
              <w:rPr>
                <w:sz w:val="17"/>
              </w:rPr>
            </w:r>
            <w:r>
              <w:rPr>
                <w:sz w:val="17"/>
              </w:rPr>
              <w:t>13,28 / 15</w:t>
            </w:r>
          </w:p>
        </w:tc>
        <w:tc>
          <w:tcPr>
            <w:tcW w:type="dxa" w:w="2880"/>
          </w:tcPr>
          <w:p>
            <w:r>
              <w:rPr>
                <w:sz w:val="17"/>
              </w:rPr>
            </w:r>
            <w:r>
              <w:rPr>
                <w:sz w:val="17"/>
              </w:rPr>
              <w:t>élevé</w:t>
            </w:r>
          </w:p>
        </w:tc>
      </w:tr>
      <w:tr>
        <w:tc>
          <w:tcPr>
            <w:tcW w:type="dxa" w:w="2880"/>
          </w:tcPr>
          <w:p>
            <w:r>
              <w:rPr>
                <w:sz w:val="17"/>
              </w:rPr>
            </w:r>
            <w:r>
              <w:rPr>
                <w:sz w:val="17"/>
              </w:rPr>
              <w:t>AC-3 — Graduate Programs</w:t>
            </w:r>
          </w:p>
        </w:tc>
        <w:tc>
          <w:tcPr>
            <w:tcW w:type="dxa" w:w="2880"/>
          </w:tcPr>
          <w:p>
            <w:r>
              <w:rPr>
                <w:sz w:val="17"/>
              </w:rPr>
            </w:r>
            <w:r>
              <w:rPr>
                <w:sz w:val="17"/>
              </w:rPr>
              <w:t>8 / 8</w:t>
            </w:r>
          </w:p>
        </w:tc>
        <w:tc>
          <w:tcPr>
            <w:tcW w:type="dxa" w:w="2880"/>
          </w:tcPr>
          <w:p>
            <w:r>
              <w:rPr>
                <w:sz w:val="17"/>
              </w:rPr>
            </w:r>
            <w:r>
              <w:rPr>
                <w:sz w:val="17"/>
              </w:rPr>
              <w:t>maximal (tous les points obtenus)</w:t>
            </w:r>
          </w:p>
        </w:tc>
      </w:tr>
      <w:tr>
        <w:tc>
          <w:tcPr>
            <w:tcW w:type="dxa" w:w="2880"/>
          </w:tcPr>
          <w:p>
            <w:r>
              <w:rPr>
                <w:sz w:val="17"/>
              </w:rPr>
            </w:r>
            <w:r>
              <w:rPr>
                <w:sz w:val="17"/>
              </w:rPr>
              <w:t>AC-6 — Sustainability Research</w:t>
            </w:r>
          </w:p>
        </w:tc>
        <w:tc>
          <w:tcPr>
            <w:tcW w:type="dxa" w:w="2880"/>
          </w:tcPr>
          <w:p>
            <w:r>
              <w:rPr>
                <w:sz w:val="17"/>
              </w:rPr>
            </w:r>
            <w:r>
              <w:rPr>
                <w:sz w:val="17"/>
              </w:rPr>
              <w:t>10 / 10</w:t>
            </w:r>
          </w:p>
        </w:tc>
        <w:tc>
          <w:tcPr>
            <w:tcW w:type="dxa" w:w="2880"/>
          </w:tcPr>
          <w:p>
            <w:r>
              <w:rPr>
                <w:sz w:val="17"/>
              </w:rPr>
            </w:r>
            <w:r>
              <w:rPr>
                <w:sz w:val="17"/>
              </w:rPr>
              <w:t>maximal (tous les points obtenus)</w:t>
            </w:r>
          </w:p>
        </w:tc>
      </w:tr>
      <w:tr>
        <w:tc>
          <w:tcPr>
            <w:tcW w:type="dxa" w:w="2880"/>
          </w:tcPr>
          <w:p>
            <w:r>
              <w:rPr>
                <w:sz w:val="17"/>
              </w:rPr>
            </w:r>
            <w:r>
              <w:rPr>
                <w:sz w:val="17"/>
              </w:rPr>
              <w:t>AC-7 — Center for Sustainability Research</w:t>
            </w:r>
          </w:p>
        </w:tc>
        <w:tc>
          <w:tcPr>
            <w:tcW w:type="dxa" w:w="2880"/>
          </w:tcPr>
          <w:p>
            <w:r>
              <w:rPr>
                <w:sz w:val="17"/>
              </w:rPr>
            </w:r>
            <w:r>
              <w:rPr>
                <w:sz w:val="17"/>
              </w:rPr>
              <w:t>6 / 6</w:t>
            </w:r>
          </w:p>
        </w:tc>
        <w:tc>
          <w:tcPr>
            <w:tcW w:type="dxa" w:w="2880"/>
          </w:tcPr>
          <w:p>
            <w:r>
              <w:rPr>
                <w:sz w:val="17"/>
              </w:rPr>
            </w:r>
            <w:r>
              <w:rPr>
                <w:sz w:val="17"/>
              </w:rPr>
              <w:t>maximal (tous les points obtenus)</w:t>
            </w:r>
          </w:p>
        </w:tc>
      </w:tr>
      <w:tr>
        <w:tc>
          <w:tcPr>
            <w:tcW w:type="dxa" w:w="2880"/>
          </w:tcPr>
          <w:p>
            <w:r>
              <w:rPr>
                <w:sz w:val="17"/>
              </w:rPr>
            </w:r>
            <w:r>
              <w:rPr>
                <w:sz w:val="17"/>
              </w:rPr>
              <w:t>EN-1 — Outreach and Communications</w:t>
            </w:r>
          </w:p>
        </w:tc>
        <w:tc>
          <w:tcPr>
            <w:tcW w:type="dxa" w:w="2880"/>
          </w:tcPr>
          <w:p>
            <w:r>
              <w:rPr>
                <w:sz w:val="17"/>
              </w:rPr>
            </w:r>
            <w:r>
              <w:rPr>
                <w:sz w:val="17"/>
              </w:rPr>
              <w:t>5 / 5</w:t>
            </w:r>
          </w:p>
        </w:tc>
        <w:tc>
          <w:tcPr>
            <w:tcW w:type="dxa" w:w="2880"/>
          </w:tcPr>
          <w:p>
            <w:r>
              <w:rPr>
                <w:sz w:val="17"/>
              </w:rPr>
            </w:r>
            <w:r>
              <w:rPr>
                <w:sz w:val="17"/>
              </w:rPr>
              <w:t>maximal (tous les points obtenus)</w:t>
            </w:r>
          </w:p>
        </w:tc>
      </w:tr>
      <w:tr>
        <w:tc>
          <w:tcPr>
            <w:tcW w:type="dxa" w:w="2880"/>
          </w:tcPr>
          <w:p>
            <w:r>
              <w:rPr>
                <w:sz w:val="17"/>
              </w:rPr>
            </w:r>
            <w:r>
              <w:rPr>
                <w:sz w:val="17"/>
              </w:rPr>
              <w:t>EN-2 — Co-Curricular Activities</w:t>
            </w:r>
          </w:p>
        </w:tc>
        <w:tc>
          <w:tcPr>
            <w:tcW w:type="dxa" w:w="2880"/>
          </w:tcPr>
          <w:p>
            <w:r>
              <w:rPr>
                <w:sz w:val="17"/>
              </w:rPr>
            </w:r>
            <w:r>
              <w:rPr>
                <w:sz w:val="17"/>
              </w:rPr>
              <w:t>9 / 9</w:t>
            </w:r>
          </w:p>
        </w:tc>
        <w:tc>
          <w:tcPr>
            <w:tcW w:type="dxa" w:w="2880"/>
          </w:tcPr>
          <w:p>
            <w:r>
              <w:rPr>
                <w:sz w:val="17"/>
              </w:rPr>
            </w:r>
            <w:r>
              <w:rPr>
                <w:sz w:val="17"/>
              </w:rPr>
              <w:t>maximal (tous les points obtenus)</w:t>
            </w:r>
          </w:p>
        </w:tc>
      </w:tr>
      <w:tr>
        <w:tc>
          <w:tcPr>
            <w:tcW w:type="dxa" w:w="2880"/>
          </w:tcPr>
          <w:p>
            <w:r>
              <w:rPr>
                <w:sz w:val="17"/>
              </w:rPr>
            </w:r>
            <w:r>
              <w:rPr>
                <w:sz w:val="17"/>
              </w:rPr>
              <w:t>EN-3 — Staff Engagement and Training</w:t>
            </w:r>
          </w:p>
        </w:tc>
        <w:tc>
          <w:tcPr>
            <w:tcW w:type="dxa" w:w="2880"/>
          </w:tcPr>
          <w:p>
            <w:r>
              <w:rPr>
                <w:sz w:val="17"/>
              </w:rPr>
            </w:r>
            <w:r>
              <w:rPr>
                <w:sz w:val="17"/>
              </w:rPr>
              <w:t>8 / 8</w:t>
            </w:r>
          </w:p>
        </w:tc>
        <w:tc>
          <w:tcPr>
            <w:tcW w:type="dxa" w:w="2880"/>
          </w:tcPr>
          <w:p>
            <w:r>
              <w:rPr>
                <w:sz w:val="17"/>
              </w:rPr>
            </w:r>
            <w:r>
              <w:rPr>
                <w:sz w:val="17"/>
              </w:rPr>
              <w:t>maximal (tous les points obtenus)</w:t>
            </w:r>
          </w:p>
        </w:tc>
      </w:tr>
      <w:tr>
        <w:tc>
          <w:tcPr>
            <w:tcW w:type="dxa" w:w="2880"/>
          </w:tcPr>
          <w:p>
            <w:r>
              <w:rPr>
                <w:sz w:val="17"/>
              </w:rPr>
            </w:r>
            <w:r>
              <w:rPr>
                <w:sz w:val="17"/>
              </w:rPr>
              <w:t>EN-5 — Civic Engagement</w:t>
            </w:r>
          </w:p>
        </w:tc>
        <w:tc>
          <w:tcPr>
            <w:tcW w:type="dxa" w:w="2880"/>
          </w:tcPr>
          <w:p>
            <w:r>
              <w:rPr>
                <w:sz w:val="17"/>
              </w:rPr>
            </w:r>
            <w:r>
              <w:rPr>
                <w:sz w:val="17"/>
              </w:rPr>
              <w:t>4,5 / 8</w:t>
            </w:r>
          </w:p>
        </w:tc>
        <w:tc>
          <w:tcPr>
            <w:tcW w:type="dxa" w:w="2880"/>
          </w:tcPr>
          <w:p>
            <w:r>
              <w:rPr>
                <w:sz w:val="17"/>
              </w:rPr>
            </w:r>
            <w:r>
              <w:rPr>
                <w:sz w:val="17"/>
              </w:rPr>
              <w:t>intermédiaire</w:t>
            </w:r>
          </w:p>
        </w:tc>
      </w:tr>
      <w:tr>
        <w:tc>
          <w:tcPr>
            <w:tcW w:type="dxa" w:w="2880"/>
          </w:tcPr>
          <w:p>
            <w:r>
              <w:rPr>
                <w:sz w:val="17"/>
              </w:rPr>
            </w:r>
            <w:r>
              <w:rPr>
                <w:sz w:val="17"/>
              </w:rPr>
              <w:t>EN-7 — Continuing Education</w:t>
            </w:r>
          </w:p>
        </w:tc>
        <w:tc>
          <w:tcPr>
            <w:tcW w:type="dxa" w:w="2880"/>
          </w:tcPr>
          <w:p>
            <w:r>
              <w:rPr>
                <w:sz w:val="17"/>
              </w:rPr>
            </w:r>
            <w:r>
              <w:rPr>
                <w:sz w:val="17"/>
              </w:rPr>
              <w:t>3 / 3</w:t>
            </w:r>
          </w:p>
        </w:tc>
        <w:tc>
          <w:tcPr>
            <w:tcW w:type="dxa" w:w="2880"/>
          </w:tcPr>
          <w:p>
            <w:r>
              <w:rPr>
                <w:sz w:val="17"/>
              </w:rPr>
            </w:r>
            <w:r>
              <w:rPr>
                <w:sz w:val="17"/>
              </w:rPr>
              <w:t>maximal (tous les points obtenus)</w:t>
            </w:r>
          </w:p>
        </w:tc>
      </w:tr>
    </w:tbl>
    <w:p/>
    <w:p>
      <w:r>
        <w:rPr>
          <w:i/>
        </w:rPr>
        <w:t>Valeurs insérées par le code depuis la table des faits ; le texte ci-dessous est rédigé par le modèle puis validé.</w:t>
      </w:r>
    </w:p>
    <w:p>
      <w:pPr>
        <w:pStyle w:val="Heading3"/>
      </w:pPr>
      <w:r>
        <w:rPr>
          <w:color w:val="2F6F5E"/>
        </w:rPr>
        <w:t>Offre de cours en durabilité</w:t>
      </w:r>
    </w:p>
    <w:p>
      <w:r>
        <w:t>L'université obtient 14 points STARS sur 14 au crédit AC-1, niveau maximal. Cette note reflète la qualité de l'offre de cours en durabilité de l'université, qui comprend des projets tels que l'intégration de problèmes liés aux objectifs de développement durable dans l'éducation mathématique et l'étude des effets de l'expérience de stage orientée vers la durabilité sur la mentalité des étudiants.</w:t>
      </w:r>
    </w:p>
    <w:p>
      <w:pPr>
        <w:pStyle w:val="Heading3"/>
      </w:pPr>
      <w:r>
        <w:rPr>
          <w:color w:val="2F6F5E"/>
        </w:rPr>
        <w:t>Programmes de premier cycle</w:t>
      </w:r>
    </w:p>
    <w:p>
      <w:r>
        <w:t>L'université obtient 13,28 points STARS sur 15 au crédit AC-2, niveau élevé. Cette note reflète la qualité des programmes de premier cycle de l'université, qui incluent des modules axés sur la durabilité et des modules inclusifs qui prennent en compte les préoccupations environnementales.</w:t>
      </w:r>
    </w:p>
    <w:p>
      <w:pPr>
        <w:pStyle w:val="Heading3"/>
      </w:pPr>
      <w:r>
        <w:rPr>
          <w:color w:val="2F6F5E"/>
        </w:rPr>
        <w:t>Recherche en durabilité</w:t>
      </w:r>
    </w:p>
    <w:p>
      <w:r>
        <w:t>L'université obtient 10 points STARS sur 10 au crédit AC-6, niveau maximal. Cette note reflète la qualité de la recherche en durabilité de l'université, qui comprend des projets tels que la création de programmes de recherche accélérés et l'engagement de chercheurs pour travailler sur des aspects liés à la durabilité.</w:t>
      </w:r>
    </w:p>
    <w:p>
      <w:pPr>
        <w:pStyle w:val="Heading3"/>
      </w:pPr>
      <w:r>
        <w:rPr>
          <w:color w:val="2F6F5E"/>
        </w:rPr>
        <w:t>Centre de recherche en durabilité</w:t>
      </w:r>
    </w:p>
    <w:p>
      <w:r>
        <w:t>L'université obtient 6 points STARS sur 6 au crédit AC-7, niveau maximal. Cette note reflète la qualité du centre de recherche en durabilité de l'université, qui est un lieu de recherche et de développement axé sur la durabilité.</w:t>
      </w:r>
    </w:p>
    <w:p>
      <w:pPr>
        <w:pStyle w:val="Heading3"/>
      </w:pPr>
      <w:r>
        <w:rPr>
          <w:color w:val="2F6F5E"/>
        </w:rPr>
        <w:t>Communication et sensibilisation</w:t>
      </w:r>
    </w:p>
    <w:p>
      <w:r>
        <w:t>L'université obtient 5 points STARS sur 5 au crédit EN-1, niveau maximal. Cette note reflète la qualité de la communication et de la sensibilisation de l'université, qui comprend des outils de visualisation et des applications Web pour comprendre et mesurer le niveau de durabilité et les impacts associés aux modules enseignés, aux résultats de recherche et aux sites Web.</w:t>
      </w:r>
    </w:p>
    <w:p>
      <w:pPr>
        <w:pStyle w:val="Heading3"/>
      </w:pPr>
      <w:r>
        <w:rPr>
          <w:color w:val="2F6F5E"/>
        </w:rPr>
        <w:t>Activités parascolaires</w:t>
      </w:r>
    </w:p>
    <w:p>
      <w:r>
        <w:t>L'université obtient 9 points STARS sur 9 au crédit EN-2, niveau maximal. Cette note reflète la qualité des activités parascolaires de l'université, qui incluent des sociétés étudiantes actives en durabilité et en justice sociale (Environment and Planning Society, St Vincent de Paul Society), des étudiants ambassadeurs de l'éducation à la durabilité et des projets de bénévolat créés par les étudiants.</w:t>
      </w:r>
    </w:p>
    <w:p>
      <w:pPr>
        <w:pStyle w:val="Heading3"/>
      </w:pPr>
      <w:r>
        <w:rPr>
          <w:color w:val="2F6F5E"/>
        </w:rPr>
        <w:t>Engagement et formation du personnel</w:t>
      </w:r>
    </w:p>
    <w:p>
      <w:r>
        <w:t>L'université obtient 8 points STARS sur 8 au crédit EN-3, niveau maximal. Cette note reflète la qualité de l'engagement et de la formation du personnel de l'université, qui comprend des programmes tels que la SDG Literacy Community of Practice pour former les enseignants et les étudiants à la durabilité.</w:t>
      </w:r>
    </w:p>
    <w:p>
      <w:pPr>
        <w:pStyle w:val="Heading3"/>
      </w:pPr>
      <w:r>
        <w:rPr>
          <w:color w:val="2F6F5E"/>
        </w:rPr>
        <w:t>Engagement civique</w:t>
      </w:r>
    </w:p>
    <w:p>
      <w:r>
        <w:t>L'université obtient 4,5 points STARS sur 8 au crédit EN-5, niveau intermédiaire. Cette note reflète la qualité de l'engagement civique de l'université, qui comprend le bénévolat étudiant, les comités des clubs sportifs et des sociétés, le mentorat par les pairs, la représentation de classe et le bénévolat des employés pendant leurs heures de travail.</w:t>
      </w:r>
    </w:p>
    <w:p>
      <w:pPr>
        <w:pStyle w:val="Heading3"/>
      </w:pPr>
      <w:r>
        <w:rPr>
          <w:color w:val="2F6F5E"/>
        </w:rPr>
        <w:t>Formation continue</w:t>
      </w:r>
    </w:p>
    <w:p>
      <w:r>
        <w:t>L'université obtient 3 points STARS sur 3 au crédit EN-7, niveau maximal. Cette note reflète la qualité de la formation continue de l'université, qui comprend des modules axés sur la durabilité dans plusieurs écoles, par exemple en horticulture durable, en infrastructures résilientes au climat ou en biodiversité et conservation de la nature.</w:t>
      </w:r>
    </w:p>
    <w:p>
      <w:pPr>
        <w:pStyle w:val="Heading1"/>
      </w:pPr>
      <w:r>
        <w:rPr>
          <w:color w:val="2F6F5E"/>
        </w:rPr>
        <w:t>Index de contenu GRI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Rapporté</w:t>
            </w:r>
          </w:p>
        </w:tc>
        <w:tc>
          <w:tcPr>
            <w:tcW w:type="dxa" w:w="2160"/>
          </w:tcPr>
          <w:p>
            <w:r>
              <w:rPr>
                <w:b/>
                <w:sz w:val="17"/>
              </w:rPr>
            </w:r>
            <w:r>
              <w:rPr>
                <w:b/>
                <w:sz w:val="17"/>
              </w:rPr>
              <w:t>Partiellement rapporté</w:t>
            </w:r>
          </w:p>
        </w:tc>
        <w:tc>
          <w:tcPr>
            <w:tcW w:type="dxa" w:w="2160"/>
          </w:tcPr>
          <w:p>
            <w:r>
              <w:rPr>
                <w:b/>
                <w:sz w:val="17"/>
              </w:rPr>
            </w:r>
            <w:r>
              <w:rPr>
                <w:b/>
                <w:sz w:val="17"/>
              </w:rPr>
              <w:t>Non rapporté</w:t>
            </w:r>
          </w:p>
        </w:tc>
        <w:tc>
          <w:tcPr>
            <w:tcW w:type="dxa" w:w="2160"/>
          </w:tcPr>
          <w:p>
            <w:r>
              <w:rPr>
                <w:b/>
                <w:sz w:val="17"/>
              </w:rPr>
            </w:r>
            <w:r>
              <w:rPr>
                <w:b/>
                <w:sz w:val="17"/>
              </w:rPr>
              <w:t>Non évalué</w:t>
            </w:r>
          </w:p>
        </w:tc>
      </w:tr>
      <w:tr>
        <w:tc>
          <w:tcPr>
            <w:tcW w:type="dxa" w:w="2160"/>
          </w:tcPr>
          <w:p>
            <w:r>
              <w:rPr>
                <w:sz w:val="17"/>
              </w:rPr>
            </w:r>
            <w:r>
              <w:rPr>
                <w:sz w:val="17"/>
              </w:rPr>
              <w:t>:-:</w:t>
            </w:r>
          </w:p>
        </w:tc>
        <w:tc>
          <w:tcPr>
            <w:tcW w:type="dxa" w:w="2160"/>
          </w:tcPr>
          <w:p>
            <w:r>
              <w:rPr>
                <w:sz w:val="17"/>
              </w:rPr>
            </w:r>
            <w:r>
              <w:rPr>
                <w:sz w:val="17"/>
              </w:rPr>
              <w:t>:-:</w:t>
            </w:r>
          </w:p>
        </w:tc>
        <w:tc>
          <w:tcPr>
            <w:tcW w:type="dxa" w:w="2160"/>
          </w:tcPr>
          <w:p>
            <w:r>
              <w:rPr>
                <w:sz w:val="17"/>
              </w:rPr>
            </w:r>
            <w:r>
              <w:rPr>
                <w:sz w:val="17"/>
              </w:rPr>
              <w:t>:-:</w:t>
            </w:r>
          </w:p>
        </w:tc>
        <w:tc>
          <w:tcPr>
            <w:tcW w:type="dxa" w:w="2160"/>
          </w:tcPr>
          <w:p>
            <w:r>
              <w:rPr>
                <w:sz w:val="17"/>
              </w:rPr>
            </w:r>
            <w:r>
              <w:rPr>
                <w:sz w:val="17"/>
              </w:rPr>
              <w:t>:-:</w:t>
            </w:r>
          </w:p>
        </w:tc>
      </w:tr>
      <w:tr>
        <w:tc>
          <w:tcPr>
            <w:tcW w:type="dxa" w:w="2160"/>
          </w:tcPr>
          <w:p>
            <w:r>
              <w:rPr>
                <w:sz w:val="17"/>
              </w:rPr>
            </w:r>
            <w:r>
              <w:rPr>
                <w:sz w:val="17"/>
              </w:rPr>
              <w:t>0</w:t>
            </w:r>
          </w:p>
        </w:tc>
        <w:tc>
          <w:tcPr>
            <w:tcW w:type="dxa" w:w="2160"/>
          </w:tcPr>
          <w:p>
            <w:r>
              <w:rPr>
                <w:sz w:val="17"/>
              </w:rPr>
            </w:r>
            <w:r>
              <w:rPr>
                <w:sz w:val="17"/>
              </w:rPr>
              <w:t>17</w:t>
            </w:r>
          </w:p>
        </w:tc>
        <w:tc>
          <w:tcPr>
            <w:tcW w:type="dxa" w:w="2160"/>
          </w:tcPr>
          <w:p>
            <w:r>
              <w:rPr>
                <w:sz w:val="17"/>
              </w:rPr>
            </w:r>
            <w:r>
              <w:rPr>
                <w:sz w:val="17"/>
              </w:rPr>
              <w:t>49</w:t>
            </w:r>
          </w:p>
        </w:tc>
        <w:tc>
          <w:tcPr>
            <w:tcW w:type="dxa" w:w="2160"/>
          </w:tcPr>
          <w:p>
            <w:r>
              <w:rPr>
                <w:sz w:val="17"/>
              </w:rPr>
            </w:r>
            <w:r>
              <w:rPr>
                <w:sz w:val="17"/>
              </w:rPr>
              <w:t>20</w:t>
            </w:r>
          </w:p>
        </w:tc>
      </w:tr>
    </w:tbl>
    <w:p/>
    <w:p>
      <w:r>
        <w:rPr>
          <w:i/>
        </w:rPr>
        <w:t>Statuts calculés par le code à partir de la table de correspondance écrite à la main (`mapping/gri_map.yaml`). « Non évalué » : un champ STARS correspondant existe mais sa valeur n'a pas été extraite.</w:t>
      </w:r>
    </w:p>
    <w:p>
      <w:pPr>
        <w:pStyle w:val="Heading2"/>
      </w:pPr>
      <w:r>
        <w:rPr>
          <w:color w:val="2F6F5E"/>
        </w:rPr>
        <w:t>GRI 101 : Biodiversité 2024</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101-1</w:t>
            </w:r>
            <w:r>
              <w:rPr>
                <w:sz w:val="17"/>
              </w:rPr>
              <w:t xml:space="preserve"> Politiques pour enrayer et inverser la perte de biodiversité</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101-2</w:t>
            </w:r>
            <w:r>
              <w:rPr>
                <w:sz w:val="17"/>
              </w:rPr>
              <w:t xml:space="preserve"> Gestion des impacts sur la biodiversité</w:t>
            </w:r>
          </w:p>
        </w:tc>
        <w:tc>
          <w:tcPr>
            <w:tcW w:type="dxa" w:w="2160"/>
          </w:tcPr>
          <w:p>
            <w:r>
              <w:rPr>
                <w:sz w:val="17"/>
              </w:rPr>
            </w:r>
            <w:r>
              <w:rPr>
                <w:sz w:val="17"/>
              </w:rPr>
              <w:t>Partiellement rapporté</w:t>
            </w:r>
          </w:p>
        </w:tc>
        <w:tc>
          <w:tcPr>
            <w:tcW w:type="dxa" w:w="2160"/>
          </w:tcPr>
          <w:p>
            <w:r>
              <w:rPr>
                <w:sz w:val="17"/>
              </w:rPr>
            </w:r>
            <w:r>
              <w:rPr>
                <w:sz w:val="17"/>
              </w:rPr>
              <w:t>Couvert par le récit de l'établissement (OP-4) ; les champs structurés n'ont pas été extraits.</w:t>
            </w:r>
          </w:p>
        </w:tc>
        <w:tc>
          <w:tcPr>
            <w:tcW w:type="dxa" w:w="2160"/>
          </w:tcPr>
          <w:p>
            <w:r>
              <w:rPr>
                <w:sz w:val="17"/>
              </w:rPr>
            </w:r>
            <w:r>
              <w:rPr>
                <w:sz w:val="17"/>
              </w:rPr>
              <w:t>OP-4 décrit la gestion écologique des espaces verts du campus ; GRI 101-2 vise aussi la chaîne de valeur et la hiérarchie d'atténuation (éviter, réduire, restaurer).</w:t>
            </w:r>
          </w:p>
        </w:tc>
      </w:tr>
      <w:tr>
        <w:tc>
          <w:tcPr>
            <w:tcW w:type="dxa" w:w="2160"/>
          </w:tcPr>
          <w:p>
            <w:r>
              <w:rPr>
                <w:sz w:val="17"/>
              </w:rPr>
            </w:r>
            <w:r>
              <w:rPr>
                <w:b/>
                <w:sz w:val="17"/>
              </w:rPr>
              <w:t>101-3</w:t>
            </w:r>
            <w:r>
              <w:rPr>
                <w:sz w:val="17"/>
              </w:rPr>
              <w:t xml:space="preserve"> Accès et partage des avantages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101-4</w:t>
            </w:r>
            <w:r>
              <w:rPr>
                <w:sz w:val="17"/>
              </w:rPr>
              <w:t xml:space="preserve"> Identification des impacts sur la biodiversité</w:t>
            </w:r>
          </w:p>
        </w:tc>
        <w:tc>
          <w:tcPr>
            <w:tcW w:type="dxa" w:w="2160"/>
          </w:tcPr>
          <w:p>
            <w:r>
              <w:rPr>
                <w:sz w:val="17"/>
              </w:rPr>
            </w:r>
            <w:r>
              <w:rPr>
                <w:sz w:val="17"/>
              </w:rPr>
              <w:t>Non rapporté</w:t>
            </w:r>
          </w:p>
        </w:tc>
        <w:tc>
          <w:tcPr>
            <w:tcW w:type="dxa" w:w="2160"/>
          </w:tcPr>
          <w:p>
            <w:r>
              <w:rPr>
                <w:sz w:val="17"/>
              </w:rPr>
            </w:r>
            <w:r>
              <w:rPr>
                <w:sz w:val="17"/>
              </w:rPr>
              <w:t>Aucune donnée : IL-24 marqué « Non applicable » par l'établissement dans STARS.</w:t>
            </w:r>
          </w:p>
        </w:tc>
        <w:tc>
          <w:tcPr>
            <w:tcW w:type="dxa" w:w="2160"/>
          </w:tcPr>
          <w:p>
            <w:r>
              <w:rPr>
                <w:sz w:val="17"/>
              </w:rPr>
            </w:r>
            <w:r>
              <w:rPr>
                <w:sz w:val="17"/>
              </w:rPr>
              <w:t>IL-24 (crédit bonus) : évaluation de la biodiversité des terrains de l'établissement (espèces, habitats). GRI 101-4 demande aussi les impacts indirects, dans la chaîne d'approvisionnement.</w:t>
            </w:r>
          </w:p>
        </w:tc>
      </w:tr>
      <w:tr>
        <w:tc>
          <w:tcPr>
            <w:tcW w:type="dxa" w:w="2160"/>
          </w:tcPr>
          <w:p>
            <w:r>
              <w:rPr>
                <w:sz w:val="17"/>
              </w:rPr>
            </w:r>
            <w:r>
              <w:rPr>
                <w:b/>
                <w:sz w:val="17"/>
              </w:rPr>
              <w:t>101-5</w:t>
            </w:r>
            <w:r>
              <w:rPr>
                <w:sz w:val="17"/>
              </w:rPr>
              <w:t xml:space="preserve"> Sites ayant des impacts sur la biodiversité</w:t>
            </w:r>
          </w:p>
        </w:tc>
        <w:tc>
          <w:tcPr>
            <w:tcW w:type="dxa" w:w="2160"/>
          </w:tcPr>
          <w:p>
            <w:r>
              <w:rPr>
                <w:sz w:val="17"/>
              </w:rPr>
            </w:r>
            <w:r>
              <w:rPr>
                <w:sz w:val="17"/>
              </w:rPr>
              <w:t>Non rapporté</w:t>
            </w:r>
          </w:p>
        </w:tc>
        <w:tc>
          <w:tcPr>
            <w:tcW w:type="dxa" w:w="2160"/>
          </w:tcPr>
          <w:p>
            <w:r>
              <w:rPr>
                <w:sz w:val="17"/>
              </w:rPr>
            </w:r>
            <w:r>
              <w:rPr>
                <w:sz w:val="17"/>
              </w:rPr>
              <w:t>Aucune donnée : IL-24 marqué « Non applicable » par l'établissement dans STARS.</w:t>
            </w:r>
          </w:p>
        </w:tc>
        <w:tc>
          <w:tcPr>
            <w:tcW w:type="dxa" w:w="2160"/>
          </w:tcPr>
          <w:p>
            <w:r>
              <w:rPr>
                <w:sz w:val="17"/>
              </w:rPr>
            </w:r>
            <w:r>
              <w:rPr>
                <w:sz w:val="17"/>
              </w:rPr>
              <w:t>IL-24 couvre les terrains possédés ou gérés par l'établissement ; GRI 101-5 demande la liste des sites, leur superficie et leur proximité avec des zones importantes pour la biodiversité.</w:t>
            </w:r>
          </w:p>
        </w:tc>
      </w:tr>
      <w:tr>
        <w:tc>
          <w:tcPr>
            <w:tcW w:type="dxa" w:w="2160"/>
          </w:tcPr>
          <w:p>
            <w:r>
              <w:rPr>
                <w:sz w:val="17"/>
              </w:rPr>
            </w:r>
            <w:r>
              <w:rPr>
                <w:b/>
                <w:sz w:val="17"/>
              </w:rPr>
              <w:t>101-6</w:t>
            </w:r>
            <w:r>
              <w:rPr>
                <w:sz w:val="17"/>
              </w:rPr>
              <w:t xml:space="preserve"> Facteurs directs de perte de biodiversité</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101-7</w:t>
            </w:r>
            <w:r>
              <w:rPr>
                <w:sz w:val="17"/>
              </w:rPr>
              <w:t xml:space="preserve"> Évolution de l'état de la biodiversité</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101-8</w:t>
            </w:r>
            <w:r>
              <w:rPr>
                <w:sz w:val="17"/>
              </w:rPr>
              <w:t xml:space="preserve"> Services écosystémiques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bl>
    <w:p/>
    <w:p>
      <w:pPr>
        <w:pStyle w:val="Heading2"/>
      </w:pPr>
      <w:r>
        <w:rPr>
          <w:color w:val="2F6F5E"/>
        </w:rPr>
        <w:t>GRI 2 : Éléments généraux 2021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2-1</w:t>
            </w:r>
            <w:r>
              <w:rPr>
                <w:sz w:val="17"/>
              </w:rPr>
              <w:t xml:space="preserve"> Détails sur l'organisation</w:t>
            </w:r>
          </w:p>
        </w:tc>
        <w:tc>
          <w:tcPr>
            <w:tcW w:type="dxa" w:w="2160"/>
          </w:tcPr>
          <w:p>
            <w:r>
              <w:rPr>
                <w:sz w:val="17"/>
              </w:rPr>
            </w:r>
            <w:r>
              <w:rPr>
                <w:sz w:val="17"/>
              </w:rPr>
              <w:t>Non rapporté</w:t>
            </w:r>
          </w:p>
        </w:tc>
        <w:tc>
          <w:tcPr>
            <w:tcW w:type="dxa" w:w="2160"/>
          </w:tcPr>
          <w:p>
            <w:r>
              <w:rPr>
                <w:sz w:val="17"/>
              </w:rPr>
            </w:r>
            <w:r>
              <w:rPr>
                <w:sz w:val="17"/>
              </w:rPr>
              <w:t>Aucune donnée : PRE-3 non renseigné par l'établissement.</w:t>
            </w:r>
          </w:p>
        </w:tc>
        <w:tc>
          <w:tcPr>
            <w:tcW w:type="dxa" w:w="2160"/>
          </w:tcPr>
          <w:p>
            <w:r>
              <w:rPr>
                <w:sz w:val="17"/>
              </w:rPr>
            </w:r>
            <w:r>
              <w:rPr>
                <w:sz w:val="17"/>
              </w:rPr>
              <w:t>GRI 2-1 demande aussi la dénomination légale, le siège et les pays d'activité ; STARS ne les collecte pas comme champs.</w:t>
            </w:r>
          </w:p>
        </w:tc>
      </w:tr>
      <w:tr>
        <w:tc>
          <w:tcPr>
            <w:tcW w:type="dxa" w:w="2160"/>
          </w:tcPr>
          <w:p>
            <w:r>
              <w:rPr>
                <w:sz w:val="17"/>
              </w:rPr>
            </w:r>
            <w:r>
              <w:rPr>
                <w:b/>
                <w:sz w:val="17"/>
              </w:rPr>
              <w:t>2-2</w:t>
            </w:r>
            <w:r>
              <w:rPr>
                <w:sz w:val="17"/>
              </w:rPr>
              <w:t xml:space="preserve"> Entités incluses dans le reporting de durabilité</w:t>
            </w:r>
          </w:p>
        </w:tc>
        <w:tc>
          <w:tcPr>
            <w:tcW w:type="dxa" w:w="2160"/>
          </w:tcPr>
          <w:p>
            <w:r>
              <w:rPr>
                <w:sz w:val="17"/>
              </w:rPr>
            </w:r>
            <w:r>
              <w:rPr>
                <w:sz w:val="17"/>
              </w:rPr>
              <w:t>Non rapporté</w:t>
            </w:r>
          </w:p>
        </w:tc>
        <w:tc>
          <w:tcPr>
            <w:tcW w:type="dxa" w:w="2160"/>
          </w:tcPr>
          <w:p>
            <w:r>
              <w:rPr>
                <w:sz w:val="17"/>
              </w:rPr>
            </w:r>
            <w:r>
              <w:rPr>
                <w:sz w:val="17"/>
              </w:rPr>
              <w:t>Aucune donnée : PRE-3 non renseigné par l'établissement.</w:t>
            </w:r>
          </w:p>
        </w:tc>
        <w:tc>
          <w:tcPr>
            <w:tcW w:type="dxa" w:w="2160"/>
          </w:tcPr>
          <w:p>
            <w:r>
              <w:rPr>
                <w:sz w:val="17"/>
              </w:rPr>
            </w:r>
            <w:r>
              <w:rPr>
                <w:sz w:val="17"/>
              </w:rPr>
              <w:t>STARS collecte le périmètre sous forme de récit libre, pas de liste d'entités. Les trois établissements n'ont pas le même périmètre : les ratios par personne ou par m² ne sont pas comparables tels quels.</w:t>
            </w:r>
          </w:p>
        </w:tc>
      </w:tr>
      <w:tr>
        <w:tc>
          <w:tcPr>
            <w:tcW w:type="dxa" w:w="2160"/>
          </w:tcPr>
          <w:p>
            <w:r>
              <w:rPr>
                <w:sz w:val="17"/>
              </w:rPr>
            </w:r>
            <w:r>
              <w:rPr>
                <w:b/>
                <w:sz w:val="17"/>
              </w:rPr>
              <w:t>2-3</w:t>
            </w:r>
            <w:r>
              <w:rPr>
                <w:sz w:val="17"/>
              </w:rPr>
              <w:t xml:space="preserve"> Période de reporting, fréquence et point de contact</w:t>
            </w:r>
          </w:p>
        </w:tc>
        <w:tc>
          <w:tcPr>
            <w:tcW w:type="dxa" w:w="2160"/>
          </w:tcPr>
          <w:p>
            <w:r>
              <w:rPr>
                <w:sz w:val="17"/>
              </w:rPr>
            </w:r>
            <w:r>
              <w:rPr>
                <w:sz w:val="17"/>
              </w:rPr>
              <w:t>Partiellement rapporté</w:t>
            </w:r>
          </w:p>
        </w:tc>
        <w:tc>
          <w:tcPr>
            <w:tcW w:type="dxa" w:w="2160"/>
          </w:tcPr>
          <w:p>
            <w:r>
              <w:rPr>
                <w:sz w:val="17"/>
              </w:rPr>
            </w:r>
            <w:r>
              <w:rPr>
                <w:sz w:val="17"/>
              </w:rPr>
              <w:t>Couvert par le récit de l'établissement (PRE-4, OP-6) ; les champs structurés n'ont pas été extraits.</w:t>
            </w:r>
          </w:p>
        </w:tc>
        <w:tc>
          <w:tcPr>
            <w:tcW w:type="dxa" w:w="2160"/>
          </w:tcPr>
          <w:p>
            <w:r>
              <w:rPr>
                <w:sz w:val="17"/>
              </w:rPr>
            </w:r>
            <w:r>
              <w:rPr>
                <w:sz w:val="17"/>
              </w:rPr>
              <w:t>STARS n'a pas de période de reporting unique : les années varient d'un crédit à l'autre. Ni fréquence, ni date de publication, ni point de contact ne sont collectés.</w:t>
            </w:r>
          </w:p>
        </w:tc>
      </w:tr>
      <w:tr>
        <w:tc>
          <w:tcPr>
            <w:tcW w:type="dxa" w:w="2160"/>
          </w:tcPr>
          <w:p>
            <w:r>
              <w:rPr>
                <w:sz w:val="17"/>
              </w:rPr>
            </w:r>
            <w:r>
              <w:rPr>
                <w:b/>
                <w:sz w:val="17"/>
              </w:rPr>
              <w:t>2-4</w:t>
            </w:r>
            <w:r>
              <w:rPr>
                <w:sz w:val="17"/>
              </w:rPr>
              <w:t xml:space="preserve"> Retraitements d'informations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r>
              <w:rPr>
                <w:sz w:val="17"/>
              </w:rPr>
              <w:t>STARS ne suit pas les retraitements. De plus, les versions 2.2 et 3.0 notent différemment les crédits Opérations : une série temporelle entre versions n'est pas valide.</w:t>
            </w:r>
          </w:p>
        </w:tc>
      </w:tr>
      <w:tr>
        <w:tc>
          <w:tcPr>
            <w:tcW w:type="dxa" w:w="2160"/>
          </w:tcPr>
          <w:p>
            <w:r>
              <w:rPr>
                <w:sz w:val="17"/>
              </w:rPr>
            </w:r>
            <w:r>
              <w:rPr>
                <w:b/>
                <w:sz w:val="17"/>
              </w:rPr>
              <w:t>2-5</w:t>
            </w:r>
            <w:r>
              <w:rPr>
                <w:sz w:val="17"/>
              </w:rPr>
              <w:t xml:space="preserve"> Vérification externe</w:t>
            </w:r>
          </w:p>
        </w:tc>
        <w:tc>
          <w:tcPr>
            <w:tcW w:type="dxa" w:w="2160"/>
          </w:tcPr>
          <w:p>
            <w:r>
              <w:rPr>
                <w:sz w:val="17"/>
              </w:rPr>
            </w:r>
            <w:r>
              <w:rPr>
                <w:sz w:val="17"/>
              </w:rPr>
              <w:t>Partiellement rapporté</w:t>
            </w:r>
          </w:p>
        </w:tc>
        <w:tc>
          <w:tcPr>
            <w:tcW w:type="dxa" w:w="2160"/>
          </w:tcPr>
          <w:p>
            <w:r>
              <w:rPr>
                <w:sz w:val="17"/>
              </w:rPr>
            </w:r>
            <w:r>
              <w:rPr>
                <w:sz w:val="17"/>
              </w:rPr>
              <w:t>Couvert par le récit de l'établissement (PRE-4) ; les champs structurés n'ont pas été extraits.</w:t>
            </w:r>
          </w:p>
        </w:tc>
        <w:tc>
          <w:tcPr>
            <w:tcW w:type="dxa" w:w="2160"/>
          </w:tcPr>
          <w:p>
            <w:r>
              <w:rPr>
                <w:sz w:val="17"/>
              </w:rPr>
            </w:r>
            <w:r>
              <w:rPr>
                <w:sz w:val="17"/>
              </w:rPr>
              <w:t>GRI 2-5 demande aussi la norme d'assurance, le niveau d'assurance et la relation avec le vérificateur ; STARS ne les collecte pas. Les données STARS sont autodéclarées et non vérifiées par l'AASHE.</w:t>
            </w:r>
          </w:p>
        </w:tc>
      </w:tr>
      <w:tr>
        <w:tc>
          <w:tcPr>
            <w:tcW w:type="dxa" w:w="2160"/>
          </w:tcPr>
          <w:p>
            <w:r>
              <w:rPr>
                <w:sz w:val="17"/>
              </w:rPr>
            </w:r>
            <w:r>
              <w:rPr>
                <w:b/>
                <w:sz w:val="17"/>
              </w:rPr>
              <w:t>2-6</w:t>
            </w:r>
            <w:r>
              <w:rPr>
                <w:sz w:val="17"/>
              </w:rPr>
              <w:t xml:space="preserve"> Activités, chaîne de valeur et autres relations d'affaires</w:t>
            </w:r>
          </w:p>
        </w:tc>
        <w:tc>
          <w:tcPr>
            <w:tcW w:type="dxa" w:w="2160"/>
          </w:tcPr>
          <w:p>
            <w:r>
              <w:rPr>
                <w:sz w:val="17"/>
              </w:rPr>
            </w:r>
            <w:r>
              <w:rPr>
                <w:sz w:val="17"/>
              </w:rPr>
              <w:t>Non rapporté</w:t>
            </w:r>
          </w:p>
        </w:tc>
        <w:tc>
          <w:tcPr>
            <w:tcW w:type="dxa" w:w="2160"/>
          </w:tcPr>
          <w:p>
            <w:r>
              <w:rPr>
                <w:sz w:val="17"/>
              </w:rPr>
            </w:r>
            <w:r>
              <w:rPr>
                <w:sz w:val="17"/>
              </w:rPr>
              <w:t>Aucune donnée : PRE-3 non renseigné par l'établissement.</w:t>
            </w:r>
          </w:p>
        </w:tc>
        <w:tc>
          <w:tcPr>
            <w:tcW w:type="dxa" w:w="2160"/>
          </w:tcPr>
          <w:p>
            <w:r>
              <w:rPr>
                <w:sz w:val="17"/>
              </w:rPr>
            </w:r>
            <w:r>
              <w:rPr>
                <w:sz w:val="17"/>
              </w:rPr>
              <w:t>STARS liste des éléments physiques du campus ; ni chaîne de valeur, ni produits et services, ni marchés desservis.</w:t>
            </w:r>
          </w:p>
        </w:tc>
      </w:tr>
      <w:tr>
        <w:tc>
          <w:tcPr>
            <w:tcW w:type="dxa" w:w="2160"/>
          </w:tcPr>
          <w:p>
            <w:r>
              <w:rPr>
                <w:sz w:val="17"/>
              </w:rPr>
            </w:r>
            <w:r>
              <w:rPr>
                <w:b/>
                <w:sz w:val="17"/>
              </w:rPr>
              <w:t>2-7</w:t>
            </w:r>
            <w:r>
              <w:rPr>
                <w:sz w:val="17"/>
              </w:rPr>
              <w:t xml:space="preserve"> Salariés</w:t>
            </w:r>
          </w:p>
        </w:tc>
        <w:tc>
          <w:tcPr>
            <w:tcW w:type="dxa" w:w="2160"/>
          </w:tcPr>
          <w:p>
            <w:r>
              <w:rPr>
                <w:sz w:val="17"/>
              </w:rPr>
            </w:r>
            <w:r>
              <w:rPr>
                <w:sz w:val="17"/>
              </w:rPr>
              <w:t>Non rapporté</w:t>
            </w:r>
          </w:p>
        </w:tc>
        <w:tc>
          <w:tcPr>
            <w:tcW w:type="dxa" w:w="2160"/>
          </w:tcPr>
          <w:p>
            <w:r>
              <w:rPr>
                <w:sz w:val="17"/>
              </w:rPr>
            </w:r>
            <w:r>
              <w:rPr>
                <w:sz w:val="17"/>
              </w:rPr>
              <w:t>Aucune donnée : PRE-3 non renseigné par l'établissement.</w:t>
            </w:r>
          </w:p>
        </w:tc>
        <w:tc>
          <w:tcPr>
            <w:tcW w:type="dxa" w:w="2160"/>
          </w:tcPr>
          <w:p>
            <w:r>
              <w:rPr>
                <w:sz w:val="17"/>
              </w:rPr>
            </w:r>
            <w:r>
              <w:rPr>
                <w:sz w:val="17"/>
              </w:rPr>
              <w:t>Un équivalent temps plein n'est pas un effectif. Aucune ventilation par contrat, temps de travail, genre ou région.</w:t>
            </w:r>
          </w:p>
        </w:tc>
      </w:tr>
      <w:tr>
        <w:tc>
          <w:tcPr>
            <w:tcW w:type="dxa" w:w="2160"/>
          </w:tcPr>
          <w:p>
            <w:r>
              <w:rPr>
                <w:sz w:val="17"/>
              </w:rPr>
            </w:r>
            <w:r>
              <w:rPr>
                <w:b/>
                <w:sz w:val="17"/>
              </w:rPr>
              <w:t>2-8</w:t>
            </w:r>
            <w:r>
              <w:rPr>
                <w:sz w:val="17"/>
              </w:rPr>
              <w:t xml:space="preserve"> Travailleurs non salariés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r>
              <w:rPr>
                <w:sz w:val="17"/>
              </w:rPr>
              <w:t>STARS ne compte pas les travailleurs des sous-traitants.</w:t>
            </w:r>
          </w:p>
        </w:tc>
      </w:tr>
      <w:tr>
        <w:tc>
          <w:tcPr>
            <w:tcW w:type="dxa" w:w="2160"/>
          </w:tcPr>
          <w:p>
            <w:r>
              <w:rPr>
                <w:sz w:val="17"/>
              </w:rPr>
            </w:r>
            <w:r>
              <w:rPr>
                <w:b/>
                <w:sz w:val="17"/>
              </w:rPr>
              <w:t>2-9</w:t>
            </w:r>
            <w:r>
              <w:rPr>
                <w:sz w:val="17"/>
              </w:rPr>
              <w:t xml:space="preserve"> Structure et composition de la gouvernance</w:t>
            </w:r>
          </w:p>
        </w:tc>
        <w:tc>
          <w:tcPr>
            <w:tcW w:type="dxa" w:w="2160"/>
          </w:tcPr>
          <w:p>
            <w:r>
              <w:rPr>
                <w:sz w:val="17"/>
              </w:rPr>
            </w:r>
            <w:r>
              <w:rPr>
                <w:sz w:val="17"/>
              </w:rPr>
              <w:t>Partiellement rapporté</w:t>
            </w:r>
          </w:p>
        </w:tc>
        <w:tc>
          <w:tcPr>
            <w:tcW w:type="dxa" w:w="2160"/>
          </w:tcPr>
          <w:p>
            <w:r>
              <w:rPr>
                <w:sz w:val="17"/>
              </w:rPr>
            </w:r>
            <w:r>
              <w:rPr>
                <w:sz w:val="17"/>
              </w:rPr>
              <w:t>Couvert par le récit de l'établissement (PA-3) ; les champs structurés n'ont pas été extraits.</w:t>
            </w:r>
          </w:p>
        </w:tc>
        <w:tc>
          <w:tcPr>
            <w:tcW w:type="dxa" w:w="2160"/>
          </w:tcPr>
          <w:p>
            <w:r>
              <w:rPr>
                <w:sz w:val="17"/>
              </w:rPr>
            </w:r>
            <w:r>
              <w:rPr>
                <w:sz w:val="17"/>
              </w:rPr>
              <w:t>STARS indique si chaque catégorie est représentée, pas la composition chiffrée (nombre de membres, indépendance, genre).</w:t>
            </w:r>
          </w:p>
        </w:tc>
      </w:tr>
      <w:tr>
        <w:tc>
          <w:tcPr>
            <w:tcW w:type="dxa" w:w="2160"/>
          </w:tcPr>
          <w:p>
            <w:r>
              <w:rPr>
                <w:sz w:val="17"/>
              </w:rPr>
            </w:r>
            <w:r>
              <w:rPr>
                <w:b/>
                <w:sz w:val="17"/>
              </w:rPr>
              <w:t>2-10</w:t>
            </w:r>
            <w:r>
              <w:rPr>
                <w:sz w:val="17"/>
              </w:rPr>
              <w:t xml:space="preserve"> Nomination et sélection de l'organe de gouvernance le plus élevé</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2-11</w:t>
            </w:r>
            <w:r>
              <w:rPr>
                <w:sz w:val="17"/>
              </w:rPr>
              <w:t xml:space="preserve"> Président de l'organe de gouvernance le plus élevé</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2-12</w:t>
            </w:r>
            <w:r>
              <w:rPr>
                <w:sz w:val="17"/>
              </w:rPr>
              <w:t xml:space="preserve"> Rôle de l'organe de gouvernance dans la supervision de la gestion des impacts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2-13</w:t>
            </w:r>
            <w:r>
              <w:rPr>
                <w:sz w:val="17"/>
              </w:rPr>
              <w:t xml:space="preserve"> Délégation de la responsabilité de la gestion des impacts</w:t>
            </w:r>
          </w:p>
        </w:tc>
        <w:tc>
          <w:tcPr>
            <w:tcW w:type="dxa" w:w="2160"/>
          </w:tcPr>
          <w:p>
            <w:r>
              <w:rPr>
                <w:sz w:val="17"/>
              </w:rPr>
            </w:r>
            <w:r>
              <w:rPr>
                <w:sz w:val="17"/>
              </w:rPr>
              <w:t>Non évalué</w:t>
            </w:r>
          </w:p>
        </w:tc>
        <w:tc>
          <w:tcPr>
            <w:tcW w:type="dxa" w:w="2160"/>
          </w:tcPr>
          <w:p>
            <w:r>
              <w:rPr>
                <w:sz w:val="17"/>
              </w:rPr>
            </w:r>
            <w:r>
              <w:rPr>
                <w:sz w:val="17"/>
              </w:rPr>
              <w:t>Champ STARS identifié (PA-1) mais valeur non extraite : nécessite les pages STARS authentifiées.</w:t>
            </w:r>
          </w:p>
        </w:tc>
        <w:tc>
          <w:tcPr>
            <w:tcW w:type="dxa" w:w="2160"/>
          </w:tcPr>
          <w:p>
            <w:r>
              <w:rPr>
                <w:sz w:val="17"/>
              </w:rPr>
            </w:r>
            <w:r>
              <w:rPr>
                <w:sz w:val="17"/>
              </w:rPr>
              <w:t>GRI 2-13-b demande si et à quelle fréquence ces responsables rendent compte à l'organe de gouvernance ; STARS ne le demande pas.</w:t>
            </w:r>
          </w:p>
        </w:tc>
      </w:tr>
      <w:tr>
        <w:tc>
          <w:tcPr>
            <w:tcW w:type="dxa" w:w="2160"/>
          </w:tcPr>
          <w:p>
            <w:r>
              <w:rPr>
                <w:sz w:val="17"/>
              </w:rPr>
            </w:r>
            <w:r>
              <w:rPr>
                <w:b/>
                <w:sz w:val="17"/>
              </w:rPr>
              <w:t>2-14</w:t>
            </w:r>
            <w:r>
              <w:rPr>
                <w:sz w:val="17"/>
              </w:rPr>
              <w:t xml:space="preserve"> Rôle de l'organe de gouvernance dans le reporting de durabilité</w:t>
            </w:r>
          </w:p>
        </w:tc>
        <w:tc>
          <w:tcPr>
            <w:tcW w:type="dxa" w:w="2160"/>
          </w:tcPr>
          <w:p>
            <w:r>
              <w:rPr>
                <w:sz w:val="17"/>
              </w:rPr>
            </w:r>
            <w:r>
              <w:rPr>
                <w:sz w:val="17"/>
              </w:rPr>
              <w:t>Non rapporté</w:t>
            </w:r>
          </w:p>
        </w:tc>
        <w:tc>
          <w:tcPr>
            <w:tcW w:type="dxa" w:w="2160"/>
          </w:tcPr>
          <w:p>
            <w:r>
              <w:rPr>
                <w:sz w:val="17"/>
              </w:rPr>
            </w:r>
            <w:r>
              <w:rPr>
                <w:sz w:val="17"/>
              </w:rPr>
              <w:t>Aucune donnée : PRE-1 non renseigné par l'établissement.</w:t>
            </w:r>
          </w:p>
        </w:tc>
        <w:tc>
          <w:tcPr>
            <w:tcW w:type="dxa" w:w="2160"/>
          </w:tcPr>
          <w:p>
            <w:r>
              <w:rPr>
                <w:sz w:val="17"/>
              </w:rPr>
            </w:r>
            <w:r>
              <w:rPr>
                <w:sz w:val="17"/>
              </w:rPr>
              <w:t>Une lettre signée par la direction n'est pas une revue et une approbation par l'organe de gouvernance ; le texte de la lettre n'est pas dans les données.</w:t>
            </w:r>
          </w:p>
        </w:tc>
      </w:tr>
      <w:tr>
        <w:tc>
          <w:tcPr>
            <w:tcW w:type="dxa" w:w="2160"/>
          </w:tcPr>
          <w:p>
            <w:r>
              <w:rPr>
                <w:sz w:val="17"/>
              </w:rPr>
            </w:r>
            <w:r>
              <w:rPr>
                <w:b/>
                <w:sz w:val="17"/>
              </w:rPr>
              <w:t>2-15</w:t>
            </w:r>
            <w:r>
              <w:rPr>
                <w:sz w:val="17"/>
              </w:rPr>
              <w:t xml:space="preserve"> Conflits d'intérêts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2-16</w:t>
            </w:r>
            <w:r>
              <w:rPr>
                <w:sz w:val="17"/>
              </w:rPr>
              <w:t xml:space="preserve"> Communication des préoccupations majeures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2-17</w:t>
            </w:r>
            <w:r>
              <w:rPr>
                <w:sz w:val="17"/>
              </w:rPr>
              <w:t xml:space="preserve"> Connaissances collectives de l'organe de gouvernance</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2-18</w:t>
            </w:r>
            <w:r>
              <w:rPr>
                <w:sz w:val="17"/>
              </w:rPr>
              <w:t xml:space="preserve"> Évaluation de la performance de l'organe de gouvernance</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2-19</w:t>
            </w:r>
            <w:r>
              <w:rPr>
                <w:sz w:val="17"/>
              </w:rPr>
              <w:t xml:space="preserve"> Politiques de rémunération</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2-20</w:t>
            </w:r>
            <w:r>
              <w:rPr>
                <w:sz w:val="17"/>
              </w:rPr>
              <w:t xml:space="preserve"> Procédure de détermination de la rémunération</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2-21</w:t>
            </w:r>
            <w:r>
              <w:rPr>
                <w:sz w:val="17"/>
              </w:rPr>
              <w:t xml:space="preserve"> Ratio de rémunération totale annuelle</w:t>
            </w:r>
          </w:p>
        </w:tc>
        <w:tc>
          <w:tcPr>
            <w:tcW w:type="dxa" w:w="2160"/>
          </w:tcPr>
          <w:p>
            <w:r>
              <w:rPr>
                <w:sz w:val="17"/>
              </w:rPr>
            </w:r>
            <w:r>
              <w:rPr>
                <w:sz w:val="17"/>
              </w:rPr>
              <w:t>Non évalué</w:t>
            </w:r>
          </w:p>
        </w:tc>
        <w:tc>
          <w:tcPr>
            <w:tcW w:type="dxa" w:w="2160"/>
          </w:tcPr>
          <w:p>
            <w:r>
              <w:rPr>
                <w:sz w:val="17"/>
              </w:rPr>
            </w:r>
            <w:r>
              <w:rPr>
                <w:sz w:val="17"/>
              </w:rPr>
              <w:t>Champ STARS identifié (IL-62) mais valeur non extraite : nécessite les pages STARS authentifiées.</w:t>
            </w:r>
          </w:p>
        </w:tc>
        <w:tc>
          <w:tcPr>
            <w:tcW w:type="dxa" w:w="2160"/>
          </w:tcPr>
          <w:p>
            <w:r>
              <w:rPr>
                <w:sz w:val="17"/>
              </w:rPr>
            </w:r>
            <w:r>
              <w:rPr>
                <w:sz w:val="17"/>
              </w:rPr>
              <w:t>Dénominateurs différents : GRI divise par la rémunération MÉDIANE, STARS (IL-62, crédit bonus facultatif) par la plus BASSE. Le chiffre STARS n'est pas comparable à un ratio GRI 2-21.</w:t>
            </w:r>
          </w:p>
        </w:tc>
      </w:tr>
      <w:tr>
        <w:tc>
          <w:tcPr>
            <w:tcW w:type="dxa" w:w="2160"/>
          </w:tcPr>
          <w:p>
            <w:r>
              <w:rPr>
                <w:sz w:val="17"/>
              </w:rPr>
            </w:r>
            <w:r>
              <w:rPr>
                <w:b/>
                <w:sz w:val="17"/>
              </w:rPr>
              <w:t>2-22</w:t>
            </w:r>
            <w:r>
              <w:rPr>
                <w:sz w:val="17"/>
              </w:rPr>
              <w:t xml:space="preserve"> Déclaration sur la stratégie de développement durable</w:t>
            </w:r>
          </w:p>
        </w:tc>
        <w:tc>
          <w:tcPr>
            <w:tcW w:type="dxa" w:w="2160"/>
          </w:tcPr>
          <w:p>
            <w:r>
              <w:rPr>
                <w:sz w:val="17"/>
              </w:rPr>
            </w:r>
            <w:r>
              <w:rPr>
                <w:sz w:val="17"/>
              </w:rPr>
              <w:t>Partiellement rapporté</w:t>
            </w:r>
          </w:p>
        </w:tc>
        <w:tc>
          <w:tcPr>
            <w:tcW w:type="dxa" w:w="2160"/>
          </w:tcPr>
          <w:p>
            <w:r>
              <w:rPr>
                <w:sz w:val="17"/>
              </w:rPr>
            </w:r>
            <w:r>
              <w:rPr>
                <w:sz w:val="17"/>
              </w:rPr>
              <w:t>Couvert par le récit de l'établissement (PA-2) ; les champs structurés n'ont pas été extraits.</w:t>
            </w:r>
          </w:p>
        </w:tc>
        <w:tc>
          <w:tcPr>
            <w:tcW w:type="dxa" w:w="2160"/>
          </w:tcPr>
          <w:p>
            <w:r>
              <w:rPr>
                <w:sz w:val="17"/>
              </w:rPr>
            </w:r>
            <w:r>
              <w:rPr>
                <w:sz w:val="17"/>
              </w:rPr>
              <w:t>GRI 2-22 exige une déclaration de l'organe de gouvernance ou du dirigeant le plus élevé ; STARS n'attribue pas la vision à un signataire.</w:t>
            </w:r>
          </w:p>
        </w:tc>
      </w:tr>
      <w:tr>
        <w:tc>
          <w:tcPr>
            <w:tcW w:type="dxa" w:w="2160"/>
          </w:tcPr>
          <w:p>
            <w:r>
              <w:rPr>
                <w:sz w:val="17"/>
              </w:rPr>
            </w:r>
            <w:r>
              <w:rPr>
                <w:b/>
                <w:sz w:val="17"/>
              </w:rPr>
              <w:t>2-23</w:t>
            </w:r>
            <w:r>
              <w:rPr>
                <w:sz w:val="17"/>
              </w:rPr>
              <w:t xml:space="preserve"> Engagements politiques</w:t>
            </w:r>
          </w:p>
        </w:tc>
        <w:tc>
          <w:tcPr>
            <w:tcW w:type="dxa" w:w="2160"/>
          </w:tcPr>
          <w:p>
            <w:r>
              <w:rPr>
                <w:sz w:val="17"/>
              </w:rPr>
            </w:r>
            <w:r>
              <w:rPr>
                <w:sz w:val="17"/>
              </w:rPr>
              <w:t>Partiellement rapporté</w:t>
            </w:r>
          </w:p>
        </w:tc>
        <w:tc>
          <w:tcPr>
            <w:tcW w:type="dxa" w:w="2160"/>
          </w:tcPr>
          <w:p>
            <w:r>
              <w:rPr>
                <w:sz w:val="17"/>
              </w:rPr>
            </w:r>
            <w:r>
              <w:rPr>
                <w:sz w:val="17"/>
              </w:rPr>
              <w:t>Couvert par le récit de l'établissement (PA-2) ; les champs structurés n'ont pas été extraits.</w:t>
            </w:r>
          </w:p>
        </w:tc>
        <w:tc>
          <w:tcPr>
            <w:tcW w:type="dxa" w:w="2160"/>
          </w:tcPr>
          <w:p>
            <w:r>
              <w:rPr>
                <w:sz w:val="17"/>
              </w:rPr>
            </w:r>
            <w:r>
              <w:rPr>
                <w:sz w:val="17"/>
              </w:rPr>
              <w:t>GRI 2-23 vise les engagements relatifs aux droits humains et au devoir de vigilance ; un engagement de durabilité est plus large et ne les implique pas.</w:t>
            </w:r>
          </w:p>
        </w:tc>
      </w:tr>
      <w:tr>
        <w:tc>
          <w:tcPr>
            <w:tcW w:type="dxa" w:w="2160"/>
          </w:tcPr>
          <w:p>
            <w:r>
              <w:rPr>
                <w:sz w:val="17"/>
              </w:rPr>
            </w:r>
            <w:r>
              <w:rPr>
                <w:b/>
                <w:sz w:val="17"/>
              </w:rPr>
              <w:t>2-24</w:t>
            </w:r>
            <w:r>
              <w:rPr>
                <w:sz w:val="17"/>
              </w:rPr>
              <w:t xml:space="preserve"> Intégration des engagements politiques</w:t>
            </w:r>
          </w:p>
        </w:tc>
        <w:tc>
          <w:tcPr>
            <w:tcW w:type="dxa" w:w="2160"/>
          </w:tcPr>
          <w:p>
            <w:r>
              <w:rPr>
                <w:sz w:val="17"/>
              </w:rPr>
            </w:r>
            <w:r>
              <w:rPr>
                <w:sz w:val="17"/>
              </w:rPr>
              <w:t>Partiellement rapporté</w:t>
            </w:r>
          </w:p>
        </w:tc>
        <w:tc>
          <w:tcPr>
            <w:tcW w:type="dxa" w:w="2160"/>
          </w:tcPr>
          <w:p>
            <w:r>
              <w:rPr>
                <w:sz w:val="17"/>
              </w:rPr>
            </w:r>
            <w:r>
              <w:rPr>
                <w:sz w:val="17"/>
              </w:rPr>
              <w:t>Couvert par le récit de l'établissement (EN-3) ; les champs structurés n'ont pas été extraits.</w:t>
            </w:r>
          </w:p>
        </w:tc>
        <w:tc>
          <w:tcPr>
            <w:tcW w:type="dxa" w:w="2160"/>
          </w:tcPr>
          <w:p>
            <w:r>
              <w:rPr>
                <w:sz w:val="17"/>
              </w:rPr>
            </w:r>
            <w:r>
              <w:rPr>
                <w:sz w:val="17"/>
              </w:rPr>
              <w:t>STARS décrit des résultats (code fournisseurs, formations) mais pas l'attribution interne des responsabilités ni l'intégration dans les procédures.</w:t>
            </w:r>
          </w:p>
        </w:tc>
      </w:tr>
      <w:tr>
        <w:tc>
          <w:tcPr>
            <w:tcW w:type="dxa" w:w="2160"/>
          </w:tcPr>
          <w:p>
            <w:r>
              <w:rPr>
                <w:sz w:val="17"/>
              </w:rPr>
            </w:r>
            <w:r>
              <w:rPr>
                <w:b/>
                <w:sz w:val="17"/>
              </w:rPr>
              <w:t>2-25</w:t>
            </w:r>
            <w:r>
              <w:rPr>
                <w:sz w:val="17"/>
              </w:rPr>
              <w:t xml:space="preserve"> Processus de remédiation des impacts négatifs</w:t>
            </w:r>
          </w:p>
        </w:tc>
        <w:tc>
          <w:tcPr>
            <w:tcW w:type="dxa" w:w="2160"/>
          </w:tcPr>
          <w:p>
            <w:r>
              <w:rPr>
                <w:sz w:val="17"/>
              </w:rPr>
            </w:r>
            <w:r>
              <w:rPr>
                <w:sz w:val="17"/>
              </w:rPr>
              <w:t>Non évalué</w:t>
            </w:r>
          </w:p>
        </w:tc>
        <w:tc>
          <w:tcPr>
            <w:tcW w:type="dxa" w:w="2160"/>
          </w:tcPr>
          <w:p>
            <w:r>
              <w:rPr>
                <w:sz w:val="17"/>
              </w:rPr>
            </w:r>
            <w:r>
              <w:rPr>
                <w:sz w:val="17"/>
              </w:rPr>
              <w:t>Champ STARS identifié (PA-12) mais valeur non extraite : nécessite les pages STARS authentifiées.</w:t>
            </w:r>
          </w:p>
        </w:tc>
        <w:tc>
          <w:tcPr>
            <w:tcW w:type="dxa" w:w="2160"/>
          </w:tcPr>
          <w:p>
            <w:r>
              <w:rPr>
                <w:sz w:val="17"/>
              </w:rPr>
            </w:r>
            <w:r>
              <w:rPr>
                <w:sz w:val="17"/>
              </w:rPr>
              <w:t>STARS indique seulement que l'information est publiée, pour les salariés uniquement ; GRI vise toutes les parties prenantes affectées.</w:t>
            </w:r>
          </w:p>
        </w:tc>
      </w:tr>
      <w:tr>
        <w:tc>
          <w:tcPr>
            <w:tcW w:type="dxa" w:w="2160"/>
          </w:tcPr>
          <w:p>
            <w:r>
              <w:rPr>
                <w:sz w:val="17"/>
              </w:rPr>
            </w:r>
            <w:r>
              <w:rPr>
                <w:b/>
                <w:sz w:val="17"/>
              </w:rPr>
              <w:t>2-26</w:t>
            </w:r>
            <w:r>
              <w:rPr>
                <w:sz w:val="17"/>
              </w:rPr>
              <w:t xml:space="preserve"> Mécanismes de demande de conseil et de signalement</w:t>
            </w:r>
          </w:p>
        </w:tc>
        <w:tc>
          <w:tcPr>
            <w:tcW w:type="dxa" w:w="2160"/>
          </w:tcPr>
          <w:p>
            <w:r>
              <w:rPr>
                <w:sz w:val="17"/>
              </w:rPr>
            </w:r>
            <w:r>
              <w:rPr>
                <w:sz w:val="17"/>
              </w:rPr>
              <w:t>Non évalué</w:t>
            </w:r>
          </w:p>
        </w:tc>
        <w:tc>
          <w:tcPr>
            <w:tcW w:type="dxa" w:w="2160"/>
          </w:tcPr>
          <w:p>
            <w:r>
              <w:rPr>
                <w:sz w:val="17"/>
              </w:rPr>
            </w:r>
            <w:r>
              <w:rPr>
                <w:sz w:val="17"/>
              </w:rPr>
              <w:t>Champ STARS identifié (PA-12) mais valeur non extraite : nécessite les pages STARS authentifiées.</w:t>
            </w:r>
          </w:p>
        </w:tc>
        <w:tc>
          <w:tcPr>
            <w:tcW w:type="dxa" w:w="2160"/>
          </w:tcPr>
          <w:p>
            <w:r>
              <w:rPr>
                <w:sz w:val="17"/>
              </w:rPr>
            </w:r>
            <w:r>
              <w:rPr>
                <w:sz w:val="17"/>
              </w:rPr>
              <w:t>Salariés uniquement ; GRI 2-26 couvre aussi les personnes en relation d'affaires.</w:t>
            </w:r>
          </w:p>
        </w:tc>
      </w:tr>
      <w:tr>
        <w:tc>
          <w:tcPr>
            <w:tcW w:type="dxa" w:w="2160"/>
          </w:tcPr>
          <w:p>
            <w:r>
              <w:rPr>
                <w:sz w:val="17"/>
              </w:rPr>
            </w:r>
            <w:r>
              <w:rPr>
                <w:b/>
                <w:sz w:val="17"/>
              </w:rPr>
              <w:t>2-27</w:t>
            </w:r>
            <w:r>
              <w:rPr>
                <w:sz w:val="17"/>
              </w:rPr>
              <w:t xml:space="preserve"> Conformité aux lois et réglementations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r>
              <w:rPr>
                <w:sz w:val="17"/>
              </w:rPr>
              <w:t>STARS ne collecte ni non-conformités, ni amendes, ni sanctions.</w:t>
            </w:r>
          </w:p>
        </w:tc>
      </w:tr>
      <w:tr>
        <w:tc>
          <w:tcPr>
            <w:tcW w:type="dxa" w:w="2160"/>
          </w:tcPr>
          <w:p>
            <w:r>
              <w:rPr>
                <w:sz w:val="17"/>
              </w:rPr>
            </w:r>
            <w:r>
              <w:rPr>
                <w:b/>
                <w:sz w:val="17"/>
              </w:rPr>
              <w:t>2-28</w:t>
            </w:r>
            <w:r>
              <w:rPr>
                <w:sz w:val="17"/>
              </w:rPr>
              <w:t xml:space="preserve"> Adhésion à des associations</w:t>
            </w:r>
          </w:p>
        </w:tc>
        <w:tc>
          <w:tcPr>
            <w:tcW w:type="dxa" w:w="2160"/>
          </w:tcPr>
          <w:p>
            <w:r>
              <w:rPr>
                <w:sz w:val="17"/>
              </w:rPr>
            </w:r>
            <w:r>
              <w:rPr>
                <w:sz w:val="17"/>
              </w:rPr>
              <w:t>Partiellement rapporté</w:t>
            </w:r>
          </w:p>
        </w:tc>
        <w:tc>
          <w:tcPr>
            <w:tcW w:type="dxa" w:w="2160"/>
          </w:tcPr>
          <w:p>
            <w:r>
              <w:rPr>
                <w:sz w:val="17"/>
              </w:rPr>
            </w:r>
            <w:r>
              <w:rPr>
                <w:sz w:val="17"/>
              </w:rPr>
              <w:t>Couvert par le récit de l'établissement (PA-2) ; les champs structurés n'ont pas été extraits.</w:t>
            </w:r>
          </w:p>
        </w:tc>
        <w:tc>
          <w:tcPr>
            <w:tcW w:type="dxa" w:w="2160"/>
          </w:tcPr>
          <w:p>
            <w:r>
              <w:rPr>
                <w:sz w:val="17"/>
              </w:rPr>
            </w:r>
            <w:r>
              <w:rPr>
                <w:sz w:val="17"/>
              </w:rPr>
              <w:t>Signer une charte n'est pas adhérer à une association ; STARS restreint le champ aux engagements assortis d'une obligation de reporting.</w:t>
            </w:r>
          </w:p>
        </w:tc>
      </w:tr>
      <w:tr>
        <w:tc>
          <w:tcPr>
            <w:tcW w:type="dxa" w:w="2160"/>
          </w:tcPr>
          <w:p>
            <w:r>
              <w:rPr>
                <w:sz w:val="17"/>
              </w:rPr>
            </w:r>
            <w:r>
              <w:rPr>
                <w:b/>
                <w:sz w:val="17"/>
              </w:rPr>
              <w:t>2-29</w:t>
            </w:r>
            <w:r>
              <w:rPr>
                <w:sz w:val="17"/>
              </w:rPr>
              <w:t xml:space="preserve"> Approche de l'engagement des parties prenantes</w:t>
            </w:r>
          </w:p>
        </w:tc>
        <w:tc>
          <w:tcPr>
            <w:tcW w:type="dxa" w:w="2160"/>
          </w:tcPr>
          <w:p>
            <w:r>
              <w:rPr>
                <w:sz w:val="17"/>
              </w:rPr>
            </w:r>
            <w:r>
              <w:rPr>
                <w:sz w:val="17"/>
              </w:rPr>
              <w:t>Partiellement rapporté</w:t>
            </w:r>
          </w:p>
        </w:tc>
        <w:tc>
          <w:tcPr>
            <w:tcW w:type="dxa" w:w="2160"/>
          </w:tcPr>
          <w:p>
            <w:r>
              <w:rPr>
                <w:sz w:val="17"/>
              </w:rPr>
            </w:r>
            <w:r>
              <w:rPr>
                <w:sz w:val="17"/>
              </w:rPr>
              <w:t>Couvert par le récit de l'établissement (PA-3, EN-6) ; les champs structurés n'ont pas été extraits.</w:t>
            </w:r>
          </w:p>
        </w:tc>
        <w:tc>
          <w:tcPr>
            <w:tcW w:type="dxa" w:w="2160"/>
          </w:tcPr>
          <w:p>
            <w:r>
              <w:rPr>
                <w:sz w:val="17"/>
              </w:rPr>
            </w:r>
            <w:r>
              <w:rPr>
                <w:sz w:val="17"/>
              </w:rPr>
              <w:t>STARS couvre quatre catégories fixes (étudiants, enseignants, personnel, communauté locale) ; ni fournisseurs, ni groupes vulnérables, ni méthode d'identification des parties prenantes.</w:t>
            </w:r>
          </w:p>
        </w:tc>
      </w:tr>
      <w:tr>
        <w:tc>
          <w:tcPr>
            <w:tcW w:type="dxa" w:w="2160"/>
          </w:tcPr>
          <w:p>
            <w:r>
              <w:rPr>
                <w:sz w:val="17"/>
              </w:rPr>
            </w:r>
            <w:r>
              <w:rPr>
                <w:b/>
                <w:sz w:val="17"/>
              </w:rPr>
              <w:t>2-30</w:t>
            </w:r>
            <w:r>
              <w:rPr>
                <w:sz w:val="17"/>
              </w:rPr>
              <w:t xml:space="preserve"> Conventions collectives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r>
              <w:rPr>
                <w:sz w:val="17"/>
              </w:rPr>
              <w:t>STARS ne collecte pas le pourcentage de salariés couverts par une convention collective.</w:t>
            </w:r>
          </w:p>
        </w:tc>
      </w:tr>
    </w:tbl>
    <w:p/>
    <w:p>
      <w:pPr>
        <w:pStyle w:val="Heading2"/>
      </w:pPr>
      <w:r>
        <w:rPr>
          <w:color w:val="2F6F5E"/>
        </w:rPr>
        <w:t>GRI 3 : Thèmes matériels 2021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3-1</w:t>
            </w:r>
            <w:r>
              <w:rPr>
                <w:sz w:val="17"/>
              </w:rPr>
              <w:t xml:space="preserve"> Processus de détermination des thèmes matériels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r>
              <w:rPr>
                <w:sz w:val="17"/>
              </w:rPr>
              <w:t>Différence structurelle entre référentiels, pas une donnée manquante : STARS impose un ensemble fixe de crédits. Ce rapport ne peut pas établir l'existence d'un processus de matérialité — il ne peut pas non plus affirmer qu'il n'en existe pas.</w:t>
            </w:r>
          </w:p>
        </w:tc>
      </w:tr>
      <w:tr>
        <w:tc>
          <w:tcPr>
            <w:tcW w:type="dxa" w:w="2160"/>
          </w:tcPr>
          <w:p>
            <w:r>
              <w:rPr>
                <w:sz w:val="17"/>
              </w:rPr>
            </w:r>
            <w:r>
              <w:rPr>
                <w:b/>
                <w:sz w:val="17"/>
              </w:rPr>
              <w:t>3-2</w:t>
            </w:r>
            <w:r>
              <w:rPr>
                <w:sz w:val="17"/>
              </w:rPr>
              <w:t xml:space="preserve"> Liste des thèmes matériels</w:t>
            </w:r>
          </w:p>
        </w:tc>
        <w:tc>
          <w:tcPr>
            <w:tcW w:type="dxa" w:w="2160"/>
          </w:tcPr>
          <w:p>
            <w:r>
              <w:rPr>
                <w:sz w:val="17"/>
              </w:rPr>
            </w:r>
            <w:r>
              <w:rPr>
                <w:sz w:val="17"/>
              </w:rPr>
              <w:t>Partiellement rapporté</w:t>
            </w:r>
          </w:p>
        </w:tc>
        <w:tc>
          <w:tcPr>
            <w:tcW w:type="dxa" w:w="2160"/>
          </w:tcPr>
          <w:p>
            <w:r>
              <w:rPr>
                <w:sz w:val="17"/>
              </w:rPr>
            </w:r>
            <w:r>
              <w:rPr>
                <w:sz w:val="17"/>
              </w:rPr>
              <w:t>Couvert par le récit de l'établissement (PA-2) ; les champs structurés n'ont pas été extraits.</w:t>
            </w:r>
          </w:p>
        </w:tc>
        <w:tc>
          <w:tcPr>
            <w:tcW w:type="dxa" w:w="2160"/>
          </w:tcPr>
          <w:p>
            <w:r>
              <w:rPr>
                <w:sz w:val="17"/>
              </w:rPr>
            </w:r>
            <w:r>
              <w:rPr>
                <w:sz w:val="17"/>
              </w:rPr>
              <w:t>Les cinq domaines d'objectifs sont fixés par STARS et identiques pour toutes les institutions : ils ne constituent pas une détermination de matérialité.</w:t>
            </w:r>
          </w:p>
        </w:tc>
      </w:tr>
      <w:tr>
        <w:tc>
          <w:tcPr>
            <w:tcW w:type="dxa" w:w="2160"/>
          </w:tcPr>
          <w:p>
            <w:r>
              <w:rPr>
                <w:sz w:val="17"/>
              </w:rPr>
            </w:r>
            <w:r>
              <w:rPr>
                <w:b/>
                <w:sz w:val="17"/>
              </w:rPr>
              <w:t>3-3</w:t>
            </w:r>
            <w:r>
              <w:rPr>
                <w:sz w:val="17"/>
              </w:rPr>
              <w:t xml:space="preserve"> Gestion des thèmes matériels</w:t>
            </w:r>
          </w:p>
        </w:tc>
        <w:tc>
          <w:tcPr>
            <w:tcW w:type="dxa" w:w="2160"/>
          </w:tcPr>
          <w:p>
            <w:r>
              <w:rPr>
                <w:sz w:val="17"/>
              </w:rPr>
            </w:r>
            <w:r>
              <w:rPr>
                <w:sz w:val="17"/>
              </w:rPr>
              <w:t>Partiellement rapporté</w:t>
            </w:r>
          </w:p>
        </w:tc>
        <w:tc>
          <w:tcPr>
            <w:tcW w:type="dxa" w:w="2160"/>
          </w:tcPr>
          <w:p>
            <w:r>
              <w:rPr>
                <w:sz w:val="17"/>
              </w:rPr>
            </w:r>
            <w:r>
              <w:rPr>
                <w:sz w:val="17"/>
              </w:rPr>
              <w:t>Couvert par le récit de l'établissement (PA-2) ; les champs structurés n'ont pas été extraits.</w:t>
            </w:r>
          </w:p>
        </w:tc>
        <w:tc>
          <w:tcPr>
            <w:tcW w:type="dxa" w:w="2160"/>
          </w:tcPr>
          <w:p>
            <w:r>
              <w:rPr>
                <w:sz w:val="17"/>
              </w:rPr>
            </w:r>
            <w:r>
              <w:rPr>
                <w:sz w:val="17"/>
              </w:rPr>
              <w:t>Réponses à l'échelle de l'établissement à une question que GRI pose thème par thème ; ni impacts, ni distinction prévention / remédiation, ni enseignements tirés.</w:t>
            </w:r>
          </w:p>
        </w:tc>
      </w:tr>
    </w:tbl>
    <w:p/>
    <w:p>
      <w:pPr>
        <w:pStyle w:val="Heading2"/>
      </w:pPr>
      <w:r>
        <w:rPr>
          <w:color w:val="2F6F5E"/>
        </w:rPr>
        <w:t>GRI 202 : Présence sur le marché 2016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202-1</w:t>
            </w:r>
            <w:r>
              <w:rPr>
                <w:sz w:val="17"/>
              </w:rPr>
              <w:t xml:space="preserve"> Ratio entre le salaire d'entrée et le salaire minimum local, par genre</w:t>
            </w:r>
          </w:p>
        </w:tc>
        <w:tc>
          <w:tcPr>
            <w:tcW w:type="dxa" w:w="2160"/>
          </w:tcPr>
          <w:p>
            <w:r>
              <w:rPr>
                <w:sz w:val="17"/>
              </w:rPr>
            </w:r>
            <w:r>
              <w:rPr>
                <w:sz w:val="17"/>
              </w:rPr>
              <w:t>Non évalué</w:t>
            </w:r>
          </w:p>
        </w:tc>
        <w:tc>
          <w:tcPr>
            <w:tcW w:type="dxa" w:w="2160"/>
          </w:tcPr>
          <w:p>
            <w:r>
              <w:rPr>
                <w:sz w:val="17"/>
              </w:rPr>
            </w:r>
            <w:r>
              <w:rPr>
                <w:sz w:val="17"/>
              </w:rPr>
              <w:t>Champ STARS identifié (PA-13, PA-9) mais valeur non extraite : nécessite les pages STARS authentifiées.</w:t>
            </w:r>
          </w:p>
        </w:tc>
        <w:tc>
          <w:tcPr>
            <w:tcW w:type="dxa" w:w="2160"/>
          </w:tcPr>
          <w:p>
            <w:r>
              <w:rPr>
                <w:sz w:val="17"/>
              </w:rPr>
            </w:r>
            <w:r>
              <w:rPr>
                <w:sz w:val="17"/>
              </w:rPr>
              <w:t>Le ratio est calculable (plancher salarial / salaire minimum local) mais pas par genre, que STARS ne collecte pas. Le salaire minimum figure dans un crédit sur l'emploi étudiant. Montants sans devise : USD pour Berkeley, EUR pour Cork et TU Dublin.</w:t>
            </w:r>
          </w:p>
        </w:tc>
      </w:tr>
      <w:tr>
        <w:tc>
          <w:tcPr>
            <w:tcW w:type="dxa" w:w="2160"/>
          </w:tcPr>
          <w:p>
            <w:r>
              <w:rPr>
                <w:sz w:val="17"/>
              </w:rPr>
            </w:r>
            <w:r>
              <w:rPr>
                <w:b/>
                <w:sz w:val="17"/>
              </w:rPr>
              <w:t>202-2</w:t>
            </w:r>
            <w:r>
              <w:rPr>
                <w:sz w:val="17"/>
              </w:rPr>
              <w:t xml:space="preserve"> Part des cadres dirigeants recrutés dans la communauté locale</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bl>
    <w:p/>
    <w:p>
      <w:pPr>
        <w:pStyle w:val="Heading2"/>
      </w:pPr>
      <w:r>
        <w:rPr>
          <w:color w:val="2F6F5E"/>
        </w:rPr>
        <w:t>GRI 204 : Pratiques d'achat 2016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204-1</w:t>
            </w:r>
            <w:r>
              <w:rPr>
                <w:sz w:val="17"/>
              </w:rPr>
              <w:t xml:space="preserve"> Part des dépenses auprès de fournisseurs locaux</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bl>
    <w:p/>
    <w:p>
      <w:pPr>
        <w:pStyle w:val="Heading2"/>
      </w:pPr>
      <w:r>
        <w:rPr>
          <w:color w:val="2F6F5E"/>
        </w:rPr>
        <w:t>GRI 301 : Matières 2016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301-1</w:t>
            </w:r>
            <w:r>
              <w:rPr>
                <w:sz w:val="17"/>
              </w:rPr>
              <w:t xml:space="preserve"> Matières utilisées par poids ou par volume</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r>
              <w:rPr>
                <w:sz w:val="17"/>
              </w:rPr>
              <w:t>Une université ne fabrique pas de produits physiques : écart d'adéquation entre le référentiel et le secteur.</w:t>
            </w:r>
          </w:p>
        </w:tc>
      </w:tr>
      <w:tr>
        <w:tc>
          <w:tcPr>
            <w:tcW w:type="dxa" w:w="2160"/>
          </w:tcPr>
          <w:p>
            <w:r>
              <w:rPr>
                <w:sz w:val="17"/>
              </w:rPr>
            </w:r>
            <w:r>
              <w:rPr>
                <w:b/>
                <w:sz w:val="17"/>
              </w:rPr>
              <w:t>301-2</w:t>
            </w:r>
            <w:r>
              <w:rPr>
                <w:sz w:val="17"/>
              </w:rPr>
              <w:t xml:space="preserve"> Matières recyclées utilisées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301-3</w:t>
            </w:r>
            <w:r>
              <w:rPr>
                <w:sz w:val="17"/>
              </w:rPr>
              <w:t xml:space="preserve"> Produits et emballages récupérés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bl>
    <w:p/>
    <w:p>
      <w:pPr>
        <w:pStyle w:val="Heading2"/>
      </w:pPr>
      <w:r>
        <w:rPr>
          <w:color w:val="2F6F5E"/>
        </w:rPr>
        <w:t>GRI 302 : Énergie 2016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302-1</w:t>
            </w:r>
            <w:r>
              <w:rPr>
                <w:sz w:val="17"/>
              </w:rPr>
              <w:t xml:space="preserve"> Consommation d'énergie au sein de l'organisation</w:t>
            </w:r>
          </w:p>
        </w:tc>
        <w:tc>
          <w:tcPr>
            <w:tcW w:type="dxa" w:w="2160"/>
          </w:tcPr>
          <w:p>
            <w:r>
              <w:rPr>
                <w:sz w:val="17"/>
              </w:rPr>
            </w:r>
            <w:r>
              <w:rPr>
                <w:sz w:val="17"/>
              </w:rPr>
              <w:t>Non évalué</w:t>
            </w:r>
          </w:p>
        </w:tc>
        <w:tc>
          <w:tcPr>
            <w:tcW w:type="dxa" w:w="2160"/>
          </w:tcPr>
          <w:p>
            <w:r>
              <w:rPr>
                <w:sz w:val="17"/>
              </w:rPr>
            </w:r>
            <w:r>
              <w:rPr>
                <w:sz w:val="17"/>
              </w:rPr>
              <w:t>Champ STARS identifié (OP-5) mais valeur non extraite : nécessite les pages STARS authentifiées.</w:t>
            </w:r>
          </w:p>
        </w:tc>
        <w:tc>
          <w:tcPr>
            <w:tcW w:type="dxa" w:w="2160"/>
          </w:tcPr>
          <w:p>
            <w:r>
              <w:rPr>
                <w:sz w:val="17"/>
              </w:rPr>
            </w:r>
            <w:r>
              <w:rPr>
                <w:sz w:val="17"/>
              </w:rPr>
              <w:t>STARS exprime l'énergie en MWh, GRI en joules : aucune conversion n'est faite dans le texte. Le champ « énergie renouvelable » de STARS inclut l'électricité et dépasse le périmètre de GRI 302-1-b.</w:t>
            </w:r>
          </w:p>
        </w:tc>
      </w:tr>
      <w:tr>
        <w:tc>
          <w:tcPr>
            <w:tcW w:type="dxa" w:w="2160"/>
          </w:tcPr>
          <w:p>
            <w:r>
              <w:rPr>
                <w:sz w:val="17"/>
              </w:rPr>
            </w:r>
            <w:r>
              <w:rPr>
                <w:b/>
                <w:sz w:val="17"/>
              </w:rPr>
              <w:t>302-2</w:t>
            </w:r>
            <w:r>
              <w:rPr>
                <w:sz w:val="17"/>
              </w:rPr>
              <w:t xml:space="preserve"> Consommation d'énergie en dehors de l'organisation</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302-3</w:t>
            </w:r>
            <w:r>
              <w:rPr>
                <w:sz w:val="17"/>
              </w:rPr>
              <w:t xml:space="preserve"> Intensité énergétique</w:t>
            </w:r>
          </w:p>
        </w:tc>
        <w:tc>
          <w:tcPr>
            <w:tcW w:type="dxa" w:w="2160"/>
          </w:tcPr>
          <w:p>
            <w:r>
              <w:rPr>
                <w:sz w:val="17"/>
              </w:rPr>
            </w:r>
            <w:r>
              <w:rPr>
                <w:sz w:val="17"/>
              </w:rPr>
              <w:t>Non évalué</w:t>
            </w:r>
          </w:p>
        </w:tc>
        <w:tc>
          <w:tcPr>
            <w:tcW w:type="dxa" w:w="2160"/>
          </w:tcPr>
          <w:p>
            <w:r>
              <w:rPr>
                <w:sz w:val="17"/>
              </w:rPr>
            </w:r>
            <w:r>
              <w:rPr>
                <w:sz w:val="17"/>
              </w:rPr>
              <w:t>Champ STARS identifié (OP-5) mais valeur non extraite : nécessite les pages STARS authentifiées.</w:t>
            </w:r>
          </w:p>
        </w:tc>
        <w:tc>
          <w:tcPr>
            <w:tcW w:type="dxa" w:w="2160"/>
          </w:tcPr>
          <w:p>
            <w:r>
              <w:rPr>
                <w:sz w:val="17"/>
              </w:rPr>
            </w:r>
            <w:r>
              <w:rPr>
                <w:sz w:val="17"/>
              </w:rPr>
              <w:t>Périmètres différents entre établissements : comparer ces ratios exige de nommer la différence de périmètre.</w:t>
            </w:r>
          </w:p>
        </w:tc>
      </w:tr>
      <w:tr>
        <w:tc>
          <w:tcPr>
            <w:tcW w:type="dxa" w:w="2160"/>
          </w:tcPr>
          <w:p>
            <w:r>
              <w:rPr>
                <w:sz w:val="17"/>
              </w:rPr>
            </w:r>
            <w:r>
              <w:rPr>
                <w:b/>
                <w:sz w:val="17"/>
              </w:rPr>
              <w:t>302-4</w:t>
            </w:r>
            <w:r>
              <w:rPr>
                <w:sz w:val="17"/>
              </w:rPr>
              <w:t xml:space="preserve"> Réduction de la consommation énergétique</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302-5</w:t>
            </w:r>
            <w:r>
              <w:rPr>
                <w:sz w:val="17"/>
              </w:rPr>
              <w:t xml:space="preserve"> Réduction des besoins énergétiques des produits et services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bl>
    <w:p/>
    <w:p>
      <w:pPr>
        <w:pStyle w:val="Heading2"/>
      </w:pPr>
      <w:r>
        <w:rPr>
          <w:color w:val="2F6F5E"/>
        </w:rPr>
        <w:t>GRI 303 : Eau et effluents 2018</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303-1</w:t>
            </w:r>
            <w:r>
              <w:rPr>
                <w:sz w:val="17"/>
              </w:rPr>
              <w:t xml:space="preserve"> Interactions avec l'eau en tant que ressource partagée</w:t>
            </w:r>
          </w:p>
        </w:tc>
        <w:tc>
          <w:tcPr>
            <w:tcW w:type="dxa" w:w="2160"/>
          </w:tcPr>
          <w:p>
            <w:r>
              <w:rPr>
                <w:sz w:val="17"/>
              </w:rPr>
            </w:r>
            <w:r>
              <w:rPr>
                <w:sz w:val="17"/>
              </w:rPr>
              <w:t>Partiellement rapporté</w:t>
            </w:r>
          </w:p>
        </w:tc>
        <w:tc>
          <w:tcPr>
            <w:tcW w:type="dxa" w:w="2160"/>
          </w:tcPr>
          <w:p>
            <w:r>
              <w:rPr>
                <w:sz w:val="17"/>
              </w:rPr>
            </w:r>
            <w:r>
              <w:rPr>
                <w:sz w:val="17"/>
              </w:rPr>
              <w:t>Couvert par le récit de l'établissement (OP-3) ; les champs structurés n'ont pas été extraits.</w:t>
            </w:r>
          </w:p>
        </w:tc>
        <w:tc>
          <w:tcPr>
            <w:tcW w:type="dxa" w:w="2160"/>
          </w:tcPr>
          <w:p>
            <w:r>
              <w:rPr>
                <w:sz w:val="17"/>
              </w:rPr>
            </w:r>
            <w:r>
              <w:rPr>
                <w:sz w:val="17"/>
              </w:rPr>
              <w:t>Un niveau de risque n'est pas la description demandée par GRI 303-1 (prélèvement, consommation, rejets, dialogue avec les parties prenantes). Statut abaissé à « partiel » par rapport au rapport de référence.</w:t>
            </w:r>
          </w:p>
        </w:tc>
      </w:tr>
      <w:tr>
        <w:tc>
          <w:tcPr>
            <w:tcW w:type="dxa" w:w="2160"/>
          </w:tcPr>
          <w:p>
            <w:r>
              <w:rPr>
                <w:sz w:val="17"/>
              </w:rPr>
            </w:r>
            <w:r>
              <w:rPr>
                <w:b/>
                <w:sz w:val="17"/>
              </w:rPr>
              <w:t>303-2</w:t>
            </w:r>
            <w:r>
              <w:rPr>
                <w:sz w:val="17"/>
              </w:rPr>
              <w:t xml:space="preserve"> Gestion des impacts liés aux rejets d'eau</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303-3</w:t>
            </w:r>
            <w:r>
              <w:rPr>
                <w:sz w:val="17"/>
              </w:rPr>
              <w:t xml:space="preserve"> Prélèvement d'eau</w:t>
            </w:r>
          </w:p>
        </w:tc>
        <w:tc>
          <w:tcPr>
            <w:tcW w:type="dxa" w:w="2160"/>
          </w:tcPr>
          <w:p>
            <w:r>
              <w:rPr>
                <w:sz w:val="17"/>
              </w:rPr>
            </w:r>
            <w:r>
              <w:rPr>
                <w:sz w:val="17"/>
              </w:rPr>
              <w:t>Non évalué</w:t>
            </w:r>
          </w:p>
        </w:tc>
        <w:tc>
          <w:tcPr>
            <w:tcW w:type="dxa" w:w="2160"/>
          </w:tcPr>
          <w:p>
            <w:r>
              <w:rPr>
                <w:sz w:val="17"/>
              </w:rPr>
            </w:r>
            <w:r>
              <w:rPr>
                <w:sz w:val="17"/>
              </w:rPr>
              <w:t>Champ STARS identifié (OP-3) mais valeur non extraite : nécessite les pages STARS authentifiées.</w:t>
            </w:r>
          </w:p>
        </w:tc>
        <w:tc>
          <w:tcPr>
            <w:tcW w:type="dxa" w:w="2160"/>
          </w:tcPr>
          <w:p>
            <w:r>
              <w:rPr>
                <w:sz w:val="17"/>
              </w:rPr>
            </w:r>
            <w:r>
              <w:rPr>
                <w:sz w:val="17"/>
              </w:rPr>
              <w:t>STARS en m³, GRI en mégalitres : aucune conversion dans le texte. Pas de ventilation des zones de stress hydrique.</w:t>
            </w:r>
          </w:p>
        </w:tc>
      </w:tr>
      <w:tr>
        <w:tc>
          <w:tcPr>
            <w:tcW w:type="dxa" w:w="2160"/>
          </w:tcPr>
          <w:p>
            <w:r>
              <w:rPr>
                <w:sz w:val="17"/>
              </w:rPr>
            </w:r>
            <w:r>
              <w:rPr>
                <w:b/>
                <w:sz w:val="17"/>
              </w:rPr>
              <w:t>303-4</w:t>
            </w:r>
            <w:r>
              <w:rPr>
                <w:sz w:val="17"/>
              </w:rPr>
              <w:t xml:space="preserve"> Rejets d'eau</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r>
              <w:rPr>
                <w:sz w:val="17"/>
              </w:rPr>
              <w:t>Champ STARS le plus proche (eau récupérée ou restituée) examiné et rejeté : GRI demande destination, type d'eau et niveau de traitement.</w:t>
            </w:r>
          </w:p>
        </w:tc>
      </w:tr>
      <w:tr>
        <w:tc>
          <w:tcPr>
            <w:tcW w:type="dxa" w:w="2160"/>
          </w:tcPr>
          <w:p>
            <w:r>
              <w:rPr>
                <w:sz w:val="17"/>
              </w:rPr>
            </w:r>
            <w:r>
              <w:rPr>
                <w:b/>
                <w:sz w:val="17"/>
              </w:rPr>
              <w:t>303-5</w:t>
            </w:r>
            <w:r>
              <w:rPr>
                <w:sz w:val="17"/>
              </w:rPr>
              <w:t xml:space="preserve"> Consommation d'eau</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r>
              <w:rPr>
                <w:sz w:val="17"/>
              </w:rPr>
              <w:t>Définitions différentes : GRI = prélèvement moins rejets ; STARS = eau potable consommée.</w:t>
            </w:r>
          </w:p>
        </w:tc>
      </w:tr>
    </w:tbl>
    <w:p/>
    <w:p>
      <w:pPr>
        <w:pStyle w:val="Heading2"/>
      </w:pPr>
      <w:r>
        <w:rPr>
          <w:color w:val="2F6F5E"/>
        </w:rPr>
        <w:t>GRI 305 : Émissions 2016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305-1</w:t>
            </w:r>
            <w:r>
              <w:rPr>
                <w:sz w:val="17"/>
              </w:rPr>
              <w:t xml:space="preserve"> Émissions directes de GES (champ d'application 1)</w:t>
            </w:r>
          </w:p>
        </w:tc>
        <w:tc>
          <w:tcPr>
            <w:tcW w:type="dxa" w:w="2160"/>
          </w:tcPr>
          <w:p>
            <w:r>
              <w:rPr>
                <w:sz w:val="17"/>
              </w:rPr>
            </w:r>
            <w:r>
              <w:rPr>
                <w:sz w:val="17"/>
              </w:rPr>
              <w:t>Non évalué</w:t>
            </w:r>
          </w:p>
        </w:tc>
        <w:tc>
          <w:tcPr>
            <w:tcW w:type="dxa" w:w="2160"/>
          </w:tcPr>
          <w:p>
            <w:r>
              <w:rPr>
                <w:sz w:val="17"/>
              </w:rPr>
            </w:r>
            <w:r>
              <w:rPr>
                <w:sz w:val="17"/>
              </w:rPr>
              <w:t>Champ STARS identifié (OP-6) mais valeur non extraite : nécessite les pages STARS authentifiées.</w:t>
            </w:r>
          </w:p>
        </w:tc>
        <w:tc>
          <w:tcPr>
            <w:tcW w:type="dxa" w:w="2160"/>
          </w:tcPr>
          <w:p>
            <w:r>
              <w:rPr>
                <w:sz w:val="17"/>
              </w:rPr>
            </w:r>
            <w:r>
              <w:rPr>
                <w:sz w:val="17"/>
              </w:rPr>
              <w:t>Une seule année de référence pour les champs 1 et 2 réunis ; ni source des facteurs d'émission, ni approche de consolidation.</w:t>
            </w:r>
          </w:p>
        </w:tc>
      </w:tr>
      <w:tr>
        <w:tc>
          <w:tcPr>
            <w:tcW w:type="dxa" w:w="2160"/>
          </w:tcPr>
          <w:p>
            <w:r>
              <w:rPr>
                <w:sz w:val="17"/>
              </w:rPr>
            </w:r>
            <w:r>
              <w:rPr>
                <w:b/>
                <w:sz w:val="17"/>
              </w:rPr>
              <w:t>305-2</w:t>
            </w:r>
            <w:r>
              <w:rPr>
                <w:sz w:val="17"/>
              </w:rPr>
              <w:t xml:space="preserve"> Émissions indirectes de GES liées à l'énergie (champ d'application 2)</w:t>
            </w:r>
          </w:p>
        </w:tc>
        <w:tc>
          <w:tcPr>
            <w:tcW w:type="dxa" w:w="2160"/>
          </w:tcPr>
          <w:p>
            <w:r>
              <w:rPr>
                <w:sz w:val="17"/>
              </w:rPr>
            </w:r>
            <w:r>
              <w:rPr>
                <w:sz w:val="17"/>
              </w:rPr>
              <w:t>Non évalué</w:t>
            </w:r>
          </w:p>
        </w:tc>
        <w:tc>
          <w:tcPr>
            <w:tcW w:type="dxa" w:w="2160"/>
          </w:tcPr>
          <w:p>
            <w:r>
              <w:rPr>
                <w:sz w:val="17"/>
              </w:rPr>
            </w:r>
            <w:r>
              <w:rPr>
                <w:sz w:val="17"/>
              </w:rPr>
              <w:t>Champ STARS identifié (OP-6) mais valeur non extraite : nécessite les pages STARS authentifiées.</w:t>
            </w:r>
          </w:p>
        </w:tc>
        <w:tc>
          <w:tcPr>
            <w:tcW w:type="dxa" w:w="2160"/>
          </w:tcPr>
          <w:p>
            <w:r>
              <w:rPr>
                <w:sz w:val="17"/>
              </w:rPr>
            </w:r>
            <w:r>
              <w:rPr>
                <w:sz w:val="17"/>
              </w:rPr>
              <w:t>GRI demande les méthodes fondées sur la localisation et sur le marché ; toujours préciser la méthode du chiffre cité.</w:t>
            </w:r>
          </w:p>
        </w:tc>
      </w:tr>
      <w:tr>
        <w:tc>
          <w:tcPr>
            <w:tcW w:type="dxa" w:w="2160"/>
          </w:tcPr>
          <w:p>
            <w:r>
              <w:rPr>
                <w:sz w:val="17"/>
              </w:rPr>
            </w:r>
            <w:r>
              <w:rPr>
                <w:b/>
                <w:sz w:val="17"/>
              </w:rPr>
              <w:t>305-3</w:t>
            </w:r>
            <w:r>
              <w:rPr>
                <w:sz w:val="17"/>
              </w:rPr>
              <w:t xml:space="preserve"> Autres émissions indirectes de GES (champ d'application 3)</w:t>
            </w:r>
          </w:p>
        </w:tc>
        <w:tc>
          <w:tcPr>
            <w:tcW w:type="dxa" w:w="2160"/>
          </w:tcPr>
          <w:p>
            <w:r>
              <w:rPr>
                <w:sz w:val="17"/>
              </w:rPr>
            </w:r>
            <w:r>
              <w:rPr>
                <w:sz w:val="17"/>
              </w:rPr>
              <w:t>Non évalué</w:t>
            </w:r>
          </w:p>
        </w:tc>
        <w:tc>
          <w:tcPr>
            <w:tcW w:type="dxa" w:w="2160"/>
          </w:tcPr>
          <w:p>
            <w:r>
              <w:rPr>
                <w:sz w:val="17"/>
              </w:rPr>
            </w:r>
            <w:r>
              <w:rPr>
                <w:sz w:val="17"/>
              </w:rPr>
              <w:t>Champ STARS identifié (OP-6) mais valeur non extraite : nécessite les pages STARS authentifiées.</w:t>
            </w:r>
          </w:p>
        </w:tc>
        <w:tc>
          <w:tcPr>
            <w:tcW w:type="dxa" w:w="2160"/>
          </w:tcPr>
          <w:p>
            <w:r>
              <w:rPr>
                <w:sz w:val="17"/>
              </w:rPr>
            </w:r>
          </w:p>
        </w:tc>
      </w:tr>
      <w:tr>
        <w:tc>
          <w:tcPr>
            <w:tcW w:type="dxa" w:w="2160"/>
          </w:tcPr>
          <w:p>
            <w:r>
              <w:rPr>
                <w:sz w:val="17"/>
              </w:rPr>
            </w:r>
            <w:r>
              <w:rPr>
                <w:b/>
                <w:sz w:val="17"/>
              </w:rPr>
              <w:t>305-4</w:t>
            </w:r>
            <w:r>
              <w:rPr>
                <w:sz w:val="17"/>
              </w:rPr>
              <w:t xml:space="preserve"> Intensité des émissions de GES</w:t>
            </w:r>
          </w:p>
        </w:tc>
        <w:tc>
          <w:tcPr>
            <w:tcW w:type="dxa" w:w="2160"/>
          </w:tcPr>
          <w:p>
            <w:r>
              <w:rPr>
                <w:sz w:val="17"/>
              </w:rPr>
            </w:r>
            <w:r>
              <w:rPr>
                <w:sz w:val="17"/>
              </w:rPr>
              <w:t>Non évalué</w:t>
            </w:r>
          </w:p>
        </w:tc>
        <w:tc>
          <w:tcPr>
            <w:tcW w:type="dxa" w:w="2160"/>
          </w:tcPr>
          <w:p>
            <w:r>
              <w:rPr>
                <w:sz w:val="17"/>
              </w:rPr>
            </w:r>
            <w:r>
              <w:rPr>
                <w:sz w:val="17"/>
              </w:rPr>
              <w:t>Champ STARS identifié (OP-6) mais valeur non extraite : nécessite les pages STARS authentifiées.</w:t>
            </w:r>
          </w:p>
        </w:tc>
        <w:tc>
          <w:tcPr>
            <w:tcW w:type="dxa" w:w="2160"/>
          </w:tcPr>
          <w:p>
            <w:r>
              <w:rPr>
                <w:sz w:val="17"/>
              </w:rPr>
            </w:r>
            <w:r>
              <w:rPr>
                <w:sz w:val="17"/>
              </w:rPr>
              <w:t>Périmètres différents entre établissements : ne jamais présenter l'écart comme une seule différence de performance.</w:t>
            </w:r>
          </w:p>
        </w:tc>
      </w:tr>
      <w:tr>
        <w:tc>
          <w:tcPr>
            <w:tcW w:type="dxa" w:w="2160"/>
          </w:tcPr>
          <w:p>
            <w:r>
              <w:rPr>
                <w:sz w:val="17"/>
              </w:rPr>
            </w:r>
            <w:r>
              <w:rPr>
                <w:b/>
                <w:sz w:val="17"/>
              </w:rPr>
              <w:t>305-5</w:t>
            </w:r>
            <w:r>
              <w:rPr>
                <w:sz w:val="17"/>
              </w:rPr>
              <w:t xml:space="preserve"> Réduction des émissions de GES</w:t>
            </w:r>
          </w:p>
        </w:tc>
        <w:tc>
          <w:tcPr>
            <w:tcW w:type="dxa" w:w="2160"/>
          </w:tcPr>
          <w:p>
            <w:r>
              <w:rPr>
                <w:sz w:val="17"/>
              </w:rPr>
            </w:r>
            <w:r>
              <w:rPr>
                <w:sz w:val="17"/>
              </w:rPr>
              <w:t>Non évalué</w:t>
            </w:r>
          </w:p>
        </w:tc>
        <w:tc>
          <w:tcPr>
            <w:tcW w:type="dxa" w:w="2160"/>
          </w:tcPr>
          <w:p>
            <w:r>
              <w:rPr>
                <w:sz w:val="17"/>
              </w:rPr>
            </w:r>
            <w:r>
              <w:rPr>
                <w:sz w:val="17"/>
              </w:rPr>
              <w:t>Champ STARS identifié (OP-6) mais valeur non extraite : nécessite les pages STARS authentifiées.</w:t>
            </w:r>
          </w:p>
        </w:tc>
        <w:tc>
          <w:tcPr>
            <w:tcW w:type="dxa" w:w="2160"/>
          </w:tcPr>
          <w:p>
            <w:r>
              <w:rPr>
                <w:sz w:val="17"/>
              </w:rPr>
            </w:r>
            <w:r>
              <w:rPr>
                <w:sz w:val="17"/>
              </w:rPr>
              <w:t>Le pourcentage STARS est NET des compensations carbone achetées : toujours préciser la base (brute ou nette) et citer les compensations séparément.</w:t>
            </w:r>
          </w:p>
        </w:tc>
      </w:tr>
      <w:tr>
        <w:tc>
          <w:tcPr>
            <w:tcW w:type="dxa" w:w="2160"/>
          </w:tcPr>
          <w:p>
            <w:r>
              <w:rPr>
                <w:sz w:val="17"/>
              </w:rPr>
            </w:r>
            <w:r>
              <w:rPr>
                <w:b/>
                <w:sz w:val="17"/>
              </w:rPr>
              <w:t>305-6</w:t>
            </w:r>
            <w:r>
              <w:rPr>
                <w:sz w:val="17"/>
              </w:rPr>
              <w:t xml:space="preserve"> Émissions de substances appauvrissant la couche d'ozone</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305-7</w:t>
            </w:r>
            <w:r>
              <w:rPr>
                <w:sz w:val="17"/>
              </w:rPr>
              <w:t xml:space="preserve"> NOx, SOx et autres émissions atmosphériques significatives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bl>
    <w:p/>
    <w:p>
      <w:pPr>
        <w:pStyle w:val="Heading2"/>
      </w:pPr>
      <w:r>
        <w:rPr>
          <w:color w:val="2F6F5E"/>
        </w:rPr>
        <w:t>GRI 306 : Déchets 2020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306-1</w:t>
            </w:r>
            <w:r>
              <w:rPr>
                <w:sz w:val="17"/>
              </w:rPr>
              <w:t xml:space="preserve"> Production de déchets et impacts significatifs liés aux déchets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306-2</w:t>
            </w:r>
            <w:r>
              <w:rPr>
                <w:sz w:val="17"/>
              </w:rPr>
              <w:t xml:space="preserve"> Gestion des impacts significatifs liés aux déchets</w:t>
            </w:r>
          </w:p>
        </w:tc>
        <w:tc>
          <w:tcPr>
            <w:tcW w:type="dxa" w:w="2160"/>
          </w:tcPr>
          <w:p>
            <w:r>
              <w:rPr>
                <w:sz w:val="17"/>
              </w:rPr>
            </w:r>
            <w:r>
              <w:rPr>
                <w:sz w:val="17"/>
              </w:rPr>
              <w:t>Partiellement rapporté</w:t>
            </w:r>
          </w:p>
        </w:tc>
        <w:tc>
          <w:tcPr>
            <w:tcW w:type="dxa" w:w="2160"/>
          </w:tcPr>
          <w:p>
            <w:r>
              <w:rPr>
                <w:sz w:val="17"/>
              </w:rPr>
            </w:r>
            <w:r>
              <w:rPr>
                <w:sz w:val="17"/>
              </w:rPr>
              <w:t>Couvert par le récit de l'établissement (OP-11) ; les champs structurés n'ont pas été extraits.</w:t>
            </w:r>
          </w:p>
        </w:tc>
        <w:tc>
          <w:tcPr>
            <w:tcW w:type="dxa" w:w="2160"/>
          </w:tcPr>
          <w:p>
            <w:r>
              <w:rPr>
                <w:sz w:val="17"/>
              </w:rPr>
            </w:r>
          </w:p>
        </w:tc>
      </w:tr>
      <w:tr>
        <w:tc>
          <w:tcPr>
            <w:tcW w:type="dxa" w:w="2160"/>
          </w:tcPr>
          <w:p>
            <w:r>
              <w:rPr>
                <w:sz w:val="17"/>
              </w:rPr>
            </w:r>
            <w:r>
              <w:rPr>
                <w:b/>
                <w:sz w:val="17"/>
              </w:rPr>
              <w:t>306-3</w:t>
            </w:r>
            <w:r>
              <w:rPr>
                <w:sz w:val="17"/>
              </w:rPr>
              <w:t xml:space="preserve"> Déchets générés</w:t>
            </w:r>
          </w:p>
        </w:tc>
        <w:tc>
          <w:tcPr>
            <w:tcW w:type="dxa" w:w="2160"/>
          </w:tcPr>
          <w:p>
            <w:r>
              <w:rPr>
                <w:sz w:val="17"/>
              </w:rPr>
            </w:r>
            <w:r>
              <w:rPr>
                <w:sz w:val="17"/>
              </w:rPr>
              <w:t>Non évalué</w:t>
            </w:r>
          </w:p>
        </w:tc>
        <w:tc>
          <w:tcPr>
            <w:tcW w:type="dxa" w:w="2160"/>
          </w:tcPr>
          <w:p>
            <w:r>
              <w:rPr>
                <w:sz w:val="17"/>
              </w:rPr>
            </w:r>
            <w:r>
              <w:rPr>
                <w:sz w:val="17"/>
              </w:rPr>
              <w:t>Champ STARS identifié (OP-12) mais valeur non extraite : nécessite les pages STARS authentifiées.</w:t>
            </w:r>
          </w:p>
        </w:tc>
        <w:tc>
          <w:tcPr>
            <w:tcW w:type="dxa" w:w="2160"/>
          </w:tcPr>
          <w:p>
            <w:r>
              <w:rPr>
                <w:sz w:val="17"/>
              </w:rPr>
            </w:r>
            <w:r>
              <w:rPr>
                <w:sz w:val="17"/>
              </w:rPr>
              <w:t>Sous-ensemble seulement : STARS ne pèse aucun déchet dangereux. Ne jamais présenter les déchets non dangereux comme le total. Statut abaissé à « partiel » par rapport au rapport de référence.</w:t>
            </w:r>
          </w:p>
        </w:tc>
      </w:tr>
      <w:tr>
        <w:tc>
          <w:tcPr>
            <w:tcW w:type="dxa" w:w="2160"/>
          </w:tcPr>
          <w:p>
            <w:r>
              <w:rPr>
                <w:sz w:val="17"/>
              </w:rPr>
            </w:r>
            <w:r>
              <w:rPr>
                <w:b/>
                <w:sz w:val="17"/>
              </w:rPr>
              <w:t>306-4</w:t>
            </w:r>
            <w:r>
              <w:rPr>
                <w:sz w:val="17"/>
              </w:rPr>
              <w:t xml:space="preserve"> Déchets détournés de l'élimination</w:t>
            </w:r>
          </w:p>
        </w:tc>
        <w:tc>
          <w:tcPr>
            <w:tcW w:type="dxa" w:w="2160"/>
          </w:tcPr>
          <w:p>
            <w:r>
              <w:rPr>
                <w:sz w:val="17"/>
              </w:rPr>
            </w:r>
            <w:r>
              <w:rPr>
                <w:sz w:val="17"/>
              </w:rPr>
              <w:t>Non évalué</w:t>
            </w:r>
          </w:p>
        </w:tc>
        <w:tc>
          <w:tcPr>
            <w:tcW w:type="dxa" w:w="2160"/>
          </w:tcPr>
          <w:p>
            <w:r>
              <w:rPr>
                <w:sz w:val="17"/>
              </w:rPr>
            </w:r>
            <w:r>
              <w:rPr>
                <w:sz w:val="17"/>
              </w:rPr>
              <w:t>Champ STARS identifié (OP-12) mais valeur non extraite : nécessite les pages STARS authentifiées.</w:t>
            </w:r>
          </w:p>
        </w:tc>
        <w:tc>
          <w:tcPr>
            <w:tcW w:type="dxa" w:w="2160"/>
          </w:tcPr>
          <w:p>
            <w:r>
              <w:rPr>
                <w:sz w:val="17"/>
              </w:rPr>
            </w:r>
            <w:r>
              <w:rPr>
                <w:sz w:val="17"/>
              </w:rPr>
              <w:t>Partie non dangereuse uniquement ; pas de distinction sur site / hors site.</w:t>
            </w:r>
          </w:p>
        </w:tc>
      </w:tr>
      <w:tr>
        <w:tc>
          <w:tcPr>
            <w:tcW w:type="dxa" w:w="2160"/>
          </w:tcPr>
          <w:p>
            <w:r>
              <w:rPr>
                <w:sz w:val="17"/>
              </w:rPr>
            </w:r>
            <w:r>
              <w:rPr>
                <w:b/>
                <w:sz w:val="17"/>
              </w:rPr>
              <w:t>306-5</w:t>
            </w:r>
            <w:r>
              <w:rPr>
                <w:sz w:val="17"/>
              </w:rPr>
              <w:t xml:space="preserve"> Déchets destinés à l'élimination</w:t>
            </w:r>
          </w:p>
        </w:tc>
        <w:tc>
          <w:tcPr>
            <w:tcW w:type="dxa" w:w="2160"/>
          </w:tcPr>
          <w:p>
            <w:r>
              <w:rPr>
                <w:sz w:val="17"/>
              </w:rPr>
            </w:r>
            <w:r>
              <w:rPr>
                <w:sz w:val="17"/>
              </w:rPr>
              <w:t>Non évalué</w:t>
            </w:r>
          </w:p>
        </w:tc>
        <w:tc>
          <w:tcPr>
            <w:tcW w:type="dxa" w:w="2160"/>
          </w:tcPr>
          <w:p>
            <w:r>
              <w:rPr>
                <w:sz w:val="17"/>
              </w:rPr>
            </w:r>
            <w:r>
              <w:rPr>
                <w:sz w:val="17"/>
              </w:rPr>
              <w:t>Champ STARS identifié (OP-12) mais valeur non extraite : nécessite les pages STARS authentifiées.</w:t>
            </w:r>
          </w:p>
        </w:tc>
        <w:tc>
          <w:tcPr>
            <w:tcW w:type="dxa" w:w="2160"/>
          </w:tcPr>
          <w:p>
            <w:r>
              <w:rPr>
                <w:sz w:val="17"/>
              </w:rPr>
            </w:r>
            <w:r>
              <w:rPr>
                <w:sz w:val="17"/>
              </w:rPr>
              <w:t>STARS regroupe enfouissement et incinération en un seul chiffre.</w:t>
            </w:r>
          </w:p>
        </w:tc>
      </w:tr>
    </w:tbl>
    <w:p/>
    <w:p>
      <w:pPr>
        <w:pStyle w:val="Heading2"/>
      </w:pPr>
      <w:r>
        <w:rPr>
          <w:color w:val="2F6F5E"/>
        </w:rPr>
        <w:t>GRI 308 : Évaluation environnementale des fournisseurs 2016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308-1</w:t>
            </w:r>
            <w:r>
              <w:rPr>
                <w:sz w:val="17"/>
              </w:rPr>
              <w:t xml:space="preserve"> Nouveaux fournisseurs évalués selon des critères environnementaux</w:t>
            </w:r>
          </w:p>
        </w:tc>
        <w:tc>
          <w:tcPr>
            <w:tcW w:type="dxa" w:w="2160"/>
          </w:tcPr>
          <w:p>
            <w:r>
              <w:rPr>
                <w:sz w:val="17"/>
              </w:rPr>
            </w:r>
            <w:r>
              <w:rPr>
                <w:sz w:val="17"/>
              </w:rPr>
              <w:t>Non évalué</w:t>
            </w:r>
          </w:p>
        </w:tc>
        <w:tc>
          <w:tcPr>
            <w:tcW w:type="dxa" w:w="2160"/>
          </w:tcPr>
          <w:p>
            <w:r>
              <w:rPr>
                <w:sz w:val="17"/>
              </w:rPr>
            </w:r>
            <w:r>
              <w:rPr>
                <w:sz w:val="17"/>
              </w:rPr>
              <w:t>Champ STARS identifié (OP-9) mais valeur non extraite : nécessite les pages STARS authentifiées.</w:t>
            </w:r>
          </w:p>
        </w:tc>
        <w:tc>
          <w:tcPr>
            <w:tcW w:type="dxa" w:w="2160"/>
          </w:tcPr>
          <w:p>
            <w:r>
              <w:rPr>
                <w:sz w:val="17"/>
              </w:rPr>
            </w:r>
            <w:r>
              <w:rPr>
                <w:sz w:val="17"/>
              </w:rPr>
              <w:t>Le dénominateur STARS est l'appel d'offres, pas le nouveau fournisseur ; aucun pourcentage de fournisseurs évalués n'est calculable.</w:t>
            </w:r>
          </w:p>
        </w:tc>
      </w:tr>
      <w:tr>
        <w:tc>
          <w:tcPr>
            <w:tcW w:type="dxa" w:w="2160"/>
          </w:tcPr>
          <w:p>
            <w:r>
              <w:rPr>
                <w:sz w:val="17"/>
              </w:rPr>
            </w:r>
            <w:r>
              <w:rPr>
                <w:b/>
                <w:sz w:val="17"/>
              </w:rPr>
              <w:t>308-2</w:t>
            </w:r>
            <w:r>
              <w:rPr>
                <w:sz w:val="17"/>
              </w:rPr>
              <w:t xml:space="preserve"> Impacts environnementaux négatifs dans la chaîne d'approvisionnement</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bl>
    <w:p/>
    <w:p>
      <w:pPr>
        <w:pStyle w:val="Heading2"/>
      </w:pPr>
      <w:r>
        <w:rPr>
          <w:color w:val="2F6F5E"/>
        </w:rPr>
        <w:t>GRI 401 : Emploi 2016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401-1</w:t>
            </w:r>
            <w:r>
              <w:rPr>
                <w:sz w:val="17"/>
              </w:rPr>
              <w:t xml:space="preserve"> Recrutements et rotation du personnel</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401-2</w:t>
            </w:r>
            <w:r>
              <w:rPr>
                <w:sz w:val="17"/>
              </w:rPr>
              <w:t xml:space="preserve"> Avantages accordés aux salariés à temps plein et non aux temporaires ou temps partiels</w:t>
            </w:r>
          </w:p>
        </w:tc>
        <w:tc>
          <w:tcPr>
            <w:tcW w:type="dxa" w:w="2160"/>
          </w:tcPr>
          <w:p>
            <w:r>
              <w:rPr>
                <w:sz w:val="17"/>
              </w:rPr>
            </w:r>
            <w:r>
              <w:rPr>
                <w:sz w:val="17"/>
              </w:rPr>
              <w:t>Non évalué</w:t>
            </w:r>
          </w:p>
        </w:tc>
        <w:tc>
          <w:tcPr>
            <w:tcW w:type="dxa" w:w="2160"/>
          </w:tcPr>
          <w:p>
            <w:r>
              <w:rPr>
                <w:sz w:val="17"/>
              </w:rPr>
            </w:r>
            <w:r>
              <w:rPr>
                <w:sz w:val="17"/>
              </w:rPr>
              <w:t>Champ STARS identifié (PA-12) mais valeur non extraite : nécessite les pages STARS authentifiées.</w:t>
            </w:r>
          </w:p>
        </w:tc>
        <w:tc>
          <w:tcPr>
            <w:tcW w:type="dxa" w:w="2160"/>
          </w:tcPr>
          <w:p>
            <w:r>
              <w:rPr>
                <w:sz w:val="17"/>
              </w:rPr>
            </w:r>
            <w:r>
              <w:rPr>
                <w:sz w:val="17"/>
              </w:rPr>
              <w:t>Un taux d'éligibilité global, sans la comparaison temps plein / temps partiel qui est l'objet de la publication.</w:t>
            </w:r>
          </w:p>
        </w:tc>
      </w:tr>
      <w:tr>
        <w:tc>
          <w:tcPr>
            <w:tcW w:type="dxa" w:w="2160"/>
          </w:tcPr>
          <w:p>
            <w:r>
              <w:rPr>
                <w:sz w:val="17"/>
              </w:rPr>
            </w:r>
            <w:r>
              <w:rPr>
                <w:b/>
                <w:sz w:val="17"/>
              </w:rPr>
              <w:t>401-3</w:t>
            </w:r>
            <w:r>
              <w:rPr>
                <w:sz w:val="17"/>
              </w:rPr>
              <w:t xml:space="preserve"> Congé parental</w:t>
            </w:r>
          </w:p>
        </w:tc>
        <w:tc>
          <w:tcPr>
            <w:tcW w:type="dxa" w:w="2160"/>
          </w:tcPr>
          <w:p>
            <w:r>
              <w:rPr>
                <w:sz w:val="17"/>
              </w:rPr>
            </w:r>
            <w:r>
              <w:rPr>
                <w:sz w:val="17"/>
              </w:rPr>
              <w:t>Non évalué</w:t>
            </w:r>
          </w:p>
        </w:tc>
        <w:tc>
          <w:tcPr>
            <w:tcW w:type="dxa" w:w="2160"/>
          </w:tcPr>
          <w:p>
            <w:r>
              <w:rPr>
                <w:sz w:val="17"/>
              </w:rPr>
            </w:r>
            <w:r>
              <w:rPr>
                <w:sz w:val="17"/>
              </w:rPr>
              <w:t>Champ STARS identifié (PA-12) mais valeur non extraite : nécessite les pages STARS authentifiées.</w:t>
            </w:r>
          </w:p>
        </w:tc>
        <w:tc>
          <w:tcPr>
            <w:tcW w:type="dxa" w:w="2160"/>
          </w:tcPr>
          <w:p>
            <w:r>
              <w:rPr>
                <w:sz w:val="17"/>
              </w:rPr>
            </w:r>
            <w:r>
              <w:rPr>
                <w:sz w:val="17"/>
              </w:rPr>
              <w:t>STARS décrit la politique, pas son utilisation : ni effectifs, ni taux de retour, ni taux de rétention. « Maternité » est plus étroit que « parental ».</w:t>
            </w:r>
          </w:p>
        </w:tc>
      </w:tr>
    </w:tbl>
    <w:p/>
    <w:p>
      <w:pPr>
        <w:pStyle w:val="Heading2"/>
      </w:pPr>
      <w:r>
        <w:rPr>
          <w:color w:val="2F6F5E"/>
        </w:rPr>
        <w:t>GRI 403 : Santé et sécurité au travail 2018</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403-1</w:t>
            </w:r>
            <w:r>
              <w:rPr>
                <w:sz w:val="17"/>
              </w:rPr>
              <w:t xml:space="preserve"> Système de management de la santé et de la sécurité au travail</w:t>
            </w:r>
          </w:p>
        </w:tc>
        <w:tc>
          <w:tcPr>
            <w:tcW w:type="dxa" w:w="2160"/>
          </w:tcPr>
          <w:p>
            <w:r>
              <w:rPr>
                <w:sz w:val="17"/>
              </w:rPr>
            </w:r>
            <w:r>
              <w:rPr>
                <w:sz w:val="17"/>
              </w:rPr>
              <w:t>Partiellement rapporté</w:t>
            </w:r>
          </w:p>
        </w:tc>
        <w:tc>
          <w:tcPr>
            <w:tcW w:type="dxa" w:w="2160"/>
          </w:tcPr>
          <w:p>
            <w:r>
              <w:rPr>
                <w:sz w:val="17"/>
              </w:rPr>
            </w:r>
            <w:r>
              <w:rPr>
                <w:sz w:val="17"/>
              </w:rPr>
              <w:t>Couvert par le récit de l'établissement (PA-11) ; les champs structurés n'ont pas été extraits.</w:t>
            </w:r>
          </w:p>
        </w:tc>
        <w:tc>
          <w:tcPr>
            <w:tcW w:type="dxa" w:w="2160"/>
          </w:tcPr>
          <w:p>
            <w:r>
              <w:rPr>
                <w:sz w:val="17"/>
              </w:rPr>
            </w:r>
            <w:r>
              <w:rPr>
                <w:sz w:val="17"/>
              </w:rPr>
              <w:t>Rien n'indique si le système est réglementaire, quelle norme il suit, ni qui il couvre.</w:t>
            </w:r>
          </w:p>
        </w:tc>
      </w:tr>
      <w:tr>
        <w:tc>
          <w:tcPr>
            <w:tcW w:type="dxa" w:w="2160"/>
          </w:tcPr>
          <w:p>
            <w:r>
              <w:rPr>
                <w:sz w:val="17"/>
              </w:rPr>
            </w:r>
            <w:r>
              <w:rPr>
                <w:b/>
                <w:sz w:val="17"/>
              </w:rPr>
              <w:t>403-2</w:t>
            </w:r>
            <w:r>
              <w:rPr>
                <w:sz w:val="17"/>
              </w:rPr>
              <w:t xml:space="preserve"> Identification des dangers, évaluation des risques et enquêtes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403-3</w:t>
            </w:r>
            <w:r>
              <w:rPr>
                <w:sz w:val="17"/>
              </w:rPr>
              <w:t xml:space="preserve"> Services de santé au travail</w:t>
            </w:r>
          </w:p>
        </w:tc>
        <w:tc>
          <w:tcPr>
            <w:tcW w:type="dxa" w:w="2160"/>
          </w:tcPr>
          <w:p>
            <w:r>
              <w:rPr>
                <w:sz w:val="17"/>
              </w:rPr>
            </w:r>
            <w:r>
              <w:rPr>
                <w:sz w:val="17"/>
              </w:rPr>
              <w:t>Partiellement rapporté</w:t>
            </w:r>
          </w:p>
        </w:tc>
        <w:tc>
          <w:tcPr>
            <w:tcW w:type="dxa" w:w="2160"/>
          </w:tcPr>
          <w:p>
            <w:r>
              <w:rPr>
                <w:sz w:val="17"/>
              </w:rPr>
            </w:r>
            <w:r>
              <w:rPr>
                <w:sz w:val="17"/>
              </w:rPr>
              <w:t>Couvert par le récit de l'établissement (PA-11) ; les champs structurés n'ont pas été extraits.</w:t>
            </w:r>
          </w:p>
        </w:tc>
        <w:tc>
          <w:tcPr>
            <w:tcW w:type="dxa" w:w="2160"/>
          </w:tcPr>
          <w:p>
            <w:r>
              <w:rPr>
                <w:sz w:val="17"/>
              </w:rPr>
            </w:r>
            <w:r>
              <w:rPr>
                <w:sz w:val="17"/>
              </w:rPr>
              <w:t>Des services de santé généraux ne sont pas des services de santé au travail au sens de GRI 403-3.</w:t>
            </w:r>
          </w:p>
        </w:tc>
      </w:tr>
      <w:tr>
        <w:tc>
          <w:tcPr>
            <w:tcW w:type="dxa" w:w="2160"/>
          </w:tcPr>
          <w:p>
            <w:r>
              <w:rPr>
                <w:sz w:val="17"/>
              </w:rPr>
            </w:r>
            <w:r>
              <w:rPr>
                <w:b/>
                <w:sz w:val="17"/>
              </w:rPr>
              <w:t>403-4</w:t>
            </w:r>
            <w:r>
              <w:rPr>
                <w:sz w:val="17"/>
              </w:rPr>
              <w:t xml:space="preserve"> Participation et consultation des travailleurs en santé et sécurité</w:t>
            </w:r>
          </w:p>
        </w:tc>
        <w:tc>
          <w:tcPr>
            <w:tcW w:type="dxa" w:w="2160"/>
          </w:tcPr>
          <w:p>
            <w:r>
              <w:rPr>
                <w:sz w:val="17"/>
              </w:rPr>
            </w:r>
            <w:r>
              <w:rPr>
                <w:sz w:val="17"/>
              </w:rPr>
              <w:t>Partiellement rapporté</w:t>
            </w:r>
          </w:p>
        </w:tc>
        <w:tc>
          <w:tcPr>
            <w:tcW w:type="dxa" w:w="2160"/>
          </w:tcPr>
          <w:p>
            <w:r>
              <w:rPr>
                <w:sz w:val="17"/>
              </w:rPr>
            </w:r>
            <w:r>
              <w:rPr>
                <w:sz w:val="17"/>
              </w:rPr>
              <w:t>Couvert par le récit de l'établissement (PA-11) ; les champs structurés n'ont pas été extraits.</w:t>
            </w:r>
          </w:p>
        </w:tc>
        <w:tc>
          <w:tcPr>
            <w:tcW w:type="dxa" w:w="2160"/>
          </w:tcPr>
          <w:p>
            <w:r>
              <w:rPr>
                <w:sz w:val="17"/>
              </w:rPr>
            </w:r>
            <w:r>
              <w:rPr>
                <w:sz w:val="17"/>
              </w:rPr>
              <w:t>Existence du comité seulement : ni fréquence des réunions, ni pouvoir de décision.</w:t>
            </w:r>
          </w:p>
        </w:tc>
      </w:tr>
      <w:tr>
        <w:tc>
          <w:tcPr>
            <w:tcW w:type="dxa" w:w="2160"/>
          </w:tcPr>
          <w:p>
            <w:r>
              <w:rPr>
                <w:sz w:val="17"/>
              </w:rPr>
            </w:r>
            <w:r>
              <w:rPr>
                <w:b/>
                <w:sz w:val="17"/>
              </w:rPr>
              <w:t>403-5</w:t>
            </w:r>
            <w:r>
              <w:rPr>
                <w:sz w:val="17"/>
              </w:rPr>
              <w:t xml:space="preserve"> Formation des travailleurs à la santé et sécurité</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403-6</w:t>
            </w:r>
            <w:r>
              <w:rPr>
                <w:sz w:val="17"/>
              </w:rPr>
              <w:t xml:space="preserve"> Promotion de la santé des travailleurs</w:t>
            </w:r>
          </w:p>
        </w:tc>
        <w:tc>
          <w:tcPr>
            <w:tcW w:type="dxa" w:w="2160"/>
          </w:tcPr>
          <w:p>
            <w:r>
              <w:rPr>
                <w:sz w:val="17"/>
              </w:rPr>
            </w:r>
            <w:r>
              <w:rPr>
                <w:sz w:val="17"/>
              </w:rPr>
              <w:t>Partiellement rapporté</w:t>
            </w:r>
          </w:p>
        </w:tc>
        <w:tc>
          <w:tcPr>
            <w:tcW w:type="dxa" w:w="2160"/>
          </w:tcPr>
          <w:p>
            <w:r>
              <w:rPr>
                <w:sz w:val="17"/>
              </w:rPr>
            </w:r>
            <w:r>
              <w:rPr>
                <w:sz w:val="17"/>
              </w:rPr>
              <w:t>Couvert par le récit de l'établissement (PA-11) ; les champs structurés n'ont pas été extraits.</w:t>
            </w:r>
          </w:p>
        </w:tc>
        <w:tc>
          <w:tcPr>
            <w:tcW w:type="dxa" w:w="2160"/>
          </w:tcPr>
          <w:p>
            <w:r>
              <w:rPr>
                <w:sz w:val="17"/>
              </w:rPr>
            </w:r>
          </w:p>
        </w:tc>
      </w:tr>
      <w:tr>
        <w:tc>
          <w:tcPr>
            <w:tcW w:type="dxa" w:w="2160"/>
          </w:tcPr>
          <w:p>
            <w:r>
              <w:rPr>
                <w:sz w:val="17"/>
              </w:rPr>
            </w:r>
            <w:r>
              <w:rPr>
                <w:b/>
                <w:sz w:val="17"/>
              </w:rPr>
              <w:t>403-7</w:t>
            </w:r>
            <w:r>
              <w:rPr>
                <w:sz w:val="17"/>
              </w:rPr>
              <w:t xml:space="preserve"> Prévention des impacts liés aux relations d'affaires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403-8</w:t>
            </w:r>
            <w:r>
              <w:rPr>
                <w:sz w:val="17"/>
              </w:rPr>
              <w:t xml:space="preserve"> Travailleurs couverts par un système de management</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403-9</w:t>
            </w:r>
            <w:r>
              <w:rPr>
                <w:sz w:val="17"/>
              </w:rPr>
              <w:t xml:space="preserve"> Accidents du travail</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r>
              <w:rPr>
                <w:sz w:val="17"/>
              </w:rPr>
              <w:t>PA-11 ne contient aucun chiffre d'accident.</w:t>
            </w:r>
          </w:p>
        </w:tc>
      </w:tr>
      <w:tr>
        <w:tc>
          <w:tcPr>
            <w:tcW w:type="dxa" w:w="2160"/>
          </w:tcPr>
          <w:p>
            <w:r>
              <w:rPr>
                <w:sz w:val="17"/>
              </w:rPr>
            </w:r>
            <w:r>
              <w:rPr>
                <w:b/>
                <w:sz w:val="17"/>
              </w:rPr>
              <w:t>403-10</w:t>
            </w:r>
            <w:r>
              <w:rPr>
                <w:sz w:val="17"/>
              </w:rPr>
              <w:t xml:space="preserve"> Problèmes de santé liés au travail</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bl>
    <w:p/>
    <w:p>
      <w:pPr>
        <w:pStyle w:val="Heading2"/>
      </w:pPr>
      <w:r>
        <w:rPr>
          <w:color w:val="2F6F5E"/>
        </w:rPr>
        <w:t>GRI 405 : Diversité et égalité des chances 2016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405-1</w:t>
            </w:r>
            <w:r>
              <w:rPr>
                <w:sz w:val="17"/>
              </w:rPr>
              <w:t xml:space="preserve"> Diversité des organes de gouvernance et des salariés</w:t>
            </w:r>
          </w:p>
        </w:tc>
        <w:tc>
          <w:tcPr>
            <w:tcW w:type="dxa" w:w="2160"/>
          </w:tcPr>
          <w:p>
            <w:r>
              <w:rPr>
                <w:sz w:val="17"/>
              </w:rPr>
            </w:r>
            <w:r>
              <w:rPr>
                <w:sz w:val="17"/>
              </w:rPr>
              <w:t>Non évalué</w:t>
            </w:r>
          </w:p>
        </w:tc>
        <w:tc>
          <w:tcPr>
            <w:tcW w:type="dxa" w:w="2160"/>
          </w:tcPr>
          <w:p>
            <w:r>
              <w:rPr>
                <w:sz w:val="17"/>
              </w:rPr>
            </w:r>
            <w:r>
              <w:rPr>
                <w:sz w:val="17"/>
              </w:rPr>
              <w:t>Champ STARS identifié (PA-7, PA-8) mais valeur non extraite : nécessite les pages STARS authentifiées.</w:t>
            </w:r>
          </w:p>
        </w:tc>
        <w:tc>
          <w:tcPr>
            <w:tcW w:type="dxa" w:w="2160"/>
          </w:tcPr>
          <w:p>
            <w:r>
              <w:rPr>
                <w:sz w:val="17"/>
              </w:rPr>
            </w:r>
            <w:r>
              <w:rPr>
                <w:sz w:val="17"/>
              </w:rPr>
              <w:t>Un indice de diversité (score de 0 à 1) n'est pas la ventilation en pourcentages demandée ; deux catégories de genre au lieu de trois ; aucune donnée d'âge.</w:t>
            </w:r>
          </w:p>
        </w:tc>
      </w:tr>
      <w:tr>
        <w:tc>
          <w:tcPr>
            <w:tcW w:type="dxa" w:w="2160"/>
          </w:tcPr>
          <w:p>
            <w:r>
              <w:rPr>
                <w:sz w:val="17"/>
              </w:rPr>
            </w:r>
            <w:r>
              <w:rPr>
                <w:b/>
                <w:sz w:val="17"/>
              </w:rPr>
              <w:t>405-2</w:t>
            </w:r>
            <w:r>
              <w:rPr>
                <w:sz w:val="17"/>
              </w:rPr>
              <w:t xml:space="preserve"> Ratio du salaire de base et de la rémunération des femmes par rapport aux hommes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r>
              <w:rPr>
                <w:sz w:val="17"/>
              </w:rPr>
              <w:t>PA-13 couvre le salaire décent, pas l'écart de rémunération femmes-hommes, malgré son intitulé « Pay Equity ».</w:t>
            </w:r>
          </w:p>
        </w:tc>
      </w:tr>
    </w:tbl>
    <w:p/>
    <w:p>
      <w:pPr>
        <w:pStyle w:val="Heading1"/>
      </w:pPr>
      <w:r>
        <w:rPr>
          <w:color w:val="2F6F5E"/>
        </w:rPr>
        <w:t>Annexe — Correspondance STARS → GRI, TCFD, ESRS</w:t>
      </w:r>
    </w:p>
    <w:p>
      <w:r>
        <w:t xml:space="preserve">Correspondance </w:t>
      </w:r>
      <w:r>
        <w:rPr>
          <w:b/>
        </w:rPr>
        <w:t>thématique</w:t>
      </w:r>
      <w:r>
        <w:t xml:space="preserve"> écrite à la main (</w:t>
      </w:r>
      <w:r>
        <w:rPr>
          <w:rFonts w:ascii="Consolas" w:hAnsi="Consolas"/>
        </w:rPr>
        <w:t>mapping/frameworks.yaml</w:t>
      </w:r>
      <w:r>
        <w:t xml:space="preserve">, </w:t>
      </w:r>
      <w:r>
        <w:rPr>
          <w:rFonts w:ascii="Consolas" w:hAnsi="Consolas"/>
        </w:rPr>
        <w:t>mapping/gri_map.yaml</w:t>
      </w:r>
      <w:r>
        <w:t>), jamais générée par le modèle. Un crédit sans équivalent est marqué « Aucune correspondance » plutôt que forcé. Correspondance STARS -&gt; GRI : 22/50 crédits reliés, 28 sans correspondance | TCFD : 7/50 crédits reliés, 43 sans correspondance | ESRS : 32/50 crédits reliés, 18 sans correspondance.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Crédit STARS</w:t>
            </w:r>
          </w:p>
        </w:tc>
        <w:tc>
          <w:tcPr>
            <w:tcW w:type="dxa" w:w="2160"/>
          </w:tcPr>
          <w:p>
            <w:r>
              <w:rPr>
                <w:b/>
                <w:sz w:val="17"/>
              </w:rPr>
            </w:r>
            <w:r>
              <w:rPr>
                <w:b/>
                <w:sz w:val="17"/>
              </w:rPr>
              <w:t>GRI</w:t>
            </w:r>
          </w:p>
        </w:tc>
        <w:tc>
          <w:tcPr>
            <w:tcW w:type="dxa" w:w="2160"/>
          </w:tcPr>
          <w:p>
            <w:r>
              <w:rPr>
                <w:b/>
                <w:sz w:val="17"/>
              </w:rPr>
            </w:r>
            <w:r>
              <w:rPr>
                <w:b/>
                <w:sz w:val="17"/>
              </w:rPr>
              <w:t>TCFD</w:t>
            </w:r>
          </w:p>
        </w:tc>
        <w:tc>
          <w:tcPr>
            <w:tcW w:type="dxa" w:w="2160"/>
          </w:tcPr>
          <w:p>
            <w:r>
              <w:rPr>
                <w:b/>
                <w:sz w:val="17"/>
              </w:rPr>
            </w:r>
            <w:r>
              <w:rPr>
                <w:b/>
                <w:sz w:val="17"/>
              </w:rPr>
              <w:t>ESRS</w:t>
            </w:r>
          </w:p>
        </w:tc>
      </w:tr>
      <w:tr>
        <w:tc>
          <w:tcPr>
            <w:tcW w:type="dxa" w:w="2160"/>
          </w:tcPr>
          <w:p>
            <w:r>
              <w:rPr>
                <w:sz w:val="17"/>
              </w:rPr>
            </w:r>
            <w:r>
              <w:rPr>
                <w:b/>
                <w:sz w:val="17"/>
              </w:rPr>
              <w:t>PRE-1</w:t>
            </w:r>
            <w:r>
              <w:rPr>
                <w:sz w:val="17"/>
              </w:rPr>
              <w:t xml:space="preserve"> Executive Letter</w:t>
            </w:r>
          </w:p>
        </w:tc>
        <w:tc>
          <w:tcPr>
            <w:tcW w:type="dxa" w:w="2160"/>
          </w:tcPr>
          <w:p>
            <w:r>
              <w:rPr>
                <w:sz w:val="17"/>
              </w:rPr>
            </w:r>
            <w:r>
              <w:rPr>
                <w:sz w:val="17"/>
              </w:rPr>
              <w:t>GRI 2-14</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PRE-2</w:t>
            </w:r>
            <w:r>
              <w:rPr>
                <w:sz w:val="17"/>
              </w:rPr>
              <w:t xml:space="preserve"> Points of Distinction</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PRE-3</w:t>
            </w:r>
            <w:r>
              <w:rPr>
                <w:sz w:val="17"/>
              </w:rPr>
              <w:t xml:space="preserve"> Institutional Characteristics</w:t>
            </w:r>
          </w:p>
        </w:tc>
        <w:tc>
          <w:tcPr>
            <w:tcW w:type="dxa" w:w="2160"/>
          </w:tcPr>
          <w:p>
            <w:r>
              <w:rPr>
                <w:sz w:val="17"/>
              </w:rPr>
            </w:r>
            <w:r>
              <w:rPr>
                <w:sz w:val="17"/>
              </w:rPr>
              <w:t>GRI 2-1, GRI 2-2, GRI 2-6, GRI 2-7</w:t>
            </w:r>
          </w:p>
        </w:tc>
        <w:tc>
          <w:tcPr>
            <w:tcW w:type="dxa" w:w="2160"/>
          </w:tcPr>
          <w:p>
            <w:r>
              <w:rPr>
                <w:sz w:val="17"/>
              </w:rPr>
            </w:r>
            <w:r>
              <w:rPr>
                <w:sz w:val="17"/>
              </w:rPr>
              <w:t>Aucune correspondance</w:t>
            </w:r>
          </w:p>
        </w:tc>
        <w:tc>
          <w:tcPr>
            <w:tcW w:type="dxa" w:w="2160"/>
          </w:tcPr>
          <w:p>
            <w:r>
              <w:rPr>
                <w:sz w:val="17"/>
              </w:rPr>
            </w:r>
            <w:r>
              <w:rPr>
                <w:sz w:val="17"/>
              </w:rPr>
              <w:t>ESRS 2</w:t>
            </w:r>
          </w:p>
        </w:tc>
      </w:tr>
      <w:tr>
        <w:tc>
          <w:tcPr>
            <w:tcW w:type="dxa" w:w="2160"/>
          </w:tcPr>
          <w:p>
            <w:r>
              <w:rPr>
                <w:sz w:val="17"/>
              </w:rPr>
            </w:r>
            <w:r>
              <w:rPr>
                <w:b/>
                <w:sz w:val="17"/>
              </w:rPr>
              <w:t>PRE-4</w:t>
            </w:r>
            <w:r>
              <w:rPr>
                <w:sz w:val="17"/>
              </w:rPr>
              <w:t xml:space="preserve"> Reporting Methodologies</w:t>
            </w:r>
          </w:p>
        </w:tc>
        <w:tc>
          <w:tcPr>
            <w:tcW w:type="dxa" w:w="2160"/>
          </w:tcPr>
          <w:p>
            <w:r>
              <w:rPr>
                <w:sz w:val="17"/>
              </w:rPr>
            </w:r>
            <w:r>
              <w:rPr>
                <w:sz w:val="17"/>
              </w:rPr>
              <w:t>GRI 2-3, GRI 2-5</w:t>
            </w:r>
          </w:p>
        </w:tc>
        <w:tc>
          <w:tcPr>
            <w:tcW w:type="dxa" w:w="2160"/>
          </w:tcPr>
          <w:p>
            <w:r>
              <w:rPr>
                <w:sz w:val="17"/>
              </w:rPr>
            </w:r>
            <w:r>
              <w:rPr>
                <w:sz w:val="17"/>
              </w:rPr>
              <w:t>Aucune correspondance</w:t>
            </w:r>
          </w:p>
        </w:tc>
        <w:tc>
          <w:tcPr>
            <w:tcW w:type="dxa" w:w="2160"/>
          </w:tcPr>
          <w:p>
            <w:r>
              <w:rPr>
                <w:sz w:val="17"/>
              </w:rPr>
            </w:r>
            <w:r>
              <w:rPr>
                <w:sz w:val="17"/>
              </w:rPr>
              <w:t>ESRS 2</w:t>
            </w:r>
          </w:p>
        </w:tc>
      </w:tr>
      <w:tr>
        <w:tc>
          <w:tcPr>
            <w:tcW w:type="dxa" w:w="2160"/>
          </w:tcPr>
          <w:p>
            <w:r>
              <w:rPr>
                <w:sz w:val="17"/>
              </w:rPr>
            </w:r>
            <w:r>
              <w:rPr>
                <w:b/>
                <w:sz w:val="17"/>
              </w:rPr>
              <w:t>AC-1</w:t>
            </w:r>
            <w:r>
              <w:rPr>
                <w:sz w:val="17"/>
              </w:rPr>
              <w:t xml:space="preserve"> Sustainability Course Offerings</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AC-2</w:t>
            </w:r>
            <w:r>
              <w:rPr>
                <w:sz w:val="17"/>
              </w:rPr>
              <w:t xml:space="preserve"> Undergraduate Programs</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AC-3</w:t>
            </w:r>
            <w:r>
              <w:rPr>
                <w:sz w:val="17"/>
              </w:rPr>
              <w:t xml:space="preserve"> Graduate Programs</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AC-4</w:t>
            </w:r>
            <w:r>
              <w:rPr>
                <w:sz w:val="17"/>
              </w:rPr>
              <w:t xml:space="preserve"> Applied Learning</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AC-5</w:t>
            </w:r>
            <w:r>
              <w:rPr>
                <w:sz w:val="17"/>
              </w:rPr>
              <w:t xml:space="preserve"> Sustainability Literacy Assessment</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AC-6</w:t>
            </w:r>
            <w:r>
              <w:rPr>
                <w:sz w:val="17"/>
              </w:rPr>
              <w:t xml:space="preserve"> Sustainability Research</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AC-7</w:t>
            </w:r>
            <w:r>
              <w:rPr>
                <w:sz w:val="17"/>
              </w:rPr>
              <w:t xml:space="preserve"> Center for Sustainability Research</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AC-8</w:t>
            </w:r>
            <w:r>
              <w:rPr>
                <w:sz w:val="17"/>
              </w:rPr>
              <w:t xml:space="preserve"> Responsible Research and Innovation</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EN-1</w:t>
            </w:r>
            <w:r>
              <w:rPr>
                <w:sz w:val="17"/>
              </w:rPr>
              <w:t xml:space="preserve"> Outreach and Communications</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EN-2</w:t>
            </w:r>
            <w:r>
              <w:rPr>
                <w:sz w:val="17"/>
              </w:rPr>
              <w:t xml:space="preserve"> Co-Curricular Activities</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EN-3</w:t>
            </w:r>
            <w:r>
              <w:rPr>
                <w:sz w:val="17"/>
              </w:rPr>
              <w:t xml:space="preserve"> Staff Engagement and Training</w:t>
            </w:r>
          </w:p>
        </w:tc>
        <w:tc>
          <w:tcPr>
            <w:tcW w:type="dxa" w:w="2160"/>
          </w:tcPr>
          <w:p>
            <w:r>
              <w:rPr>
                <w:sz w:val="17"/>
              </w:rPr>
            </w:r>
            <w:r>
              <w:rPr>
                <w:sz w:val="17"/>
              </w:rPr>
              <w:t>GRI 2-24</w:t>
            </w:r>
          </w:p>
        </w:tc>
        <w:tc>
          <w:tcPr>
            <w:tcW w:type="dxa" w:w="2160"/>
          </w:tcPr>
          <w:p>
            <w:r>
              <w:rPr>
                <w:sz w:val="17"/>
              </w:rPr>
            </w:r>
            <w:r>
              <w:rPr>
                <w:sz w:val="17"/>
              </w:rPr>
              <w:t>Aucune correspondance</w:t>
            </w:r>
          </w:p>
        </w:tc>
        <w:tc>
          <w:tcPr>
            <w:tcW w:type="dxa" w:w="2160"/>
          </w:tcPr>
          <w:p>
            <w:r>
              <w:rPr>
                <w:sz w:val="17"/>
              </w:rPr>
            </w:r>
            <w:r>
              <w:rPr>
                <w:sz w:val="17"/>
              </w:rPr>
              <w:t>S1</w:t>
            </w:r>
          </w:p>
        </w:tc>
      </w:tr>
      <w:tr>
        <w:tc>
          <w:tcPr>
            <w:tcW w:type="dxa" w:w="2160"/>
          </w:tcPr>
          <w:p>
            <w:r>
              <w:rPr>
                <w:sz w:val="17"/>
              </w:rPr>
            </w:r>
            <w:r>
              <w:rPr>
                <w:b/>
                <w:sz w:val="17"/>
              </w:rPr>
              <w:t>EN-4</w:t>
            </w:r>
            <w:r>
              <w:rPr>
                <w:sz w:val="17"/>
              </w:rPr>
              <w:t xml:space="preserve"> Sustainability Culture Assessment</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EN-5</w:t>
            </w:r>
            <w:r>
              <w:rPr>
                <w:sz w:val="17"/>
              </w:rPr>
              <w:t xml:space="preserve"> Civic Engagement</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S3</w:t>
            </w:r>
          </w:p>
        </w:tc>
      </w:tr>
      <w:tr>
        <w:tc>
          <w:tcPr>
            <w:tcW w:type="dxa" w:w="2160"/>
          </w:tcPr>
          <w:p>
            <w:r>
              <w:rPr>
                <w:sz w:val="17"/>
              </w:rPr>
            </w:r>
            <w:r>
              <w:rPr>
                <w:b/>
                <w:sz w:val="17"/>
              </w:rPr>
              <w:t>EN-6</w:t>
            </w:r>
            <w:r>
              <w:rPr>
                <w:sz w:val="17"/>
              </w:rPr>
              <w:t xml:space="preserve"> Community Partnerships</w:t>
            </w:r>
          </w:p>
        </w:tc>
        <w:tc>
          <w:tcPr>
            <w:tcW w:type="dxa" w:w="2160"/>
          </w:tcPr>
          <w:p>
            <w:r>
              <w:rPr>
                <w:sz w:val="17"/>
              </w:rPr>
            </w:r>
            <w:r>
              <w:rPr>
                <w:sz w:val="17"/>
              </w:rPr>
              <w:t>GRI 2-29</w:t>
            </w:r>
          </w:p>
        </w:tc>
        <w:tc>
          <w:tcPr>
            <w:tcW w:type="dxa" w:w="2160"/>
          </w:tcPr>
          <w:p>
            <w:r>
              <w:rPr>
                <w:sz w:val="17"/>
              </w:rPr>
            </w:r>
            <w:r>
              <w:rPr>
                <w:sz w:val="17"/>
              </w:rPr>
              <w:t>Aucune correspondance</w:t>
            </w:r>
          </w:p>
        </w:tc>
        <w:tc>
          <w:tcPr>
            <w:tcW w:type="dxa" w:w="2160"/>
          </w:tcPr>
          <w:p>
            <w:r>
              <w:rPr>
                <w:sz w:val="17"/>
              </w:rPr>
            </w:r>
            <w:r>
              <w:rPr>
                <w:sz w:val="17"/>
              </w:rPr>
              <w:t>S3</w:t>
            </w:r>
          </w:p>
        </w:tc>
      </w:tr>
      <w:tr>
        <w:tc>
          <w:tcPr>
            <w:tcW w:type="dxa" w:w="2160"/>
          </w:tcPr>
          <w:p>
            <w:r>
              <w:rPr>
                <w:sz w:val="17"/>
              </w:rPr>
            </w:r>
            <w:r>
              <w:rPr>
                <w:b/>
                <w:sz w:val="17"/>
              </w:rPr>
              <w:t>EN-7</w:t>
            </w:r>
            <w:r>
              <w:rPr>
                <w:sz w:val="17"/>
              </w:rPr>
              <w:t xml:space="preserve"> Continuing Education</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EN-8</w:t>
            </w:r>
            <w:r>
              <w:rPr>
                <w:sz w:val="17"/>
              </w:rPr>
              <w:t xml:space="preserve"> Shared Facilities</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EN-9</w:t>
            </w:r>
            <w:r>
              <w:rPr>
                <w:sz w:val="17"/>
              </w:rPr>
              <w:t xml:space="preserve"> Inter-Campus Collaboration</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OP-1</w:t>
            </w:r>
            <w:r>
              <w:rPr>
                <w:sz w:val="17"/>
              </w:rPr>
              <w:t xml:space="preserve"> Building Design and Construction</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E1</w:t>
            </w:r>
          </w:p>
        </w:tc>
      </w:tr>
      <w:tr>
        <w:tc>
          <w:tcPr>
            <w:tcW w:type="dxa" w:w="2160"/>
          </w:tcPr>
          <w:p>
            <w:r>
              <w:rPr>
                <w:sz w:val="17"/>
              </w:rPr>
            </w:r>
            <w:r>
              <w:rPr>
                <w:b/>
                <w:sz w:val="17"/>
              </w:rPr>
              <w:t>OP-2</w:t>
            </w:r>
            <w:r>
              <w:rPr>
                <w:sz w:val="17"/>
              </w:rPr>
              <w:t xml:space="preserve"> Building Operations and Maintenance</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E1</w:t>
            </w:r>
          </w:p>
        </w:tc>
      </w:tr>
      <w:tr>
        <w:tc>
          <w:tcPr>
            <w:tcW w:type="dxa" w:w="2160"/>
          </w:tcPr>
          <w:p>
            <w:r>
              <w:rPr>
                <w:sz w:val="17"/>
              </w:rPr>
            </w:r>
            <w:r>
              <w:rPr>
                <w:b/>
                <w:sz w:val="17"/>
              </w:rPr>
              <w:t>OP-3</w:t>
            </w:r>
            <w:r>
              <w:rPr>
                <w:sz w:val="17"/>
              </w:rPr>
              <w:t xml:space="preserve"> Water Use</w:t>
            </w:r>
          </w:p>
        </w:tc>
        <w:tc>
          <w:tcPr>
            <w:tcW w:type="dxa" w:w="2160"/>
          </w:tcPr>
          <w:p>
            <w:r>
              <w:rPr>
                <w:sz w:val="17"/>
              </w:rPr>
            </w:r>
            <w:r>
              <w:rPr>
                <w:sz w:val="17"/>
              </w:rPr>
              <w:t>GRI 303-1, GRI 303-3</w:t>
            </w:r>
          </w:p>
        </w:tc>
        <w:tc>
          <w:tcPr>
            <w:tcW w:type="dxa" w:w="2160"/>
          </w:tcPr>
          <w:p>
            <w:r>
              <w:rPr>
                <w:sz w:val="17"/>
              </w:rPr>
            </w:r>
            <w:r>
              <w:rPr>
                <w:sz w:val="17"/>
              </w:rPr>
              <w:t>Aucune correspondance</w:t>
            </w:r>
          </w:p>
        </w:tc>
        <w:tc>
          <w:tcPr>
            <w:tcW w:type="dxa" w:w="2160"/>
          </w:tcPr>
          <w:p>
            <w:r>
              <w:rPr>
                <w:sz w:val="17"/>
              </w:rPr>
            </w:r>
            <w:r>
              <w:rPr>
                <w:sz w:val="17"/>
              </w:rPr>
              <w:t>E3</w:t>
            </w:r>
          </w:p>
        </w:tc>
      </w:tr>
      <w:tr>
        <w:tc>
          <w:tcPr>
            <w:tcW w:type="dxa" w:w="2160"/>
          </w:tcPr>
          <w:p>
            <w:r>
              <w:rPr>
                <w:sz w:val="17"/>
              </w:rPr>
            </w:r>
            <w:r>
              <w:rPr>
                <w:b/>
                <w:sz w:val="17"/>
              </w:rPr>
              <w:t>OP-4</w:t>
            </w:r>
            <w:r>
              <w:rPr>
                <w:sz w:val="17"/>
              </w:rPr>
              <w:t xml:space="preserve"> Ecologically Managed Grounds</w:t>
            </w:r>
          </w:p>
        </w:tc>
        <w:tc>
          <w:tcPr>
            <w:tcW w:type="dxa" w:w="2160"/>
          </w:tcPr>
          <w:p>
            <w:r>
              <w:rPr>
                <w:sz w:val="17"/>
              </w:rPr>
            </w:r>
            <w:r>
              <w:rPr>
                <w:sz w:val="17"/>
              </w:rPr>
              <w:t>GRI 101-2</w:t>
            </w:r>
          </w:p>
        </w:tc>
        <w:tc>
          <w:tcPr>
            <w:tcW w:type="dxa" w:w="2160"/>
          </w:tcPr>
          <w:p>
            <w:r>
              <w:rPr>
                <w:sz w:val="17"/>
              </w:rPr>
            </w:r>
            <w:r>
              <w:rPr>
                <w:sz w:val="17"/>
              </w:rPr>
              <w:t>Aucune correspondance</w:t>
            </w:r>
          </w:p>
        </w:tc>
        <w:tc>
          <w:tcPr>
            <w:tcW w:type="dxa" w:w="2160"/>
          </w:tcPr>
          <w:p>
            <w:r>
              <w:rPr>
                <w:sz w:val="17"/>
              </w:rPr>
            </w:r>
            <w:r>
              <w:rPr>
                <w:sz w:val="17"/>
              </w:rPr>
              <w:t>E4, E2</w:t>
            </w:r>
          </w:p>
        </w:tc>
      </w:tr>
      <w:tr>
        <w:tc>
          <w:tcPr>
            <w:tcW w:type="dxa" w:w="2160"/>
          </w:tcPr>
          <w:p>
            <w:r>
              <w:rPr>
                <w:sz w:val="17"/>
              </w:rPr>
            </w:r>
            <w:r>
              <w:rPr>
                <w:b/>
                <w:sz w:val="17"/>
              </w:rPr>
              <w:t>OP-5</w:t>
            </w:r>
            <w:r>
              <w:rPr>
                <w:sz w:val="17"/>
              </w:rPr>
              <w:t xml:space="preserve"> Energy Use</w:t>
            </w:r>
          </w:p>
        </w:tc>
        <w:tc>
          <w:tcPr>
            <w:tcW w:type="dxa" w:w="2160"/>
          </w:tcPr>
          <w:p>
            <w:r>
              <w:rPr>
                <w:sz w:val="17"/>
              </w:rPr>
            </w:r>
            <w:r>
              <w:rPr>
                <w:sz w:val="17"/>
              </w:rPr>
              <w:t>GRI 302-1, GRI 302-3</w:t>
            </w:r>
          </w:p>
        </w:tc>
        <w:tc>
          <w:tcPr>
            <w:tcW w:type="dxa" w:w="2160"/>
          </w:tcPr>
          <w:p>
            <w:r>
              <w:rPr>
                <w:sz w:val="17"/>
              </w:rPr>
            </w:r>
            <w:r>
              <w:rPr>
                <w:sz w:val="17"/>
              </w:rPr>
              <w:t>MT-a</w:t>
            </w:r>
          </w:p>
        </w:tc>
        <w:tc>
          <w:tcPr>
            <w:tcW w:type="dxa" w:w="2160"/>
          </w:tcPr>
          <w:p>
            <w:r>
              <w:rPr>
                <w:sz w:val="17"/>
              </w:rPr>
            </w:r>
            <w:r>
              <w:rPr>
                <w:sz w:val="17"/>
              </w:rPr>
              <w:t>E1</w:t>
            </w:r>
          </w:p>
        </w:tc>
      </w:tr>
      <w:tr>
        <w:tc>
          <w:tcPr>
            <w:tcW w:type="dxa" w:w="2160"/>
          </w:tcPr>
          <w:p>
            <w:r>
              <w:rPr>
                <w:sz w:val="17"/>
              </w:rPr>
            </w:r>
            <w:r>
              <w:rPr>
                <w:b/>
                <w:sz w:val="17"/>
              </w:rPr>
              <w:t>OP-6</w:t>
            </w:r>
            <w:r>
              <w:rPr>
                <w:sz w:val="17"/>
              </w:rPr>
              <w:t xml:space="preserve"> Greenhouse Gas Emissions</w:t>
            </w:r>
          </w:p>
        </w:tc>
        <w:tc>
          <w:tcPr>
            <w:tcW w:type="dxa" w:w="2160"/>
          </w:tcPr>
          <w:p>
            <w:r>
              <w:rPr>
                <w:sz w:val="17"/>
              </w:rPr>
            </w:r>
            <w:r>
              <w:rPr>
                <w:sz w:val="17"/>
              </w:rPr>
              <w:t>GRI 2-3, GRI 305-1, GRI 305-2, GRI 305-3, GRI 305-4, GRI 305-5</w:t>
            </w:r>
          </w:p>
        </w:tc>
        <w:tc>
          <w:tcPr>
            <w:tcW w:type="dxa" w:w="2160"/>
          </w:tcPr>
          <w:p>
            <w:r>
              <w:rPr>
                <w:sz w:val="17"/>
              </w:rPr>
            </w:r>
            <w:r>
              <w:rPr>
                <w:sz w:val="17"/>
              </w:rPr>
              <w:t>MT-b, MT-c</w:t>
            </w:r>
          </w:p>
        </w:tc>
        <w:tc>
          <w:tcPr>
            <w:tcW w:type="dxa" w:w="2160"/>
          </w:tcPr>
          <w:p>
            <w:r>
              <w:rPr>
                <w:sz w:val="17"/>
              </w:rPr>
            </w:r>
            <w:r>
              <w:rPr>
                <w:sz w:val="17"/>
              </w:rPr>
              <w:t>E1</w:t>
            </w:r>
          </w:p>
        </w:tc>
      </w:tr>
      <w:tr>
        <w:tc>
          <w:tcPr>
            <w:tcW w:type="dxa" w:w="2160"/>
          </w:tcPr>
          <w:p>
            <w:r>
              <w:rPr>
                <w:sz w:val="17"/>
              </w:rPr>
            </w:r>
            <w:r>
              <w:rPr>
                <w:b/>
                <w:sz w:val="17"/>
              </w:rPr>
              <w:t>OP-7</w:t>
            </w:r>
            <w:r>
              <w:rPr>
                <w:sz w:val="17"/>
              </w:rPr>
              <w:t xml:space="preserve"> Dining Service Procurement</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G1</w:t>
            </w:r>
          </w:p>
        </w:tc>
      </w:tr>
      <w:tr>
        <w:tc>
          <w:tcPr>
            <w:tcW w:type="dxa" w:w="2160"/>
          </w:tcPr>
          <w:p>
            <w:r>
              <w:rPr>
                <w:sz w:val="17"/>
              </w:rPr>
            </w:r>
            <w:r>
              <w:rPr>
                <w:b/>
                <w:sz w:val="17"/>
              </w:rPr>
              <w:t>OP-8</w:t>
            </w:r>
            <w:r>
              <w:rPr>
                <w:sz w:val="17"/>
              </w:rPr>
              <w:t xml:space="preserve"> Food Recovery</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E5</w:t>
            </w:r>
          </w:p>
        </w:tc>
      </w:tr>
      <w:tr>
        <w:tc>
          <w:tcPr>
            <w:tcW w:type="dxa" w:w="2160"/>
          </w:tcPr>
          <w:p>
            <w:r>
              <w:rPr>
                <w:sz w:val="17"/>
              </w:rPr>
            </w:r>
            <w:r>
              <w:rPr>
                <w:b/>
                <w:sz w:val="17"/>
              </w:rPr>
              <w:t>OP-9</w:t>
            </w:r>
            <w:r>
              <w:rPr>
                <w:sz w:val="17"/>
              </w:rPr>
              <w:t xml:space="preserve"> Sustainable Procurement System</w:t>
            </w:r>
          </w:p>
        </w:tc>
        <w:tc>
          <w:tcPr>
            <w:tcW w:type="dxa" w:w="2160"/>
          </w:tcPr>
          <w:p>
            <w:r>
              <w:rPr>
                <w:sz w:val="17"/>
              </w:rPr>
            </w:r>
            <w:r>
              <w:rPr>
                <w:sz w:val="17"/>
              </w:rPr>
              <w:t>GRI 2-24, GRI 308-1</w:t>
            </w:r>
          </w:p>
        </w:tc>
        <w:tc>
          <w:tcPr>
            <w:tcW w:type="dxa" w:w="2160"/>
          </w:tcPr>
          <w:p>
            <w:r>
              <w:rPr>
                <w:sz w:val="17"/>
              </w:rPr>
            </w:r>
            <w:r>
              <w:rPr>
                <w:sz w:val="17"/>
              </w:rPr>
              <w:t>Aucune correspondance</w:t>
            </w:r>
          </w:p>
        </w:tc>
        <w:tc>
          <w:tcPr>
            <w:tcW w:type="dxa" w:w="2160"/>
          </w:tcPr>
          <w:p>
            <w:r>
              <w:rPr>
                <w:sz w:val="17"/>
              </w:rPr>
            </w:r>
            <w:r>
              <w:rPr>
                <w:sz w:val="17"/>
              </w:rPr>
              <w:t>G1, S2</w:t>
            </w:r>
          </w:p>
        </w:tc>
      </w:tr>
      <w:tr>
        <w:tc>
          <w:tcPr>
            <w:tcW w:type="dxa" w:w="2160"/>
          </w:tcPr>
          <w:p>
            <w:r>
              <w:rPr>
                <w:sz w:val="17"/>
              </w:rPr>
            </w:r>
            <w:r>
              <w:rPr>
                <w:b/>
                <w:sz w:val="17"/>
              </w:rPr>
              <w:t>OP-10</w:t>
            </w:r>
            <w:r>
              <w:rPr>
                <w:sz w:val="17"/>
              </w:rPr>
              <w:t xml:space="preserve"> Purchased Goods</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E5</w:t>
            </w:r>
          </w:p>
        </w:tc>
      </w:tr>
      <w:tr>
        <w:tc>
          <w:tcPr>
            <w:tcW w:type="dxa" w:w="2160"/>
          </w:tcPr>
          <w:p>
            <w:r>
              <w:rPr>
                <w:sz w:val="17"/>
              </w:rPr>
            </w:r>
            <w:r>
              <w:rPr>
                <w:b/>
                <w:sz w:val="17"/>
              </w:rPr>
              <w:t>OP-11</w:t>
            </w:r>
            <w:r>
              <w:rPr>
                <w:sz w:val="17"/>
              </w:rPr>
              <w:t xml:space="preserve"> Materials Management</w:t>
            </w:r>
          </w:p>
        </w:tc>
        <w:tc>
          <w:tcPr>
            <w:tcW w:type="dxa" w:w="2160"/>
          </w:tcPr>
          <w:p>
            <w:r>
              <w:rPr>
                <w:sz w:val="17"/>
              </w:rPr>
            </w:r>
            <w:r>
              <w:rPr>
                <w:sz w:val="17"/>
              </w:rPr>
              <w:t>GRI 306-2</w:t>
            </w:r>
          </w:p>
        </w:tc>
        <w:tc>
          <w:tcPr>
            <w:tcW w:type="dxa" w:w="2160"/>
          </w:tcPr>
          <w:p>
            <w:r>
              <w:rPr>
                <w:sz w:val="17"/>
              </w:rPr>
            </w:r>
            <w:r>
              <w:rPr>
                <w:sz w:val="17"/>
              </w:rPr>
              <w:t>Aucune correspondance</w:t>
            </w:r>
          </w:p>
        </w:tc>
        <w:tc>
          <w:tcPr>
            <w:tcW w:type="dxa" w:w="2160"/>
          </w:tcPr>
          <w:p>
            <w:r>
              <w:rPr>
                <w:sz w:val="17"/>
              </w:rPr>
            </w:r>
            <w:r>
              <w:rPr>
                <w:sz w:val="17"/>
              </w:rPr>
              <w:t>E5, E2</w:t>
            </w:r>
          </w:p>
        </w:tc>
      </w:tr>
      <w:tr>
        <w:tc>
          <w:tcPr>
            <w:tcW w:type="dxa" w:w="2160"/>
          </w:tcPr>
          <w:p>
            <w:r>
              <w:rPr>
                <w:sz w:val="17"/>
              </w:rPr>
            </w:r>
            <w:r>
              <w:rPr>
                <w:b/>
                <w:sz w:val="17"/>
              </w:rPr>
              <w:t>OP-12</w:t>
            </w:r>
            <w:r>
              <w:rPr>
                <w:sz w:val="17"/>
              </w:rPr>
              <w:t xml:space="preserve"> Waste Generation and Recovery</w:t>
            </w:r>
          </w:p>
        </w:tc>
        <w:tc>
          <w:tcPr>
            <w:tcW w:type="dxa" w:w="2160"/>
          </w:tcPr>
          <w:p>
            <w:r>
              <w:rPr>
                <w:sz w:val="17"/>
              </w:rPr>
            </w:r>
            <w:r>
              <w:rPr>
                <w:sz w:val="17"/>
              </w:rPr>
              <w:t>GRI 306-2, GRI 306-3, GRI 306-4, GRI 306-5</w:t>
            </w:r>
          </w:p>
        </w:tc>
        <w:tc>
          <w:tcPr>
            <w:tcW w:type="dxa" w:w="2160"/>
          </w:tcPr>
          <w:p>
            <w:r>
              <w:rPr>
                <w:sz w:val="17"/>
              </w:rPr>
            </w:r>
            <w:r>
              <w:rPr>
                <w:sz w:val="17"/>
              </w:rPr>
              <w:t>Aucune correspondance</w:t>
            </w:r>
          </w:p>
        </w:tc>
        <w:tc>
          <w:tcPr>
            <w:tcW w:type="dxa" w:w="2160"/>
          </w:tcPr>
          <w:p>
            <w:r>
              <w:rPr>
                <w:sz w:val="17"/>
              </w:rPr>
            </w:r>
            <w:r>
              <w:rPr>
                <w:sz w:val="17"/>
              </w:rPr>
              <w:t>E5</w:t>
            </w:r>
          </w:p>
        </w:tc>
      </w:tr>
      <w:tr>
        <w:tc>
          <w:tcPr>
            <w:tcW w:type="dxa" w:w="2160"/>
          </w:tcPr>
          <w:p>
            <w:r>
              <w:rPr>
                <w:sz w:val="17"/>
              </w:rPr>
            </w:r>
            <w:r>
              <w:rPr>
                <w:b/>
                <w:sz w:val="17"/>
              </w:rPr>
              <w:t>OP-13</w:t>
            </w:r>
            <w:r>
              <w:rPr>
                <w:sz w:val="17"/>
              </w:rPr>
              <w:t xml:space="preserve"> Vehicle Fleet</w:t>
            </w:r>
          </w:p>
        </w:tc>
        <w:tc>
          <w:tcPr>
            <w:tcW w:type="dxa" w:w="2160"/>
          </w:tcPr>
          <w:p>
            <w:r>
              <w:rPr>
                <w:sz w:val="17"/>
              </w:rPr>
            </w:r>
            <w:r>
              <w:rPr>
                <w:sz w:val="17"/>
              </w:rPr>
              <w:t>Aucune correspondance</w:t>
            </w:r>
          </w:p>
        </w:tc>
        <w:tc>
          <w:tcPr>
            <w:tcW w:type="dxa" w:w="2160"/>
          </w:tcPr>
          <w:p>
            <w:r>
              <w:rPr>
                <w:sz w:val="17"/>
              </w:rPr>
            </w:r>
            <w:r>
              <w:rPr>
                <w:sz w:val="17"/>
              </w:rPr>
              <w:t>MT-a</w:t>
            </w:r>
          </w:p>
        </w:tc>
        <w:tc>
          <w:tcPr>
            <w:tcW w:type="dxa" w:w="2160"/>
          </w:tcPr>
          <w:p>
            <w:r>
              <w:rPr>
                <w:sz w:val="17"/>
              </w:rPr>
            </w:r>
            <w:r>
              <w:rPr>
                <w:sz w:val="17"/>
              </w:rPr>
              <w:t>E1</w:t>
            </w:r>
          </w:p>
        </w:tc>
      </w:tr>
      <w:tr>
        <w:tc>
          <w:tcPr>
            <w:tcW w:type="dxa" w:w="2160"/>
          </w:tcPr>
          <w:p>
            <w:r>
              <w:rPr>
                <w:sz w:val="17"/>
              </w:rPr>
            </w:r>
            <w:r>
              <w:rPr>
                <w:b/>
                <w:sz w:val="17"/>
              </w:rPr>
              <w:t>OP-14</w:t>
            </w:r>
            <w:r>
              <w:rPr>
                <w:sz w:val="17"/>
              </w:rPr>
              <w:t xml:space="preserve"> Commute Modal Split</w:t>
            </w:r>
          </w:p>
        </w:tc>
        <w:tc>
          <w:tcPr>
            <w:tcW w:type="dxa" w:w="2160"/>
          </w:tcPr>
          <w:p>
            <w:r>
              <w:rPr>
                <w:sz w:val="17"/>
              </w:rPr>
            </w:r>
            <w:r>
              <w:rPr>
                <w:sz w:val="17"/>
              </w:rPr>
              <w:t>Aucune correspondance</w:t>
            </w:r>
          </w:p>
        </w:tc>
        <w:tc>
          <w:tcPr>
            <w:tcW w:type="dxa" w:w="2160"/>
          </w:tcPr>
          <w:p>
            <w:r>
              <w:rPr>
                <w:sz w:val="17"/>
              </w:rPr>
            </w:r>
            <w:r>
              <w:rPr>
                <w:sz w:val="17"/>
              </w:rPr>
              <w:t>MT-a</w:t>
            </w:r>
          </w:p>
        </w:tc>
        <w:tc>
          <w:tcPr>
            <w:tcW w:type="dxa" w:w="2160"/>
          </w:tcPr>
          <w:p>
            <w:r>
              <w:rPr>
                <w:sz w:val="17"/>
              </w:rPr>
            </w:r>
            <w:r>
              <w:rPr>
                <w:sz w:val="17"/>
              </w:rPr>
              <w:t>E1</w:t>
            </w:r>
          </w:p>
        </w:tc>
      </w:tr>
      <w:tr>
        <w:tc>
          <w:tcPr>
            <w:tcW w:type="dxa" w:w="2160"/>
          </w:tcPr>
          <w:p>
            <w:r>
              <w:rPr>
                <w:sz w:val="17"/>
              </w:rPr>
            </w:r>
            <w:r>
              <w:rPr>
                <w:b/>
                <w:sz w:val="17"/>
              </w:rPr>
              <w:t>OP-15</w:t>
            </w:r>
            <w:r>
              <w:rPr>
                <w:sz w:val="17"/>
              </w:rPr>
              <w:t xml:space="preserve"> Air Travel</w:t>
            </w:r>
          </w:p>
        </w:tc>
        <w:tc>
          <w:tcPr>
            <w:tcW w:type="dxa" w:w="2160"/>
          </w:tcPr>
          <w:p>
            <w:r>
              <w:rPr>
                <w:sz w:val="17"/>
              </w:rPr>
            </w:r>
            <w:r>
              <w:rPr>
                <w:sz w:val="17"/>
              </w:rPr>
              <w:t>Aucune correspondance</w:t>
            </w:r>
          </w:p>
        </w:tc>
        <w:tc>
          <w:tcPr>
            <w:tcW w:type="dxa" w:w="2160"/>
          </w:tcPr>
          <w:p>
            <w:r>
              <w:rPr>
                <w:sz w:val="17"/>
              </w:rPr>
            </w:r>
            <w:r>
              <w:rPr>
                <w:sz w:val="17"/>
              </w:rPr>
              <w:t>MT-a</w:t>
            </w:r>
          </w:p>
        </w:tc>
        <w:tc>
          <w:tcPr>
            <w:tcW w:type="dxa" w:w="2160"/>
          </w:tcPr>
          <w:p>
            <w:r>
              <w:rPr>
                <w:sz w:val="17"/>
              </w:rPr>
            </w:r>
            <w:r>
              <w:rPr>
                <w:sz w:val="17"/>
              </w:rPr>
              <w:t>E1</w:t>
            </w:r>
          </w:p>
        </w:tc>
      </w:tr>
      <w:tr>
        <w:tc>
          <w:tcPr>
            <w:tcW w:type="dxa" w:w="2160"/>
          </w:tcPr>
          <w:p>
            <w:r>
              <w:rPr>
                <w:sz w:val="17"/>
              </w:rPr>
            </w:r>
            <w:r>
              <w:rPr>
                <w:b/>
                <w:sz w:val="17"/>
              </w:rPr>
              <w:t>PA-1</w:t>
            </w:r>
            <w:r>
              <w:rPr>
                <w:sz w:val="17"/>
              </w:rPr>
              <w:t xml:space="preserve"> Sustainability Coordination</w:t>
            </w:r>
          </w:p>
        </w:tc>
        <w:tc>
          <w:tcPr>
            <w:tcW w:type="dxa" w:w="2160"/>
          </w:tcPr>
          <w:p>
            <w:r>
              <w:rPr>
                <w:sz w:val="17"/>
              </w:rPr>
            </w:r>
            <w:r>
              <w:rPr>
                <w:sz w:val="17"/>
              </w:rPr>
              <w:t>GRI 2-13, GRI 2-24, GRI 3-3</w:t>
            </w:r>
          </w:p>
        </w:tc>
        <w:tc>
          <w:tcPr>
            <w:tcW w:type="dxa" w:w="2160"/>
          </w:tcPr>
          <w:p>
            <w:r>
              <w:rPr>
                <w:sz w:val="17"/>
              </w:rPr>
            </w:r>
            <w:r>
              <w:rPr>
                <w:sz w:val="17"/>
              </w:rPr>
              <w:t>GOV-b</w:t>
            </w:r>
          </w:p>
        </w:tc>
        <w:tc>
          <w:tcPr>
            <w:tcW w:type="dxa" w:w="2160"/>
          </w:tcPr>
          <w:p>
            <w:r>
              <w:rPr>
                <w:sz w:val="17"/>
              </w:rPr>
            </w:r>
            <w:r>
              <w:rPr>
                <w:sz w:val="17"/>
              </w:rPr>
              <w:t>ESRS 2</w:t>
            </w:r>
          </w:p>
        </w:tc>
      </w:tr>
      <w:tr>
        <w:tc>
          <w:tcPr>
            <w:tcW w:type="dxa" w:w="2160"/>
          </w:tcPr>
          <w:p>
            <w:r>
              <w:rPr>
                <w:sz w:val="17"/>
              </w:rPr>
            </w:r>
            <w:r>
              <w:rPr>
                <w:b/>
                <w:sz w:val="17"/>
              </w:rPr>
              <w:t>PA-2</w:t>
            </w:r>
            <w:r>
              <w:rPr>
                <w:sz w:val="17"/>
              </w:rPr>
              <w:t xml:space="preserve"> Commitments and Planning</w:t>
            </w:r>
          </w:p>
        </w:tc>
        <w:tc>
          <w:tcPr>
            <w:tcW w:type="dxa" w:w="2160"/>
          </w:tcPr>
          <w:p>
            <w:r>
              <w:rPr>
                <w:sz w:val="17"/>
              </w:rPr>
            </w:r>
            <w:r>
              <w:rPr>
                <w:sz w:val="17"/>
              </w:rPr>
              <w:t>GRI 2-22, GRI 2-23, GRI 2-28, GRI 3-2, GRI 3-3</w:t>
            </w:r>
          </w:p>
        </w:tc>
        <w:tc>
          <w:tcPr>
            <w:tcW w:type="dxa" w:w="2160"/>
          </w:tcPr>
          <w:p>
            <w:r>
              <w:rPr>
                <w:sz w:val="17"/>
              </w:rPr>
            </w:r>
            <w:r>
              <w:rPr>
                <w:sz w:val="17"/>
              </w:rPr>
              <w:t>STR-a, MT-c</w:t>
            </w:r>
          </w:p>
        </w:tc>
        <w:tc>
          <w:tcPr>
            <w:tcW w:type="dxa" w:w="2160"/>
          </w:tcPr>
          <w:p>
            <w:r>
              <w:rPr>
                <w:sz w:val="17"/>
              </w:rPr>
            </w:r>
            <w:r>
              <w:rPr>
                <w:sz w:val="17"/>
              </w:rPr>
              <w:t>ESRS 2, E1</w:t>
            </w:r>
          </w:p>
        </w:tc>
      </w:tr>
      <w:tr>
        <w:tc>
          <w:tcPr>
            <w:tcW w:type="dxa" w:w="2160"/>
          </w:tcPr>
          <w:p>
            <w:r>
              <w:rPr>
                <w:sz w:val="17"/>
              </w:rPr>
            </w:r>
            <w:r>
              <w:rPr>
                <w:b/>
                <w:sz w:val="17"/>
              </w:rPr>
              <w:t>PA-3</w:t>
            </w:r>
            <w:r>
              <w:rPr>
                <w:sz w:val="17"/>
              </w:rPr>
              <w:t xml:space="preserve"> Institutional Governance</w:t>
            </w:r>
          </w:p>
        </w:tc>
        <w:tc>
          <w:tcPr>
            <w:tcW w:type="dxa" w:w="2160"/>
          </w:tcPr>
          <w:p>
            <w:r>
              <w:rPr>
                <w:sz w:val="17"/>
              </w:rPr>
            </w:r>
            <w:r>
              <w:rPr>
                <w:sz w:val="17"/>
              </w:rPr>
              <w:t>GRI 2-9, GRI 2-29</w:t>
            </w:r>
          </w:p>
        </w:tc>
        <w:tc>
          <w:tcPr>
            <w:tcW w:type="dxa" w:w="2160"/>
          </w:tcPr>
          <w:p>
            <w:r>
              <w:rPr>
                <w:sz w:val="17"/>
              </w:rPr>
            </w:r>
            <w:r>
              <w:rPr>
                <w:sz w:val="17"/>
              </w:rPr>
              <w:t>Aucune correspondance</w:t>
            </w:r>
          </w:p>
        </w:tc>
        <w:tc>
          <w:tcPr>
            <w:tcW w:type="dxa" w:w="2160"/>
          </w:tcPr>
          <w:p>
            <w:r>
              <w:rPr>
                <w:sz w:val="17"/>
              </w:rPr>
            </w:r>
            <w:r>
              <w:rPr>
                <w:sz w:val="17"/>
              </w:rPr>
              <w:t>ESRS 2</w:t>
            </w:r>
          </w:p>
        </w:tc>
      </w:tr>
      <w:tr>
        <w:tc>
          <w:tcPr>
            <w:tcW w:type="dxa" w:w="2160"/>
          </w:tcPr>
          <w:p>
            <w:r>
              <w:rPr>
                <w:sz w:val="17"/>
              </w:rPr>
            </w:r>
            <w:r>
              <w:rPr>
                <w:b/>
                <w:sz w:val="17"/>
              </w:rPr>
              <w:t>PA-4</w:t>
            </w:r>
            <w:r>
              <w:rPr>
                <w:sz w:val="17"/>
              </w:rPr>
              <w:t xml:space="preserve"> Sustainable Investment Program</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PA-5</w:t>
            </w:r>
            <w:r>
              <w:rPr>
                <w:sz w:val="17"/>
              </w:rPr>
              <w:t xml:space="preserve"> Investment Holdings</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PA-6</w:t>
            </w:r>
            <w:r>
              <w:rPr>
                <w:sz w:val="17"/>
              </w:rPr>
              <w:t xml:space="preserve"> Institutional Climate</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S1</w:t>
            </w:r>
          </w:p>
        </w:tc>
      </w:tr>
      <w:tr>
        <w:tc>
          <w:tcPr>
            <w:tcW w:type="dxa" w:w="2160"/>
          </w:tcPr>
          <w:p>
            <w:r>
              <w:rPr>
                <w:sz w:val="17"/>
              </w:rPr>
            </w:r>
            <w:r>
              <w:rPr>
                <w:b/>
                <w:sz w:val="17"/>
              </w:rPr>
              <w:t>PA-7</w:t>
            </w:r>
            <w:r>
              <w:rPr>
                <w:sz w:val="17"/>
              </w:rPr>
              <w:t xml:space="preserve"> Racial and Ethnic Representation</w:t>
            </w:r>
          </w:p>
        </w:tc>
        <w:tc>
          <w:tcPr>
            <w:tcW w:type="dxa" w:w="2160"/>
          </w:tcPr>
          <w:p>
            <w:r>
              <w:rPr>
                <w:sz w:val="17"/>
              </w:rPr>
            </w:r>
            <w:r>
              <w:rPr>
                <w:sz w:val="17"/>
              </w:rPr>
              <w:t>GRI 405-1</w:t>
            </w:r>
          </w:p>
        </w:tc>
        <w:tc>
          <w:tcPr>
            <w:tcW w:type="dxa" w:w="2160"/>
          </w:tcPr>
          <w:p>
            <w:r>
              <w:rPr>
                <w:sz w:val="17"/>
              </w:rPr>
            </w:r>
            <w:r>
              <w:rPr>
                <w:sz w:val="17"/>
              </w:rPr>
              <w:t>Aucune correspondance</w:t>
            </w:r>
          </w:p>
        </w:tc>
        <w:tc>
          <w:tcPr>
            <w:tcW w:type="dxa" w:w="2160"/>
          </w:tcPr>
          <w:p>
            <w:r>
              <w:rPr>
                <w:sz w:val="17"/>
              </w:rPr>
            </w:r>
            <w:r>
              <w:rPr>
                <w:sz w:val="17"/>
              </w:rPr>
              <w:t>S1</w:t>
            </w:r>
          </w:p>
        </w:tc>
      </w:tr>
      <w:tr>
        <w:tc>
          <w:tcPr>
            <w:tcW w:type="dxa" w:w="2160"/>
          </w:tcPr>
          <w:p>
            <w:r>
              <w:rPr>
                <w:sz w:val="17"/>
              </w:rPr>
            </w:r>
            <w:r>
              <w:rPr>
                <w:b/>
                <w:sz w:val="17"/>
              </w:rPr>
              <w:t>PA-8</w:t>
            </w:r>
            <w:r>
              <w:rPr>
                <w:sz w:val="17"/>
              </w:rPr>
              <w:t xml:space="preserve"> Gender Parity</w:t>
            </w:r>
          </w:p>
        </w:tc>
        <w:tc>
          <w:tcPr>
            <w:tcW w:type="dxa" w:w="2160"/>
          </w:tcPr>
          <w:p>
            <w:r>
              <w:rPr>
                <w:sz w:val="17"/>
              </w:rPr>
            </w:r>
            <w:r>
              <w:rPr>
                <w:sz w:val="17"/>
              </w:rPr>
              <w:t>GRI 405-1</w:t>
            </w:r>
          </w:p>
        </w:tc>
        <w:tc>
          <w:tcPr>
            <w:tcW w:type="dxa" w:w="2160"/>
          </w:tcPr>
          <w:p>
            <w:r>
              <w:rPr>
                <w:sz w:val="17"/>
              </w:rPr>
            </w:r>
            <w:r>
              <w:rPr>
                <w:sz w:val="17"/>
              </w:rPr>
              <w:t>Aucune correspondance</w:t>
            </w:r>
          </w:p>
        </w:tc>
        <w:tc>
          <w:tcPr>
            <w:tcW w:type="dxa" w:w="2160"/>
          </w:tcPr>
          <w:p>
            <w:r>
              <w:rPr>
                <w:sz w:val="17"/>
              </w:rPr>
            </w:r>
            <w:r>
              <w:rPr>
                <w:sz w:val="17"/>
              </w:rPr>
              <w:t>S1</w:t>
            </w:r>
          </w:p>
        </w:tc>
      </w:tr>
      <w:tr>
        <w:tc>
          <w:tcPr>
            <w:tcW w:type="dxa" w:w="2160"/>
          </w:tcPr>
          <w:p>
            <w:r>
              <w:rPr>
                <w:sz w:val="17"/>
              </w:rPr>
            </w:r>
            <w:r>
              <w:rPr>
                <w:b/>
                <w:sz w:val="17"/>
              </w:rPr>
              <w:t>PA-9</w:t>
            </w:r>
            <w:r>
              <w:rPr>
                <w:sz w:val="17"/>
              </w:rPr>
              <w:t xml:space="preserve"> Affordability and Access</w:t>
            </w:r>
          </w:p>
        </w:tc>
        <w:tc>
          <w:tcPr>
            <w:tcW w:type="dxa" w:w="2160"/>
          </w:tcPr>
          <w:p>
            <w:r>
              <w:rPr>
                <w:sz w:val="17"/>
              </w:rPr>
            </w:r>
            <w:r>
              <w:rPr>
                <w:sz w:val="17"/>
              </w:rPr>
              <w:t>GRI 202-1</w:t>
            </w:r>
          </w:p>
        </w:tc>
        <w:tc>
          <w:tcPr>
            <w:tcW w:type="dxa" w:w="2160"/>
          </w:tcPr>
          <w:p>
            <w:r>
              <w:rPr>
                <w:sz w:val="17"/>
              </w:rPr>
            </w:r>
            <w:r>
              <w:rPr>
                <w:sz w:val="17"/>
              </w:rPr>
              <w:t>Aucune correspondance</w:t>
            </w:r>
          </w:p>
        </w:tc>
        <w:tc>
          <w:tcPr>
            <w:tcW w:type="dxa" w:w="2160"/>
          </w:tcPr>
          <w:p>
            <w:r>
              <w:rPr>
                <w:sz w:val="17"/>
              </w:rPr>
            </w:r>
            <w:r>
              <w:rPr>
                <w:sz w:val="17"/>
              </w:rPr>
              <w:t>S4</w:t>
            </w:r>
          </w:p>
        </w:tc>
      </w:tr>
      <w:tr>
        <w:tc>
          <w:tcPr>
            <w:tcW w:type="dxa" w:w="2160"/>
          </w:tcPr>
          <w:p>
            <w:r>
              <w:rPr>
                <w:sz w:val="17"/>
              </w:rPr>
            </w:r>
            <w:r>
              <w:rPr>
                <w:b/>
                <w:sz w:val="17"/>
              </w:rPr>
              <w:t>PA-10</w:t>
            </w:r>
            <w:r>
              <w:rPr>
                <w:sz w:val="17"/>
              </w:rPr>
              <w:t xml:space="preserve"> Student Success</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S4</w:t>
            </w:r>
          </w:p>
        </w:tc>
      </w:tr>
      <w:tr>
        <w:tc>
          <w:tcPr>
            <w:tcW w:type="dxa" w:w="2160"/>
          </w:tcPr>
          <w:p>
            <w:r>
              <w:rPr>
                <w:sz w:val="17"/>
              </w:rPr>
            </w:r>
            <w:r>
              <w:rPr>
                <w:b/>
                <w:sz w:val="17"/>
              </w:rPr>
              <w:t>PA-11</w:t>
            </w:r>
            <w:r>
              <w:rPr>
                <w:sz w:val="17"/>
              </w:rPr>
              <w:t xml:space="preserve"> Health, Safety and Wellbeing</w:t>
            </w:r>
          </w:p>
        </w:tc>
        <w:tc>
          <w:tcPr>
            <w:tcW w:type="dxa" w:w="2160"/>
          </w:tcPr>
          <w:p>
            <w:r>
              <w:rPr>
                <w:sz w:val="17"/>
              </w:rPr>
            </w:r>
            <w:r>
              <w:rPr>
                <w:sz w:val="17"/>
              </w:rPr>
              <w:t>GRI 403-1, GRI 403-3, GRI 403-4, GRI 403-6</w:t>
            </w:r>
          </w:p>
        </w:tc>
        <w:tc>
          <w:tcPr>
            <w:tcW w:type="dxa" w:w="2160"/>
          </w:tcPr>
          <w:p>
            <w:r>
              <w:rPr>
                <w:sz w:val="17"/>
              </w:rPr>
            </w:r>
            <w:r>
              <w:rPr>
                <w:sz w:val="17"/>
              </w:rPr>
              <w:t>Aucune correspondance</w:t>
            </w:r>
          </w:p>
        </w:tc>
        <w:tc>
          <w:tcPr>
            <w:tcW w:type="dxa" w:w="2160"/>
          </w:tcPr>
          <w:p>
            <w:r>
              <w:rPr>
                <w:sz w:val="17"/>
              </w:rPr>
            </w:r>
            <w:r>
              <w:rPr>
                <w:sz w:val="17"/>
              </w:rPr>
              <w:t>S1</w:t>
            </w:r>
          </w:p>
        </w:tc>
      </w:tr>
      <w:tr>
        <w:tc>
          <w:tcPr>
            <w:tcW w:type="dxa" w:w="2160"/>
          </w:tcPr>
          <w:p>
            <w:r>
              <w:rPr>
                <w:sz w:val="17"/>
              </w:rPr>
            </w:r>
            <w:r>
              <w:rPr>
                <w:b/>
                <w:sz w:val="17"/>
              </w:rPr>
              <w:t>PA-12</w:t>
            </w:r>
            <w:r>
              <w:rPr>
                <w:sz w:val="17"/>
              </w:rPr>
              <w:t xml:space="preserve"> Employee Rights</w:t>
            </w:r>
          </w:p>
        </w:tc>
        <w:tc>
          <w:tcPr>
            <w:tcW w:type="dxa" w:w="2160"/>
          </w:tcPr>
          <w:p>
            <w:r>
              <w:rPr>
                <w:sz w:val="17"/>
              </w:rPr>
            </w:r>
            <w:r>
              <w:rPr>
                <w:sz w:val="17"/>
              </w:rPr>
              <w:t>GRI 2-25, GRI 2-26, GRI 401-2, GRI 401-3</w:t>
            </w:r>
          </w:p>
        </w:tc>
        <w:tc>
          <w:tcPr>
            <w:tcW w:type="dxa" w:w="2160"/>
          </w:tcPr>
          <w:p>
            <w:r>
              <w:rPr>
                <w:sz w:val="17"/>
              </w:rPr>
            </w:r>
            <w:r>
              <w:rPr>
                <w:sz w:val="17"/>
              </w:rPr>
              <w:t>Aucune correspondance</w:t>
            </w:r>
          </w:p>
        </w:tc>
        <w:tc>
          <w:tcPr>
            <w:tcW w:type="dxa" w:w="2160"/>
          </w:tcPr>
          <w:p>
            <w:r>
              <w:rPr>
                <w:sz w:val="17"/>
              </w:rPr>
            </w:r>
            <w:r>
              <w:rPr>
                <w:sz w:val="17"/>
              </w:rPr>
              <w:t>S1, G1</w:t>
            </w:r>
          </w:p>
        </w:tc>
      </w:tr>
      <w:tr>
        <w:tc>
          <w:tcPr>
            <w:tcW w:type="dxa" w:w="2160"/>
          </w:tcPr>
          <w:p>
            <w:r>
              <w:rPr>
                <w:sz w:val="17"/>
              </w:rPr>
            </w:r>
            <w:r>
              <w:rPr>
                <w:b/>
                <w:sz w:val="17"/>
              </w:rPr>
              <w:t>PA-13</w:t>
            </w:r>
            <w:r>
              <w:rPr>
                <w:sz w:val="17"/>
              </w:rPr>
              <w:t xml:space="preserve"> Pay Equity and Living Wage</w:t>
            </w:r>
          </w:p>
        </w:tc>
        <w:tc>
          <w:tcPr>
            <w:tcW w:type="dxa" w:w="2160"/>
          </w:tcPr>
          <w:p>
            <w:r>
              <w:rPr>
                <w:sz w:val="17"/>
              </w:rPr>
            </w:r>
            <w:r>
              <w:rPr>
                <w:sz w:val="17"/>
              </w:rPr>
              <w:t>GRI 202-1</w:t>
            </w:r>
          </w:p>
        </w:tc>
        <w:tc>
          <w:tcPr>
            <w:tcW w:type="dxa" w:w="2160"/>
          </w:tcPr>
          <w:p>
            <w:r>
              <w:rPr>
                <w:sz w:val="17"/>
              </w:rPr>
            </w:r>
            <w:r>
              <w:rPr>
                <w:sz w:val="17"/>
              </w:rPr>
              <w:t>Aucune correspondance</w:t>
            </w:r>
          </w:p>
        </w:tc>
        <w:tc>
          <w:tcPr>
            <w:tcW w:type="dxa" w:w="2160"/>
          </w:tcPr>
          <w:p>
            <w:r>
              <w:rPr>
                <w:sz w:val="17"/>
              </w:rPr>
            </w:r>
            <w:r>
              <w:rPr>
                <w:sz w:val="17"/>
              </w:rPr>
              <w:t>S1</w:t>
            </w:r>
          </w:p>
        </w:tc>
      </w:tr>
      <w:tr>
        <w:tc>
          <w:tcPr>
            <w:tcW w:type="dxa" w:w="2160"/>
          </w:tcPr>
          <w:p>
            <w:r>
              <w:rPr>
                <w:sz w:val="17"/>
              </w:rPr>
            </w:r>
            <w:r>
              <w:rPr>
                <w:b/>
                <w:sz w:val="17"/>
              </w:rPr>
              <w:t>IL-24</w:t>
            </w:r>
            <w:r>
              <w:rPr>
                <w:sz w:val="17"/>
              </w:rPr>
              <w:t xml:space="preserve"> Biodiversity Assessment</w:t>
            </w:r>
          </w:p>
        </w:tc>
        <w:tc>
          <w:tcPr>
            <w:tcW w:type="dxa" w:w="2160"/>
          </w:tcPr>
          <w:p>
            <w:r>
              <w:rPr>
                <w:sz w:val="17"/>
              </w:rPr>
            </w:r>
            <w:r>
              <w:rPr>
                <w:sz w:val="17"/>
              </w:rPr>
              <w:t>GRI 101-4, GRI 101-5</w:t>
            </w:r>
          </w:p>
        </w:tc>
        <w:tc>
          <w:tcPr>
            <w:tcW w:type="dxa" w:w="2160"/>
          </w:tcPr>
          <w:p>
            <w:r>
              <w:rPr>
                <w:sz w:val="17"/>
              </w:rPr>
            </w:r>
            <w:r>
              <w:rPr>
                <w:sz w:val="17"/>
              </w:rPr>
              <w:t>Aucune correspondance</w:t>
            </w:r>
          </w:p>
        </w:tc>
        <w:tc>
          <w:tcPr>
            <w:tcW w:type="dxa" w:w="2160"/>
          </w:tcPr>
          <w:p>
            <w:r>
              <w:rPr>
                <w:sz w:val="17"/>
              </w:rPr>
            </w:r>
            <w:r>
              <w:rPr>
                <w:sz w:val="17"/>
              </w:rPr>
              <w:t>E4</w:t>
            </w:r>
          </w:p>
        </w:tc>
      </w:tr>
    </w:tbl>
    <w:p/>
    <w:p>
      <w:pPr>
        <w:pStyle w:val="Heading1"/>
      </w:pPr>
      <w:r>
        <w:rPr>
          <w:color w:val="2F6F5E"/>
        </w:rPr>
        <w:t>Annexe — Validation du rapport</w:t>
      </w:r>
    </w:p>
    <w:p>
      <w:r>
        <w:t>Chaque section narrative a suivi la boucle : rédaction (placeholders) → garde-fou des chiffres → substitution par le code → audit par le juge → régénération si refus (trois tentatives au plus).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Section</w:t>
            </w:r>
          </w:p>
        </w:tc>
        <w:tc>
          <w:tcPr>
            <w:tcW w:type="dxa" w:w="1080"/>
          </w:tcPr>
          <w:p>
            <w:r>
              <w:rPr>
                <w:b/>
                <w:sz w:val="17"/>
              </w:rPr>
            </w:r>
            <w:r>
              <w:rPr>
                <w:b/>
                <w:sz w:val="17"/>
              </w:rPr>
              <w:t>Décision</w:t>
            </w:r>
          </w:p>
        </w:tc>
        <w:tc>
          <w:tcPr>
            <w:tcW w:type="dxa" w:w="1080"/>
          </w:tcPr>
          <w:p>
            <w:r>
              <w:rPr>
                <w:b/>
                <w:sz w:val="17"/>
              </w:rPr>
            </w:r>
            <w:r>
              <w:rPr>
                <w:b/>
                <w:sz w:val="17"/>
              </w:rPr>
              <w:t>Tentatives</w:t>
            </w:r>
          </w:p>
        </w:tc>
        <w:tc>
          <w:tcPr>
            <w:tcW w:type="dxa" w:w="1080"/>
          </w:tcPr>
          <w:p>
            <w:r>
              <w:rPr>
                <w:b/>
                <w:sz w:val="17"/>
              </w:rPr>
            </w:r>
            <w:r>
              <w:rPr>
                <w:b/>
                <w:sz w:val="17"/>
              </w:rPr>
              <w:t>Rejets garde-fou</w:t>
            </w:r>
          </w:p>
        </w:tc>
        <w:tc>
          <w:tcPr>
            <w:tcW w:type="dxa" w:w="1080"/>
          </w:tcPr>
          <w:p>
            <w:r>
              <w:rPr>
                <w:b/>
                <w:sz w:val="17"/>
              </w:rPr>
            </w:r>
            <w:r>
              <w:rPr>
                <w:b/>
                <w:sz w:val="17"/>
              </w:rPr>
              <w:t>Note du juge</w:t>
            </w:r>
          </w:p>
        </w:tc>
        <w:tc>
          <w:tcPr>
            <w:tcW w:type="dxa" w:w="1080"/>
          </w:tcPr>
          <w:p>
            <w:r>
              <w:rPr>
                <w:b/>
                <w:sz w:val="17"/>
              </w:rPr>
            </w:r>
            <w:r>
              <w:rPr>
                <w:b/>
                <w:sz w:val="17"/>
              </w:rPr>
              <w:t>Fidélité</w:t>
            </w:r>
          </w:p>
        </w:tc>
        <w:tc>
          <w:tcPr>
            <w:tcW w:type="dxa" w:w="1080"/>
          </w:tcPr>
          <w:p>
            <w:r>
              <w:rPr>
                <w:b/>
                <w:sz w:val="17"/>
              </w:rPr>
            </w:r>
            <w:r>
              <w:rPr>
                <w:b/>
                <w:sz w:val="17"/>
              </w:rPr>
              <w:t>Couverture GRI</w:t>
            </w:r>
          </w:p>
        </w:tc>
        <w:tc>
          <w:tcPr>
            <w:tcW w:type="dxa" w:w="1080"/>
          </w:tcPr>
          <w:p>
            <w:r>
              <w:rPr>
                <w:b/>
                <w:sz w:val="17"/>
              </w:rPr>
            </w:r>
            <w:r>
              <w:rPr>
                <w:b/>
                <w:sz w:val="17"/>
              </w:rPr>
              <w:t>Durée</w:t>
            </w:r>
          </w:p>
        </w:tc>
      </w:tr>
      <w:tr>
        <w:tc>
          <w:tcPr>
            <w:tcW w:type="dxa" w:w="1080"/>
          </w:tcPr>
          <w:p>
            <w:r>
              <w:rPr>
                <w:sz w:val="17"/>
              </w:rPr>
            </w:r>
            <w:r>
              <w:rPr>
                <w:sz w:val="17"/>
              </w:rPr>
              <w:t>L'organisation, son périmètre et ses effectifs</w:t>
            </w:r>
          </w:p>
        </w:tc>
        <w:tc>
          <w:tcPr>
            <w:tcW w:type="dxa" w:w="1080"/>
          </w:tcPr>
          <w:p>
            <w:r>
              <w:rPr>
                <w:sz w:val="17"/>
              </w:rPr>
            </w:r>
            <w:r>
              <w:rPr>
                <w:sz w:val="17"/>
              </w:rPr>
              <w:t>validée</w:t>
            </w:r>
          </w:p>
        </w:tc>
        <w:tc>
          <w:tcPr>
            <w:tcW w:type="dxa" w:w="1080"/>
          </w:tcPr>
          <w:p>
            <w:r>
              <w:rPr>
                <w:sz w:val="17"/>
              </w:rPr>
            </w:r>
            <w:r>
              <w:rPr>
                <w:sz w:val="17"/>
              </w:rPr>
              <w:t>1</w:t>
            </w:r>
          </w:p>
        </w:tc>
        <w:tc>
          <w:tcPr>
            <w:tcW w:type="dxa" w:w="1080"/>
          </w:tcPr>
          <w:p>
            <w:r>
              <w:rPr>
                <w:sz w:val="17"/>
              </w:rPr>
            </w:r>
            <w:r>
              <w:rPr>
                <w:sz w:val="17"/>
              </w:rPr>
              <w:t>0</w:t>
            </w:r>
          </w:p>
        </w:tc>
        <w:tc>
          <w:tcPr>
            <w:tcW w:type="dxa" w:w="1080"/>
          </w:tcPr>
          <w:p>
            <w:r>
              <w:rPr>
                <w:sz w:val="17"/>
              </w:rPr>
            </w:r>
            <w:r>
              <w:rPr>
                <w:sz w:val="17"/>
              </w:rPr>
              <w:t>4/5</w:t>
            </w:r>
          </w:p>
        </w:tc>
        <w:tc>
          <w:tcPr>
            <w:tcW w:type="dxa" w:w="1080"/>
          </w:tcPr>
          <w:p>
            <w:r>
              <w:rPr>
                <w:sz w:val="17"/>
              </w:rPr>
            </w:r>
            <w:r>
              <w:rPr>
                <w:sz w:val="17"/>
              </w:rPr>
              <w:t>100%</w:t>
            </w:r>
          </w:p>
        </w:tc>
        <w:tc>
          <w:tcPr>
            <w:tcW w:type="dxa" w:w="1080"/>
          </w:tcPr>
          <w:p>
            <w:r>
              <w:rPr>
                <w:sz w:val="17"/>
              </w:rPr>
            </w:r>
            <w:r>
              <w:rPr>
                <w:sz w:val="17"/>
              </w:rPr>
              <w:t>100%</w:t>
            </w:r>
          </w:p>
        </w:tc>
        <w:tc>
          <w:tcPr>
            <w:tcW w:type="dxa" w:w="1080"/>
          </w:tcPr>
          <w:p>
            <w:r>
              <w:rPr>
                <w:sz w:val="17"/>
              </w:rPr>
            </w:r>
            <w:r>
              <w:rPr>
                <w:sz w:val="17"/>
              </w:rPr>
              <w:t>6.6 min</w:t>
            </w:r>
          </w:p>
        </w:tc>
      </w:tr>
      <w:tr>
        <w:tc>
          <w:tcPr>
            <w:tcW w:type="dxa" w:w="1080"/>
          </w:tcPr>
          <w:p>
            <w:r>
              <w:rPr>
                <w:sz w:val="17"/>
              </w:rPr>
            </w:r>
            <w:r>
              <w:rPr>
                <w:sz w:val="17"/>
              </w:rPr>
              <w:t>Thèmes matériels</w:t>
            </w:r>
          </w:p>
        </w:tc>
        <w:tc>
          <w:tcPr>
            <w:tcW w:type="dxa" w:w="1080"/>
          </w:tcPr>
          <w:p>
            <w:r>
              <w:rPr>
                <w:sz w:val="17"/>
              </w:rPr>
            </w:r>
            <w:r>
              <w:rPr>
                <w:sz w:val="17"/>
              </w:rPr>
              <w:t>validée</w:t>
            </w:r>
          </w:p>
        </w:tc>
        <w:tc>
          <w:tcPr>
            <w:tcW w:type="dxa" w:w="1080"/>
          </w:tcPr>
          <w:p>
            <w:r>
              <w:rPr>
                <w:sz w:val="17"/>
              </w:rPr>
            </w:r>
            <w:r>
              <w:rPr>
                <w:sz w:val="17"/>
              </w:rPr>
              <w:t>1</w:t>
            </w:r>
          </w:p>
        </w:tc>
        <w:tc>
          <w:tcPr>
            <w:tcW w:type="dxa" w:w="1080"/>
          </w:tcPr>
          <w:p>
            <w:r>
              <w:rPr>
                <w:sz w:val="17"/>
              </w:rPr>
            </w:r>
            <w:r>
              <w:rPr>
                <w:sz w:val="17"/>
              </w:rPr>
              <w:t>0</w:t>
            </w:r>
          </w:p>
        </w:tc>
        <w:tc>
          <w:tcPr>
            <w:tcW w:type="dxa" w:w="1080"/>
          </w:tcPr>
          <w:p>
            <w:r>
              <w:rPr>
                <w:sz w:val="17"/>
              </w:rPr>
            </w:r>
            <w:r>
              <w:rPr>
                <w:sz w:val="17"/>
              </w:rPr>
              <w:t>2/5</w:t>
            </w:r>
          </w:p>
        </w:tc>
        <w:tc>
          <w:tcPr>
            <w:tcW w:type="dxa" w:w="1080"/>
          </w:tcPr>
          <w:p>
            <w:r>
              <w:rPr>
                <w:sz w:val="17"/>
              </w:rPr>
            </w:r>
            <w:r>
              <w:rPr>
                <w:sz w:val="17"/>
              </w:rPr>
              <w:t>100%</w:t>
            </w:r>
          </w:p>
        </w:tc>
        <w:tc>
          <w:tcPr>
            <w:tcW w:type="dxa" w:w="1080"/>
          </w:tcPr>
          <w:p>
            <w:r>
              <w:rPr>
                <w:sz w:val="17"/>
              </w:rPr>
            </w:r>
            <w:r>
              <w:rPr>
                <w:sz w:val="17"/>
              </w:rPr>
              <w:t>100%</w:t>
            </w:r>
          </w:p>
        </w:tc>
        <w:tc>
          <w:tcPr>
            <w:tcW w:type="dxa" w:w="1080"/>
          </w:tcPr>
          <w:p>
            <w:r>
              <w:rPr>
                <w:sz w:val="17"/>
              </w:rPr>
            </w:r>
            <w:r>
              <w:rPr>
                <w:sz w:val="17"/>
              </w:rPr>
              <w:t>7.9 min</w:t>
            </w:r>
          </w:p>
        </w:tc>
      </w:tr>
      <w:tr>
        <w:tc>
          <w:tcPr>
            <w:tcW w:type="dxa" w:w="1080"/>
          </w:tcPr>
          <w:p>
            <w:r>
              <w:rPr>
                <w:sz w:val="17"/>
              </w:rPr>
            </w:r>
            <w:r>
              <w:rPr>
                <w:sz w:val="17"/>
              </w:rPr>
              <w:t>Gouvernance</w:t>
            </w:r>
          </w:p>
        </w:tc>
        <w:tc>
          <w:tcPr>
            <w:tcW w:type="dxa" w:w="1080"/>
          </w:tcPr>
          <w:p>
            <w:r>
              <w:rPr>
                <w:sz w:val="17"/>
              </w:rPr>
            </w:r>
            <w:r>
              <w:rPr>
                <w:sz w:val="17"/>
              </w:rPr>
              <w:t>validée</w:t>
            </w:r>
          </w:p>
        </w:tc>
        <w:tc>
          <w:tcPr>
            <w:tcW w:type="dxa" w:w="1080"/>
          </w:tcPr>
          <w:p>
            <w:r>
              <w:rPr>
                <w:sz w:val="17"/>
              </w:rPr>
            </w:r>
            <w:r>
              <w:rPr>
                <w:sz w:val="17"/>
              </w:rPr>
              <w:t>1</w:t>
            </w:r>
          </w:p>
        </w:tc>
        <w:tc>
          <w:tcPr>
            <w:tcW w:type="dxa" w:w="1080"/>
          </w:tcPr>
          <w:p>
            <w:r>
              <w:rPr>
                <w:sz w:val="17"/>
              </w:rPr>
            </w:r>
            <w:r>
              <w:rPr>
                <w:sz w:val="17"/>
              </w:rPr>
              <w:t>0</w:t>
            </w:r>
          </w:p>
        </w:tc>
        <w:tc>
          <w:tcPr>
            <w:tcW w:type="dxa" w:w="1080"/>
          </w:tcPr>
          <w:p>
            <w:r>
              <w:rPr>
                <w:sz w:val="17"/>
              </w:rPr>
            </w:r>
            <w:r>
              <w:rPr>
                <w:sz w:val="17"/>
              </w:rPr>
              <w:t>4/5</w:t>
            </w:r>
          </w:p>
        </w:tc>
        <w:tc>
          <w:tcPr>
            <w:tcW w:type="dxa" w:w="1080"/>
          </w:tcPr>
          <w:p>
            <w:r>
              <w:rPr>
                <w:sz w:val="17"/>
              </w:rPr>
            </w:r>
            <w:r>
              <w:rPr>
                <w:sz w:val="17"/>
              </w:rPr>
              <w:t>100%</w:t>
            </w:r>
          </w:p>
        </w:tc>
        <w:tc>
          <w:tcPr>
            <w:tcW w:type="dxa" w:w="1080"/>
          </w:tcPr>
          <w:p>
            <w:r>
              <w:rPr>
                <w:sz w:val="17"/>
              </w:rPr>
            </w:r>
            <w:r>
              <w:rPr>
                <w:sz w:val="17"/>
              </w:rPr>
              <w:t>67%</w:t>
            </w:r>
          </w:p>
        </w:tc>
        <w:tc>
          <w:tcPr>
            <w:tcW w:type="dxa" w:w="1080"/>
          </w:tcPr>
          <w:p>
            <w:r>
              <w:rPr>
                <w:sz w:val="17"/>
              </w:rPr>
            </w:r>
            <w:r>
              <w:rPr>
                <w:sz w:val="17"/>
              </w:rPr>
              <w:t>9.1 min</w:t>
            </w:r>
          </w:p>
        </w:tc>
      </w:tr>
      <w:tr>
        <w:tc>
          <w:tcPr>
            <w:tcW w:type="dxa" w:w="1080"/>
          </w:tcPr>
          <w:p>
            <w:r>
              <w:rPr>
                <w:sz w:val="17"/>
              </w:rPr>
            </w:r>
            <w:r>
              <w:rPr>
                <w:sz w:val="17"/>
              </w:rPr>
              <w:t>Stratégie, politiques et pratiques</w:t>
            </w:r>
          </w:p>
        </w:tc>
        <w:tc>
          <w:tcPr>
            <w:tcW w:type="dxa" w:w="1080"/>
          </w:tcPr>
          <w:p>
            <w:r>
              <w:rPr>
                <w:sz w:val="17"/>
              </w:rPr>
            </w:r>
            <w:r>
              <w:rPr>
                <w:sz w:val="17"/>
              </w:rPr>
              <w:t>validée</w:t>
            </w:r>
          </w:p>
        </w:tc>
        <w:tc>
          <w:tcPr>
            <w:tcW w:type="dxa" w:w="1080"/>
          </w:tcPr>
          <w:p>
            <w:r>
              <w:rPr>
                <w:sz w:val="17"/>
              </w:rPr>
            </w:r>
            <w:r>
              <w:rPr>
                <w:sz w:val="17"/>
              </w:rPr>
              <w:t>2</w:t>
            </w:r>
          </w:p>
        </w:tc>
        <w:tc>
          <w:tcPr>
            <w:tcW w:type="dxa" w:w="1080"/>
          </w:tcPr>
          <w:p>
            <w:r>
              <w:rPr>
                <w:sz w:val="17"/>
              </w:rPr>
            </w:r>
            <w:r>
              <w:rPr>
                <w:sz w:val="17"/>
              </w:rPr>
              <w:t>0</w:t>
            </w:r>
          </w:p>
        </w:tc>
        <w:tc>
          <w:tcPr>
            <w:tcW w:type="dxa" w:w="1080"/>
          </w:tcPr>
          <w:p>
            <w:r>
              <w:rPr>
                <w:sz w:val="17"/>
              </w:rPr>
            </w:r>
            <w:r>
              <w:rPr>
                <w:sz w:val="17"/>
              </w:rPr>
              <w:t>4/5</w:t>
            </w:r>
          </w:p>
        </w:tc>
        <w:tc>
          <w:tcPr>
            <w:tcW w:type="dxa" w:w="1080"/>
          </w:tcPr>
          <w:p>
            <w:r>
              <w:rPr>
                <w:sz w:val="17"/>
              </w:rPr>
            </w:r>
            <w:r>
              <w:rPr>
                <w:sz w:val="17"/>
              </w:rPr>
              <w:t>100%</w:t>
            </w:r>
          </w:p>
        </w:tc>
        <w:tc>
          <w:tcPr>
            <w:tcW w:type="dxa" w:w="1080"/>
          </w:tcPr>
          <w:p>
            <w:r>
              <w:rPr>
                <w:sz w:val="17"/>
              </w:rPr>
            </w:r>
            <w:r>
              <w:rPr>
                <w:sz w:val="17"/>
              </w:rPr>
              <w:t>67%</w:t>
            </w:r>
          </w:p>
        </w:tc>
        <w:tc>
          <w:tcPr>
            <w:tcW w:type="dxa" w:w="1080"/>
          </w:tcPr>
          <w:p>
            <w:r>
              <w:rPr>
                <w:sz w:val="17"/>
              </w:rPr>
            </w:r>
            <w:r>
              <w:rPr>
                <w:sz w:val="17"/>
              </w:rPr>
              <w:t>19.6 min</w:t>
            </w:r>
          </w:p>
        </w:tc>
      </w:tr>
      <w:tr>
        <w:tc>
          <w:tcPr>
            <w:tcW w:type="dxa" w:w="1080"/>
          </w:tcPr>
          <w:p>
            <w:r>
              <w:rPr>
                <w:sz w:val="17"/>
              </w:rPr>
            </w:r>
            <w:r>
              <w:rPr>
                <w:sz w:val="17"/>
              </w:rPr>
              <w:t>Engagement des parties prenantes</w:t>
            </w:r>
          </w:p>
        </w:tc>
        <w:tc>
          <w:tcPr>
            <w:tcW w:type="dxa" w:w="1080"/>
          </w:tcPr>
          <w:p>
            <w:r>
              <w:rPr>
                <w:sz w:val="17"/>
              </w:rPr>
            </w:r>
            <w:r>
              <w:rPr>
                <w:sz w:val="17"/>
              </w:rPr>
              <w:t>validée</w:t>
            </w:r>
          </w:p>
        </w:tc>
        <w:tc>
          <w:tcPr>
            <w:tcW w:type="dxa" w:w="1080"/>
          </w:tcPr>
          <w:p>
            <w:r>
              <w:rPr>
                <w:sz w:val="17"/>
              </w:rPr>
            </w:r>
            <w:r>
              <w:rPr>
                <w:sz w:val="17"/>
              </w:rPr>
              <w:t>1</w:t>
            </w:r>
          </w:p>
        </w:tc>
        <w:tc>
          <w:tcPr>
            <w:tcW w:type="dxa" w:w="1080"/>
          </w:tcPr>
          <w:p>
            <w:r>
              <w:rPr>
                <w:sz w:val="17"/>
              </w:rPr>
            </w:r>
            <w:r>
              <w:rPr>
                <w:sz w:val="17"/>
              </w:rPr>
              <w:t>0</w:t>
            </w:r>
          </w:p>
        </w:tc>
        <w:tc>
          <w:tcPr>
            <w:tcW w:type="dxa" w:w="1080"/>
          </w:tcPr>
          <w:p>
            <w:r>
              <w:rPr>
                <w:sz w:val="17"/>
              </w:rPr>
            </w:r>
            <w:r>
              <w:rPr>
                <w:sz w:val="17"/>
              </w:rPr>
              <w:t>4/5</w:t>
            </w:r>
          </w:p>
        </w:tc>
        <w:tc>
          <w:tcPr>
            <w:tcW w:type="dxa" w:w="1080"/>
          </w:tcPr>
          <w:p>
            <w:r>
              <w:rPr>
                <w:sz w:val="17"/>
              </w:rPr>
            </w:r>
            <w:r>
              <w:rPr>
                <w:sz w:val="17"/>
              </w:rPr>
              <w:t>100%</w:t>
            </w:r>
          </w:p>
        </w:tc>
        <w:tc>
          <w:tcPr>
            <w:tcW w:type="dxa" w:w="1080"/>
          </w:tcPr>
          <w:p>
            <w:r>
              <w:rPr>
                <w:sz w:val="17"/>
              </w:rPr>
            </w:r>
            <w:r>
              <w:rPr>
                <w:sz w:val="17"/>
              </w:rPr>
              <w:t>100%</w:t>
            </w:r>
          </w:p>
        </w:tc>
        <w:tc>
          <w:tcPr>
            <w:tcW w:type="dxa" w:w="1080"/>
          </w:tcPr>
          <w:p>
            <w:r>
              <w:rPr>
                <w:sz w:val="17"/>
              </w:rPr>
            </w:r>
            <w:r>
              <w:rPr>
                <w:sz w:val="17"/>
              </w:rPr>
              <w:t>10.7 min</w:t>
            </w:r>
          </w:p>
        </w:tc>
      </w:tr>
      <w:tr>
        <w:tc>
          <w:tcPr>
            <w:tcW w:type="dxa" w:w="1080"/>
          </w:tcPr>
          <w:p>
            <w:r>
              <w:rPr>
                <w:sz w:val="17"/>
              </w:rPr>
            </w:r>
            <w:r>
              <w:rPr>
                <w:sz w:val="17"/>
              </w:rPr>
              <w:t>Performance environnementale</w:t>
            </w:r>
          </w:p>
        </w:tc>
        <w:tc>
          <w:tcPr>
            <w:tcW w:type="dxa" w:w="1080"/>
          </w:tcPr>
          <w:p>
            <w:r>
              <w:rPr>
                <w:sz w:val="17"/>
              </w:rPr>
            </w:r>
            <w:r>
              <w:rPr>
                <w:sz w:val="17"/>
              </w:rPr>
              <w:t>validée</w:t>
            </w:r>
          </w:p>
        </w:tc>
        <w:tc>
          <w:tcPr>
            <w:tcW w:type="dxa" w:w="1080"/>
          </w:tcPr>
          <w:p>
            <w:r>
              <w:rPr>
                <w:sz w:val="17"/>
              </w:rPr>
            </w:r>
            <w:r>
              <w:rPr>
                <w:sz w:val="17"/>
              </w:rPr>
              <w:t>2</w:t>
            </w:r>
          </w:p>
        </w:tc>
        <w:tc>
          <w:tcPr>
            <w:tcW w:type="dxa" w:w="1080"/>
          </w:tcPr>
          <w:p>
            <w:r>
              <w:rPr>
                <w:sz w:val="17"/>
              </w:rPr>
            </w:r>
            <w:r>
              <w:rPr>
                <w:sz w:val="17"/>
              </w:rPr>
              <w:t>0</w:t>
            </w:r>
          </w:p>
        </w:tc>
        <w:tc>
          <w:tcPr>
            <w:tcW w:type="dxa" w:w="1080"/>
          </w:tcPr>
          <w:p>
            <w:r>
              <w:rPr>
                <w:sz w:val="17"/>
              </w:rPr>
            </w:r>
            <w:r>
              <w:rPr>
                <w:sz w:val="17"/>
              </w:rPr>
              <w:t>4/5</w:t>
            </w:r>
          </w:p>
        </w:tc>
        <w:tc>
          <w:tcPr>
            <w:tcW w:type="dxa" w:w="1080"/>
          </w:tcPr>
          <w:p>
            <w:r>
              <w:rPr>
                <w:sz w:val="17"/>
              </w:rPr>
            </w:r>
            <w:r>
              <w:rPr>
                <w:sz w:val="17"/>
              </w:rPr>
              <w:t>100%</w:t>
            </w:r>
          </w:p>
        </w:tc>
        <w:tc>
          <w:tcPr>
            <w:tcW w:type="dxa" w:w="1080"/>
          </w:tcPr>
          <w:p>
            <w:r>
              <w:rPr>
                <w:sz w:val="17"/>
              </w:rPr>
            </w:r>
            <w:r>
              <w:rPr>
                <w:sz w:val="17"/>
              </w:rPr>
              <w:t>0%</w:t>
            </w:r>
          </w:p>
        </w:tc>
        <w:tc>
          <w:tcPr>
            <w:tcW w:type="dxa" w:w="1080"/>
          </w:tcPr>
          <w:p>
            <w:r>
              <w:rPr>
                <w:sz w:val="17"/>
              </w:rPr>
            </w:r>
            <w:r>
              <w:rPr>
                <w:sz w:val="17"/>
              </w:rPr>
              <w:t>26.0 min</w:t>
            </w:r>
          </w:p>
        </w:tc>
      </w:tr>
      <w:tr>
        <w:tc>
          <w:tcPr>
            <w:tcW w:type="dxa" w:w="1080"/>
          </w:tcPr>
          <w:p>
            <w:r>
              <w:rPr>
                <w:sz w:val="17"/>
              </w:rPr>
            </w:r>
            <w:r>
              <w:rPr>
                <w:sz w:val="17"/>
              </w:rPr>
              <w:t>Performance sociale et économique</w:t>
            </w:r>
          </w:p>
        </w:tc>
        <w:tc>
          <w:tcPr>
            <w:tcW w:type="dxa" w:w="1080"/>
          </w:tcPr>
          <w:p>
            <w:r>
              <w:rPr>
                <w:sz w:val="17"/>
              </w:rPr>
            </w:r>
            <w:r>
              <w:rPr>
                <w:sz w:val="17"/>
              </w:rPr>
              <w:t>validée</w:t>
            </w:r>
          </w:p>
        </w:tc>
        <w:tc>
          <w:tcPr>
            <w:tcW w:type="dxa" w:w="1080"/>
          </w:tcPr>
          <w:p>
            <w:r>
              <w:rPr>
                <w:sz w:val="17"/>
              </w:rPr>
            </w:r>
            <w:r>
              <w:rPr>
                <w:sz w:val="17"/>
              </w:rPr>
              <w:t>1</w:t>
            </w:r>
          </w:p>
        </w:tc>
        <w:tc>
          <w:tcPr>
            <w:tcW w:type="dxa" w:w="1080"/>
          </w:tcPr>
          <w:p>
            <w:r>
              <w:rPr>
                <w:sz w:val="17"/>
              </w:rPr>
            </w:r>
            <w:r>
              <w:rPr>
                <w:sz w:val="17"/>
              </w:rPr>
              <w:t>0</w:t>
            </w:r>
          </w:p>
        </w:tc>
        <w:tc>
          <w:tcPr>
            <w:tcW w:type="dxa" w:w="1080"/>
          </w:tcPr>
          <w:p>
            <w:r>
              <w:rPr>
                <w:sz w:val="17"/>
              </w:rPr>
            </w:r>
            <w:r>
              <w:rPr>
                <w:sz w:val="17"/>
              </w:rPr>
              <w:t>4/5</w:t>
            </w:r>
          </w:p>
        </w:tc>
        <w:tc>
          <w:tcPr>
            <w:tcW w:type="dxa" w:w="1080"/>
          </w:tcPr>
          <w:p>
            <w:r>
              <w:rPr>
                <w:sz w:val="17"/>
              </w:rPr>
            </w:r>
            <w:r>
              <w:rPr>
                <w:sz w:val="17"/>
              </w:rPr>
              <w:t>83%</w:t>
            </w:r>
          </w:p>
        </w:tc>
        <w:tc>
          <w:tcPr>
            <w:tcW w:type="dxa" w:w="1080"/>
          </w:tcPr>
          <w:p>
            <w:r>
              <w:rPr>
                <w:sz w:val="17"/>
              </w:rPr>
            </w:r>
            <w:r>
              <w:rPr>
                <w:sz w:val="17"/>
              </w:rPr>
              <w:t>50%</w:t>
            </w:r>
          </w:p>
        </w:tc>
        <w:tc>
          <w:tcPr>
            <w:tcW w:type="dxa" w:w="1080"/>
          </w:tcPr>
          <w:p>
            <w:r>
              <w:rPr>
                <w:sz w:val="17"/>
              </w:rPr>
            </w:r>
            <w:r>
              <w:rPr>
                <w:sz w:val="17"/>
              </w:rPr>
              <w:t>14.2 min</w:t>
            </w:r>
          </w:p>
        </w:tc>
      </w:tr>
      <w:tr>
        <w:tc>
          <w:tcPr>
            <w:tcW w:type="dxa" w:w="1080"/>
          </w:tcPr>
          <w:p>
            <w:r>
              <w:rPr>
                <w:sz w:val="17"/>
              </w:rPr>
            </w:r>
            <w:r>
              <w:rPr>
                <w:sz w:val="17"/>
              </w:rPr>
              <w:t>Enseignement, recherche et engagement (hors GRI)</w:t>
            </w:r>
          </w:p>
        </w:tc>
        <w:tc>
          <w:tcPr>
            <w:tcW w:type="dxa" w:w="1080"/>
          </w:tcPr>
          <w:p>
            <w:r>
              <w:rPr>
                <w:sz w:val="17"/>
              </w:rPr>
            </w:r>
            <w:r>
              <w:rPr>
                <w:sz w:val="17"/>
              </w:rPr>
              <w:t>validée</w:t>
            </w:r>
          </w:p>
        </w:tc>
        <w:tc>
          <w:tcPr>
            <w:tcW w:type="dxa" w:w="1080"/>
          </w:tcPr>
          <w:p>
            <w:r>
              <w:rPr>
                <w:sz w:val="17"/>
              </w:rPr>
            </w:r>
            <w:r>
              <w:rPr>
                <w:sz w:val="17"/>
              </w:rPr>
              <w:t>1</w:t>
            </w:r>
          </w:p>
        </w:tc>
        <w:tc>
          <w:tcPr>
            <w:tcW w:type="dxa" w:w="1080"/>
          </w:tcPr>
          <w:p>
            <w:r>
              <w:rPr>
                <w:sz w:val="17"/>
              </w:rPr>
            </w:r>
            <w:r>
              <w:rPr>
                <w:sz w:val="17"/>
              </w:rPr>
              <w:t>0</w:t>
            </w:r>
          </w:p>
        </w:tc>
        <w:tc>
          <w:tcPr>
            <w:tcW w:type="dxa" w:w="1080"/>
          </w:tcPr>
          <w:p>
            <w:r>
              <w:rPr>
                <w:sz w:val="17"/>
              </w:rPr>
            </w:r>
            <w:r>
              <w:rPr>
                <w:sz w:val="17"/>
              </w:rPr>
              <w:t>4/5</w:t>
            </w:r>
          </w:p>
        </w:tc>
        <w:tc>
          <w:tcPr>
            <w:tcW w:type="dxa" w:w="1080"/>
          </w:tcPr>
          <w:p>
            <w:r>
              <w:rPr>
                <w:sz w:val="17"/>
              </w:rPr>
            </w:r>
            <w:r>
              <w:rPr>
                <w:sz w:val="17"/>
              </w:rPr>
              <w:t>100%</w:t>
            </w:r>
          </w:p>
        </w:tc>
        <w:tc>
          <w:tcPr>
            <w:tcW w:type="dxa" w:w="1080"/>
          </w:tcPr>
          <w:p>
            <w:r>
              <w:rPr>
                <w:sz w:val="17"/>
              </w:rPr>
            </w:r>
            <w:r>
              <w:rPr>
                <w:sz w:val="17"/>
              </w:rPr>
              <w:t>100%</w:t>
            </w:r>
          </w:p>
        </w:tc>
        <w:tc>
          <w:tcPr>
            <w:tcW w:type="dxa" w:w="1080"/>
          </w:tcPr>
          <w:p>
            <w:r>
              <w:rPr>
                <w:sz w:val="17"/>
              </w:rPr>
            </w:r>
            <w:r>
              <w:rPr>
                <w:sz w:val="17"/>
              </w:rPr>
              <w:t>11.6 min</w:t>
            </w:r>
          </w:p>
        </w:tc>
      </w:tr>
    </w:tbl>
    <w:p/>
    <w:p>
      <w:r>
        <w:rPr>
          <w:b/>
        </w:rPr>
        <w:t>Bilan :</w:t>
      </w:r>
      <w:r>
        <w:t xml:space="preserve"> 8 section(s) validée(s) sur 8 ; fidélité moyenne 98% ; 0 version(s) rejetée(s) par le garde-fou avant le juge. Aucun nombre du texte final n'a été écrit par le modèle.</w:t>
      </w:r>
    </w:p>
    <w:p>
      <w:r>
        <w:t>1 violation(s) signalée(s) par le juge ont été écartées car contredites par le contrôle déterministe (par exemple une « revendication de conformité GRI » absente du texte) : le juge 8B se trompe parfois, le code tranche sur ce qu'il sait vérifier.</w:t>
      </w:r>
    </w:p>
    <w:p>
      <w:r>
        <w:rPr>
          <w:b/>
        </w:rPr>
        <w:t>Relecture hors pipeline</w:t>
      </w:r>
      <w:r>
        <w:t xml:space="preserve"> (6 octobre 2026) : 22 correction(s) dans 7 section(s). Phrases supprimées ou reformulées à partir des textes STARS uniquement, sans chiffre tapé à la main. Les corrections ont été proposées par l'assistant Claude Code (IA) à la demande de Wiem Ben Hassine, chacune avec sa source STARS ; elles deviennent une relecture humaine une fois validées par elle. Liste détaillée : </w:t>
      </w:r>
      <w:r>
        <w:rPr>
          <w:rFonts w:ascii="Consolas" w:hAnsi="Consolas"/>
        </w:rPr>
        <w:t>relecture/tudublin.yaml</w:t>
      </w:r>
      <w:r>
        <w:t xml:space="preserve"> et </w:t>
      </w:r>
      <w:r>
        <w:rPr>
          <w:rFonts w:ascii="Consolas" w:hAnsi="Consolas"/>
        </w:rPr>
        <w:t>outputs/relecture_humaine.md</w:t>
      </w:r>
      <w:r>
        <w:t xml:space="preserve">. Le texte écrit par le modèle reste consultable dans </w:t>
      </w:r>
      <w:r>
        <w:rPr>
          <w:rFonts w:ascii="Consolas" w:hAnsi="Consolas"/>
        </w:rPr>
        <w:t>outputs/cache/</w:t>
      </w:r>
      <w:r>
        <w:t>.</w:t>
      </w:r>
    </w:p>
    <w:p>
      <w:pPr>
        <w:pStyle w:val="Heading1"/>
      </w:pPr>
      <w:r>
        <w:rPr>
          <w:color w:val="2F6F5E"/>
        </w:rPr>
        <w:t>Vérifier ce rapport</w:t>
      </w:r>
    </w:p>
    <w:p>
      <w:r>
        <w:t xml:space="preserve">Chaque chiffre de ce rapport est listé dans </w:t>
      </w:r>
      <w:r>
        <w:rPr>
          <w:rFonts w:ascii="Consolas" w:hAnsi="Consolas"/>
        </w:rPr>
        <w:t>provenance.csv</w:t>
      </w:r>
      <w:r>
        <w:t xml:space="preserve"> avec le crédit STARS, le champ et l'URL dont il provient. </w:t>
      </w:r>
      <w:r>
        <w:rPr>
          <w:rFonts w:ascii="Consolas" w:hAnsi="Consolas"/>
        </w:rPr>
        <w:t>pytest</w:t>
      </w:r>
      <w:r>
        <w:t xml:space="preserve"> recalcule ces chiffres à partir des fichiers bruts, indépendamment du code qui les a produits, et vérifie qu'aucun nombre des sections narratives n'est absent de la table des faits.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durabilité — Technological University Dublin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