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University of California, Berkeley</w:t>
      </w:r>
    </w:p>
    <w:p>
      <w:r>
        <w:rPr>
          <w:i/>
        </w:rPr>
        <w:t>Établi en référence aux normes GRI · généré le 2026-10-06 · données AASHE STARS 3.0</w:t>
      </w:r>
    </w:p>
    <w:p>
      <w:r>
        <w:rPr>
          <w:b/>
        </w:rPr>
        <w:t>À propos de ce rapport.</w:t>
      </w:r>
      <w:r>
        <w:t xml:space="preserve"> Ce rapport est généré automatiquement à partir de la soumission publique AASHE STARS 3.0 de University of California, Berkeley (19 février 2025),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University of California, Berkeley STARS Report (https://reports.aashe.org/institutions/university-of-california-berkeley-ca/report/2025-02-19/)</w:t>
      </w:r>
      <w:r>
        <w:t>, AASHE, note « Platinum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Platinum</w:t>
      </w:r>
      <w:r>
        <w:t xml:space="preserve"> — score global </w:t>
      </w:r>
      <w:r>
        <w:rPr>
          <w:b/>
        </w:rPr>
        <w:t>86,76</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60,67</w:t>
            </w:r>
          </w:p>
        </w:tc>
        <w:tc>
          <w:tcPr>
            <w:tcW w:type="dxa" w:w="1728"/>
          </w:tcPr>
          <w:p>
            <w:r>
              <w:rPr>
                <w:sz w:val="17"/>
              </w:rPr>
            </w:r>
            <w:r>
              <w:rPr>
                <w:sz w:val="17"/>
              </w:rPr>
              <w:t>86</w:t>
            </w:r>
          </w:p>
        </w:tc>
        <w:tc>
          <w:tcPr>
            <w:tcW w:type="dxa" w:w="1728"/>
          </w:tcPr>
          <w:p>
            <w:r>
              <w:rPr>
                <w:sz w:val="17"/>
              </w:rPr>
            </w:r>
            <w:r>
              <w:rPr>
                <w:sz w:val="17"/>
              </w:rPr>
              <w:t>70,5 %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21,40</w:t>
            </w:r>
          </w:p>
        </w:tc>
        <w:tc>
          <w:tcPr>
            <w:tcW w:type="dxa" w:w="1728"/>
          </w:tcPr>
          <w:p>
            <w:r>
              <w:rPr>
                <w:sz w:val="17"/>
              </w:rPr>
            </w:r>
            <w:r>
              <w:rPr>
                <w:sz w:val="17"/>
              </w:rPr>
              <w:t>25</w:t>
            </w:r>
          </w:p>
        </w:tc>
        <w:tc>
          <w:tcPr>
            <w:tcW w:type="dxa" w:w="1728"/>
          </w:tcPr>
          <w:p>
            <w:r>
              <w:rPr>
                <w:sz w:val="17"/>
              </w:rPr>
            </w:r>
            <w:r>
              <w:rPr>
                <w:sz w:val="17"/>
              </w:rPr>
              <w:t>85,6 %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17,01</w:t>
            </w:r>
          </w:p>
        </w:tc>
        <w:tc>
          <w:tcPr>
            <w:tcW w:type="dxa" w:w="1728"/>
          </w:tcPr>
          <w:p>
            <w:r>
              <w:rPr>
                <w:sz w:val="17"/>
              </w:rPr>
            </w:r>
            <w:r>
              <w:rPr>
                <w:sz w:val="17"/>
              </w:rPr>
              <w:t>21</w:t>
            </w:r>
          </w:p>
        </w:tc>
        <w:tc>
          <w:tcPr>
            <w:tcW w:type="dxa" w:w="1728"/>
          </w:tcPr>
          <w:p>
            <w:r>
              <w:rPr>
                <w:sz w:val="17"/>
              </w:rPr>
            </w:r>
            <w:r>
              <w:rPr>
                <w:sz w:val="17"/>
              </w:rPr>
              <w:t>81,0 %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107,83</w:t>
            </w:r>
          </w:p>
        </w:tc>
        <w:tc>
          <w:tcPr>
            <w:tcW w:type="dxa" w:w="1728"/>
          </w:tcPr>
          <w:p>
            <w:r>
              <w:rPr>
                <w:sz w:val="17"/>
              </w:rPr>
            </w:r>
            <w:r>
              <w:rPr>
                <w:sz w:val="17"/>
              </w:rPr>
              <w:t>118</w:t>
            </w:r>
          </w:p>
        </w:tc>
        <w:tc>
          <w:tcPr>
            <w:tcW w:type="dxa" w:w="1728"/>
          </w:tcPr>
          <w:p>
            <w:r>
              <w:rPr>
                <w:sz w:val="17"/>
              </w:rPr>
            </w:r>
            <w:r>
              <w:rPr>
                <w:sz w:val="17"/>
              </w:rPr>
              <w:t>91,4 %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L'université de Californie, Berkeley, est une institution universitaire située dans la ville de Berkeley, en Californie. Elle est membre de l'Université de Californie, qui regroupe plusieurs établissements dans le même périmètre d'activité.</w:t>
      </w:r>
    </w:p>
    <w:p>
      <w:r>
        <w:t>Le périmètre d'activité de l'université de Californie, Berkeley, est défini en fonction de ses besoins opérationnels.</w:t>
      </w:r>
    </w:p>
    <w:p>
      <w:r>
        <w:t>L'université de Californie, Berkeley, a déclaré que son périmètre d'activité est celui pour lequel elle conserve le contrôle opérationnel.</w:t>
      </w:r>
    </w:p>
    <w:p>
      <w:r>
        <w:t>(GRI 2-1)</w:t>
      </w:r>
    </w:p>
    <w:p>
      <w:r>
        <w:t>L'université de Californie, Berkeley, a déclaré que son périmètre d'activité comprend les entités suivantes : le campus principal, le Hill campus, le Richmond Field Station et les réserves opérées par l'université.</w:t>
      </w:r>
    </w:p>
    <w:p>
      <w:r>
        <w:t>(GRI 2-2)</w:t>
      </w:r>
    </w:p>
    <w:p>
      <w:r>
        <w:t>(GRI 2-3)</w:t>
      </w:r>
    </w:p>
    <w:p>
      <w:r>
        <w:t>(GRI 2-3)</w:t>
      </w:r>
    </w:p>
    <w:p>
      <w:pPr>
        <w:pStyle w:val="Heading2"/>
      </w:pPr>
      <w:r>
        <w:rPr>
          <w:color w:val="2F6F5E"/>
        </w:rPr>
        <w:t>Limites et omissions</w:t>
      </w:r>
    </w:p>
    <w:p>
      <w:r>
        <w:t>Ce rapport ne peut pas établir les détails sur la dénomination légale, le siège et les pays d'activité de l'université de Californie, Berkeley, car ces informations ne sont pas collectées par STARS.</w:t>
      </w:r>
    </w:p>
    <w:p>
      <w:r>
        <w:t>(GRI 2-1)</w:t>
      </w:r>
    </w:p>
    <w:p>
      <w:r>
        <w:t>Ce rapport ne peut pas établir les entités incluses dans le périmètre d'activité de l'université de Californie, Berkeley, car les ratios par personne ou par m² ne sont pas comparables tels quels.</w:t>
      </w:r>
    </w:p>
    <w:p>
      <w:r>
        <w:t>(GRI 2-2)</w:t>
      </w:r>
    </w:p>
    <w:p>
      <w:r>
        <w:t>Ce rapport ne peut pas établir la période de reporting, la fréquence et le point de contact de l'université de Californie, Berkeley, car ces informations ne sont pas collectées par STARS.</w:t>
      </w:r>
    </w:p>
    <w:p>
      <w:r>
        <w:t>(GRI 2-3)</w:t>
      </w:r>
    </w:p>
    <w:p>
      <w:r>
        <w:t>Ce rapport ne peut pas établir la vérification externe de l'université de Californie, Berkeley, car les informations sur la norme d'assurance, le niveau d'assurance et la relation avec le vérificateur ne sont pas collectées par STARS.</w:t>
      </w:r>
    </w:p>
    <w:p>
      <w:r>
        <w:t>(GRI 2-5)</w:t>
      </w:r>
    </w:p>
    <w:p>
      <w:r>
        <w:t>Ce rapport ne peut pas établir les activités, la chaîne de valeur et les relations d'affaires de l'université de Californie, Berkeley, car ces informations ne sont pas collectées par STARS.</w:t>
      </w:r>
    </w:p>
    <w:p>
      <w:r>
        <w:t>(GRI 2-6)</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6 / 6</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Ces domaines sont fixés par STARS et sont identiques pour toutes les institutions.</w:t>
      </w:r>
    </w:p>
    <w:p>
      <w:pPr>
        <w:pStyle w:val="Heading2"/>
      </w:pPr>
      <w:r>
        <w:rPr>
          <w:color w:val="2F6F5E"/>
        </w:rPr>
        <w:t>Gestion des thèmes matériels</w:t>
      </w:r>
    </w:p>
    <w:p>
      <w:r>
        <w:t>L'université a adopté un plan stratégique pour la durabilité qui inclut des objectifs mesurables, tels que l'expansion de l'accès et des opportunités de formation co-curriculaires et le développement de voies institutionnelles pour les clubs et les groupes étudiants pour accroître leur engagement intersectionnel avec le Centre de ressources environnementales (SERC). Le plan stratégique comprend également des objectifs stratégiques sous le but de renforcer les programmes et les ressources pour approfondir l'engagement dans la communauté de la durabilité.</w:t>
      </w:r>
    </w:p>
    <w:p>
      <w:r>
        <w:t>L'université suit également la politique de pratiques durables du système UC, qui inclut des objectifs tels que la réduction des émissions de gaz à effet de serre de manière à atteindre un campus à zéro carbone.</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3,5 / 4</w:t>
            </w:r>
          </w:p>
        </w:tc>
        <w:tc>
          <w:tcPr>
            <w:tcW w:type="dxa" w:w="2880"/>
          </w:tcPr>
          <w:p>
            <w:r>
              <w:rPr>
                <w:sz w:val="17"/>
              </w:rPr>
            </w:r>
            <w:r>
              <w:rPr>
                <w:sz w:val="17"/>
              </w:rPr>
              <w:t>élevé</w:t>
            </w:r>
          </w:p>
        </w:tc>
      </w:tr>
      <w:tr>
        <w:tc>
          <w:tcPr>
            <w:tcW w:type="dxa" w:w="2880"/>
          </w:tcPr>
          <w:p>
            <w:r>
              <w:rPr>
                <w:sz w:val="17"/>
              </w:rPr>
            </w:r>
            <w:r>
              <w:rPr>
                <w:sz w:val="17"/>
              </w:rPr>
              <w:t>PA-4 — Sustainable Investment Program</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PA-5 — Investment Holdings</w:t>
            </w:r>
          </w:p>
        </w:tc>
        <w:tc>
          <w:tcPr>
            <w:tcW w:type="dxa" w:w="2880"/>
          </w:tcPr>
          <w:p>
            <w:r>
              <w:rPr>
                <w:sz w:val="17"/>
              </w:rPr>
            </w:r>
            <w:r>
              <w:rPr>
                <w:sz w:val="17"/>
              </w:rPr>
              <w:t>2,51 / 6</w:t>
            </w:r>
          </w:p>
        </w:tc>
        <w:tc>
          <w:tcPr>
            <w:tcW w:type="dxa" w:w="2880"/>
          </w:tcPr>
          <w:p>
            <w:r>
              <w:rPr>
                <w:sz w:val="17"/>
              </w:rPr>
            </w:r>
            <w:r>
              <w:rPr>
                <w:sz w:val="17"/>
              </w:rPr>
              <w:t>intermédiaire</w:t>
            </w:r>
          </w:p>
        </w:tc>
      </w:tr>
    </w:tbl>
    <w:p/>
    <w:p>
      <w:r>
        <w:rPr>
          <w:i/>
        </w:rPr>
        <w:t>Valeurs insérées par le code depuis la table des faits ; le texte ci-dessous est rédigé par le modèle puis validé.</w:t>
      </w:r>
    </w:p>
    <w:p>
      <w:r>
        <w:t>L'université de Californie à Berkeley a plusieurs officiers de durabilité dans le Bureau de la durabilité, la Haas et le SERC. L'université de Californie à Berkeley inclut des représentants étudiants dans son organe de décision le plus élevé, le conseil des régents de l'université de Californie. Bien que le conseil des régents gouverne l'ensemble du système de l'université de Californie et non seulement le campus de Berkeley, il exerce l'autorité ultime sur les politiques, les finances et la planification stratégique de l'université de Californie, y compris le campus de Berkeley.</w:t>
      </w:r>
    </w:p>
    <w:p>
      <w:r>
        <w:t>L'université de Californie à Berkeley a plusieurs organes en cours qui permettent aux membres du personnel académique de participer à la gouvernance de l'institution. Le principal organe est la division de Berkeley de l'Académie de la durabilité, qui fait partie du Sénat académique de l'université de Californie. Ce Sénat fournit aux membres du personnel académique un moyen structuré et démocratique de participer à la gouvernance du campus et à la prise de décision.</w:t>
      </w:r>
    </w:p>
    <w:p>
      <w:r>
        <w:t>L'université de Californie à Berkeley obtient 3,5 points STARS sur 4 au crédit PA-3, niveau élevé.</w:t>
      </w:r>
    </w:p>
    <w:p>
      <w:r>
        <w:t>L'université de Californie à Berkeley obtient 4 points STARS sur 4 au crédit PA-4, niveau maximal.</w:t>
      </w:r>
    </w:p>
    <w:p>
      <w:r>
        <w:t>L'université de Californie à Berkeley obtient 2,51 points STARS sur 6 au crédit PA-5, niveau intermédiaire.</w:t>
      </w:r>
    </w:p>
    <w:p>
      <w:pPr>
        <w:pStyle w:val="Heading2"/>
      </w:pPr>
      <w:r>
        <w:rPr>
          <w:color w:val="2F6F5E"/>
        </w:rPr>
        <w:t>Limites et omissions</w:t>
      </w:r>
    </w:p>
    <w:p>
      <w:r>
        <w:t>Ce rapport ne peut pas établir la structure et la composition de la gouvernance de l'université de Californie à Berkeley, en particulier les catégories GRI 2-10 à GRI 2-21, qui ne sont pas couvertes par STARS.</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7 / 7</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L'Université de Californie à Berkeley (UC Berkeley) a adopté une stratégie de développement durable qui vise à renforcer les programmes et les ressources pour approfondir l'engagement dans la communauté de la durabilité. Cette stratégie est définie dans le plan stratégique du Student Environmental Resource Center (SERC) qui inclut des objectifs mesurables tels que l'expansion des opportunités de formation co-curriculaire et le développement de voies institutionnelles pour les clubs et les groupes étudiants pour accroître l'engagement intersectionnel avec le SERC.</w:t>
      </w:r>
    </w:p>
    <w:p>
      <w:r>
        <w:t>L'UC Berkeley est signataire du Climate Leadership Commitments de Second Nature, qui inclut le Carbon Commitment. Cette déclaration externe renforce l'engagement de l'université à réduire les émissions de carbone et à renforcer la résilience face au changement climatique.</w:t>
      </w:r>
    </w:p>
    <w:p>
      <w:r>
        <w:t>L'Office de la durabilité de l'UC Berkeley est dirigé par une équipe dédiée qui se consacre à avancer les objectifs de durabilité de l'université et à satisfaire ses engagements climatiques. Cette équipe, dirigée par le responsable de la durabilité et des solutions au carbone, collabore avec les départements et les parties prenantes de l'UC Berkeley pour développer des stratégies qui réduisent les émissions de gaz à effet de serre, améliorent l'achat durable et favorisent la responsabilité environnementale dans les opérations quotidiennes.</w:t>
      </w:r>
    </w:p>
    <w:p>
      <w:r>
        <w:t>L'UC Berkeley a une section dédiée sur son site web des ressources humaines qui expose les politiques liées aux droits des salariés, notamment le traitement équitable, les procédures de réclamation et l'équilibre vie professionnelle. Ces politiques couvrent des domaines tels que la lutte contre les discriminations, la protection des lanceurs d'alerte et les avantages pour les salariés, offrant ainsi une vue transparente des droits et du soutien offerts aux salariés.</w:t>
      </w:r>
    </w:p>
    <w:p>
      <w:r>
        <w:t>L'université de Californie a également établi un Code des valeurs et des normes de conduite éthique qui s'applique à tous les campus de l'université, y compris Berkeley. Ce code met en avant l'engagement de l'université envers l'intégrité, le respect et la responsabilité dans ses relations avec les salariés.</w:t>
      </w:r>
    </w:p>
    <w:p>
      <w:pPr>
        <w:pStyle w:val="Heading2"/>
      </w:pPr>
      <w:r>
        <w:rPr>
          <w:color w:val="2F6F5E"/>
        </w:rPr>
        <w:t>Limites et omissions</w:t>
      </w:r>
    </w:p>
    <w:p>
      <w:r>
        <w:t>Ce rapport ne peut pas établir les engagements politiques de l'UC Berkeley en ce qui concerne les droits humains et le devoir de vigilance, car STARS ne couvre pas ces aspects. De plus, STARS ne collecte pas les informations sur les mécanismes de demande de conseil et de signalement pour les personnes en relation d'affaires, ce qui constitue également un domaine non couvert par le rapport.</w:t>
      </w:r>
    </w:p>
    <w:p>
      <w:r>
        <w:t>(GRI 2-22, GRI 2-23, GRI 2-26)</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3,5 / 4</w:t>
            </w:r>
          </w:p>
        </w:tc>
        <w:tc>
          <w:tcPr>
            <w:tcW w:type="dxa" w:w="2880"/>
          </w:tcPr>
          <w:p>
            <w:r>
              <w:rPr>
                <w:sz w:val="17"/>
              </w:rPr>
            </w:r>
            <w:r>
              <w:rPr>
                <w:sz w:val="17"/>
              </w:rPr>
              <w:t>élevé</w:t>
            </w:r>
          </w:p>
        </w:tc>
      </w:tr>
      <w:tr>
        <w:tc>
          <w:tcPr>
            <w:tcW w:type="dxa" w:w="2880"/>
          </w:tcPr>
          <w:p>
            <w:r>
              <w:rPr>
                <w:sz w:val="17"/>
              </w:rPr>
            </w:r>
            <w:r>
              <w:rPr>
                <w:sz w:val="17"/>
              </w:rPr>
              <w:t>EN-5 — Civic Engagement</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EN-6 — Community Partnerships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L'engagement des parties prenantes est un aspect clé de la stratégie de l'University of California, Berkeley. Le rapport STARS indique que l'université a mis en place des comités consultatifs pour l'engagement communautaire, qui impliquent des membres de la communauté locale, notamment dans les domaines de la santé publique, de la durabilité et de la justice sociale.</w:t>
      </w:r>
    </w:p>
    <w:p>
      <w:r>
        <w:t>L'université a également établi des comités consultatifs pour la gouvernance, qui impliquent des membres de la communauté locale et des étudiants. Ces comités fournissent aux organisations communautaires un forum pour donner leur avis sur les politiques et les initiatives de l'université qui affectent la population locale.</w:t>
      </w:r>
    </w:p>
    <w:p>
      <w:r>
        <w:t>L'université a également mis en place des partenariats avec la communauté, tels que le programme College Corps, qui a permis à des étudiants de la faculté de participer à des partenariats communautaires dans le domaine de la justice climatique et alimentaire.</w:t>
      </w:r>
    </w:p>
    <w:p>
      <w:r>
        <w:t>Enfin, l'université a mis en place des politiques pour protéger les droits des salariés, notamment en matière de traitement équitable, de procédures de réclamation et d'équilibre vie professionnelle/vie personnelle.</w:t>
      </w:r>
    </w:p>
    <w:p>
      <w:r>
        <w:t>(GRI 2-29)</w:t>
      </w:r>
    </w:p>
    <w:p>
      <w:pPr>
        <w:pStyle w:val="Heading2"/>
      </w:pPr>
      <w:r>
        <w:rPr>
          <w:color w:val="2F6F5E"/>
        </w:rPr>
        <w:t>Limites et omissions</w:t>
      </w:r>
    </w:p>
    <w:p>
      <w:r>
        <w:t>Ce rapport ne peut pas établir les informations sur les fournisseurs de l'université, les groupes vulnérables ou la méthode d'identification des parties prenantes.</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6,87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8,01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2,43 / 7</w:t>
            </w:r>
          </w:p>
        </w:tc>
        <w:tc>
          <w:tcPr>
            <w:tcW w:type="dxa" w:w="2880"/>
          </w:tcPr>
          <w:p>
            <w:r>
              <w:rPr>
                <w:sz w:val="17"/>
              </w:rPr>
            </w:r>
            <w:r>
              <w:rPr>
                <w:sz w:val="17"/>
              </w:rPr>
              <w:t>faible</w:t>
            </w:r>
          </w:p>
        </w:tc>
      </w:tr>
      <w:tr>
        <w:tc>
          <w:tcPr>
            <w:tcW w:type="dxa" w:w="2880"/>
          </w:tcPr>
          <w:p>
            <w:r>
              <w:rPr>
                <w:sz w:val="17"/>
              </w:rPr>
            </w:r>
            <w:r>
              <w:rPr>
                <w:sz w:val="17"/>
              </w:rPr>
              <w:t>OP-12 — Waste Generation and Recovery</w:t>
            </w:r>
          </w:p>
        </w:tc>
        <w:tc>
          <w:tcPr>
            <w:tcW w:type="dxa" w:w="2880"/>
          </w:tcPr>
          <w:p>
            <w:r>
              <w:rPr>
                <w:sz w:val="17"/>
              </w:rPr>
            </w:r>
            <w:r>
              <w:rPr>
                <w:sz w:val="17"/>
              </w:rPr>
              <w:t>3,27 / 5</w:t>
            </w:r>
          </w:p>
        </w:tc>
        <w:tc>
          <w:tcPr>
            <w:tcW w:type="dxa" w:w="2880"/>
          </w:tcPr>
          <w:p>
            <w:r>
              <w:rPr>
                <w:sz w:val="17"/>
              </w:rPr>
            </w:r>
            <w:r>
              <w:rPr>
                <w:sz w:val="17"/>
              </w:rPr>
              <w:t>intermédiaire</w:t>
            </w:r>
          </w:p>
        </w:tc>
      </w:tr>
      <w:tr>
        <w:tc>
          <w:tcPr>
            <w:tcW w:type="dxa" w:w="2880"/>
          </w:tcPr>
          <w:p>
            <w:r>
              <w:rPr>
                <w:sz w:val="17"/>
              </w:rPr>
            </w:r>
            <w:r>
              <w:rPr>
                <w:sz w:val="17"/>
              </w:rPr>
              <w:t>OP-11 — Materials Management</w:t>
            </w:r>
          </w:p>
        </w:tc>
        <w:tc>
          <w:tcPr>
            <w:tcW w:type="dxa" w:w="2880"/>
          </w:tcPr>
          <w:p>
            <w:r>
              <w:rPr>
                <w:sz w:val="17"/>
              </w:rPr>
            </w:r>
            <w:r>
              <w:rPr>
                <w:sz w:val="17"/>
              </w:rPr>
              <w:t>3,75 / 4</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7 / 7</w:t>
            </w:r>
          </w:p>
        </w:tc>
        <w:tc>
          <w:tcPr>
            <w:tcW w:type="dxa" w:w="2880"/>
          </w:tcPr>
          <w:p>
            <w:r>
              <w:rPr>
                <w:sz w:val="17"/>
              </w:rPr>
            </w:r>
            <w:r>
              <w:rPr>
                <w:sz w:val="17"/>
              </w:rPr>
              <w:t>maximal (tous les points obtenus)</w:t>
            </w:r>
          </w:p>
        </w:tc>
      </w:tr>
      <w:tr>
        <w:tc>
          <w:tcPr>
            <w:tcW w:type="dxa" w:w="2880"/>
          </w:tcPr>
          <w:p>
            <w:r>
              <w:rPr>
                <w:sz w:val="17"/>
              </w:rPr>
            </w:r>
            <w:r>
              <w:rPr>
                <w:sz w:val="17"/>
              </w:rPr>
              <w:t>OP-10 — Purchased Goods</w:t>
            </w:r>
          </w:p>
        </w:tc>
        <w:tc>
          <w:tcPr>
            <w:tcW w:type="dxa" w:w="2880"/>
          </w:tcPr>
          <w:p>
            <w:r>
              <w:rPr>
                <w:sz w:val="17"/>
              </w:rPr>
            </w:r>
            <w:r>
              <w:rPr>
                <w:sz w:val="17"/>
              </w:rPr>
              <w:t>2,8 / 4</w:t>
            </w:r>
          </w:p>
        </w:tc>
        <w:tc>
          <w:tcPr>
            <w:tcW w:type="dxa" w:w="2880"/>
          </w:tcPr>
          <w:p>
            <w:r>
              <w:rPr>
                <w:sz w:val="17"/>
              </w:rPr>
            </w:r>
            <w:r>
              <w:rPr>
                <w:sz w:val="17"/>
              </w:rPr>
              <w:t>intermédiaire</w:t>
            </w:r>
          </w:p>
        </w:tc>
      </w:tr>
      <w:tr>
        <w:tc>
          <w:tcPr>
            <w:tcW w:type="dxa" w:w="2880"/>
          </w:tcPr>
          <w:p>
            <w:r>
              <w:rPr>
                <w:sz w:val="17"/>
              </w:rPr>
            </w:r>
            <w:r>
              <w:rPr>
                <w:sz w:val="17"/>
              </w:rPr>
              <w:t>OP-1 — Building Design and Construction</w:t>
            </w:r>
          </w:p>
        </w:tc>
        <w:tc>
          <w:tcPr>
            <w:tcW w:type="dxa" w:w="2880"/>
          </w:tcPr>
          <w:p>
            <w:r>
              <w:rPr>
                <w:sz w:val="17"/>
              </w:rPr>
            </w:r>
            <w:r>
              <w:rPr>
                <w:sz w:val="17"/>
              </w:rPr>
              <w:t>2,91 / 3</w:t>
            </w:r>
          </w:p>
        </w:tc>
        <w:tc>
          <w:tcPr>
            <w:tcW w:type="dxa" w:w="2880"/>
          </w:tcPr>
          <w:p>
            <w:r>
              <w:rPr>
                <w:sz w:val="17"/>
              </w:rPr>
            </w:r>
            <w:r>
              <w:rPr>
                <w:sz w:val="17"/>
              </w:rPr>
              <w:t>élevé</w:t>
            </w:r>
          </w:p>
        </w:tc>
      </w:tr>
      <w:tr>
        <w:tc>
          <w:tcPr>
            <w:tcW w:type="dxa" w:w="2880"/>
          </w:tcPr>
          <w:p>
            <w:r>
              <w:rPr>
                <w:sz w:val="17"/>
              </w:rPr>
            </w:r>
            <w:r>
              <w:rPr>
                <w:sz w:val="17"/>
              </w:rPr>
              <w:t>OP-2 — Building Operations and Maintenance</w:t>
            </w:r>
          </w:p>
        </w:tc>
        <w:tc>
          <w:tcPr>
            <w:tcW w:type="dxa" w:w="2880"/>
          </w:tcPr>
          <w:p>
            <w:r>
              <w:rPr>
                <w:sz w:val="17"/>
              </w:rPr>
            </w:r>
            <w:r>
              <w:rPr>
                <w:sz w:val="17"/>
              </w:rPr>
              <w:t>4 / 5</w:t>
            </w:r>
          </w:p>
        </w:tc>
        <w:tc>
          <w:tcPr>
            <w:tcW w:type="dxa" w:w="2880"/>
          </w:tcPr>
          <w:p>
            <w:r>
              <w:rPr>
                <w:sz w:val="17"/>
              </w:rPr>
            </w:r>
            <w:r>
              <w:rPr>
                <w:sz w:val="17"/>
              </w:rPr>
              <w:t>élevé</w:t>
            </w:r>
          </w:p>
        </w:tc>
      </w:tr>
      <w:tr>
        <w:tc>
          <w:tcPr>
            <w:tcW w:type="dxa" w:w="2880"/>
          </w:tcPr>
          <w:p>
            <w:r>
              <w:rPr>
                <w:sz w:val="17"/>
              </w:rPr>
            </w:r>
            <w:r>
              <w:rPr>
                <w:sz w:val="17"/>
              </w:rPr>
              <w:t>OP-13 — Vehicle Fleet</w:t>
            </w:r>
          </w:p>
        </w:tc>
        <w:tc>
          <w:tcPr>
            <w:tcW w:type="dxa" w:w="2880"/>
          </w:tcPr>
          <w:p>
            <w:r>
              <w:rPr>
                <w:sz w:val="17"/>
              </w:rPr>
            </w:r>
            <w:r>
              <w:rPr>
                <w:sz w:val="17"/>
              </w:rPr>
              <w:t>0,28 / 2</w:t>
            </w:r>
          </w:p>
        </w:tc>
        <w:tc>
          <w:tcPr>
            <w:tcW w:type="dxa" w:w="2880"/>
          </w:tcPr>
          <w:p>
            <w:r>
              <w:rPr>
                <w:sz w:val="17"/>
              </w:rPr>
            </w:r>
            <w:r>
              <w:rPr>
                <w:sz w:val="17"/>
              </w:rPr>
              <w:t>faible</w:t>
            </w:r>
          </w:p>
        </w:tc>
      </w:tr>
      <w:tr>
        <w:tc>
          <w:tcPr>
            <w:tcW w:type="dxa" w:w="2880"/>
          </w:tcPr>
          <w:p>
            <w:r>
              <w:rPr>
                <w:sz w:val="17"/>
              </w:rPr>
            </w:r>
            <w:r>
              <w:rPr>
                <w:sz w:val="17"/>
              </w:rPr>
              <w:t>OP-14 — Commute Modal Split</w:t>
            </w:r>
          </w:p>
        </w:tc>
        <w:tc>
          <w:tcPr>
            <w:tcW w:type="dxa" w:w="2880"/>
          </w:tcPr>
          <w:p>
            <w:r>
              <w:rPr>
                <w:sz w:val="17"/>
              </w:rPr>
            </w:r>
            <w:r>
              <w:rPr>
                <w:sz w:val="17"/>
              </w:rPr>
              <w:t>4,89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OP-4 — Ecologically Managed Grounds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IL-24 — Biodiversity Assessment</w:t>
            </w:r>
          </w:p>
        </w:tc>
        <w:tc>
          <w:tcPr>
            <w:tcW w:type="dxa" w:w="2880"/>
          </w:tcPr>
          <w:p>
            <w:r>
              <w:rPr>
                <w:sz w:val="17"/>
              </w:rPr>
            </w:r>
            <w:r>
              <w:rPr>
                <w:sz w:val="17"/>
              </w:rPr>
              <w:t>1 / 1</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3"/>
      </w:pPr>
      <w:r>
        <w:rPr>
          <w:color w:val="2F6F5E"/>
        </w:rPr>
        <w:t>Énergie</w:t>
      </w:r>
    </w:p>
    <w:p>
      <w:r>
        <w:t>L'université obtient 6,87 points STARS sur 10 au crédit OP-5, niveau intermédiaire. Une partie de l'électricité du campus provient du programme UC Clean Power : sa part solaire est déclarée comme électricité renouvelable hors site certifiée, et sa part de grande hydraulique comme électricité renouvelable hors site non certifiée.</w:t>
      </w:r>
    </w:p>
    <w:p>
      <w:pPr>
        <w:pStyle w:val="Heading3"/>
      </w:pPr>
      <w:r>
        <w:rPr>
          <w:color w:val="2F6F5E"/>
        </w:rPr>
        <w:t>Émissions de gaz à effet de serre</w:t>
      </w:r>
    </w:p>
    <w:p>
      <w:r>
        <w:t>L'université obtient 8,01 points STARS sur 16 au crédit OP-6, niveau intermédiaire. Dans le cadre du programme Cap and Trade, des crédits de compensation sont répartis chaque année entre les campus selon leurs émissions ; cette année, les instruments de conformité retirés proviennent de projets forestiers aux États-Unis.</w:t>
      </w:r>
    </w:p>
    <w:p>
      <w:pPr>
        <w:pStyle w:val="Heading3"/>
      </w:pPr>
      <w:r>
        <w:rPr>
          <w:color w:val="2F6F5E"/>
        </w:rPr>
        <w:t>Eau</w:t>
      </w:r>
    </w:p>
    <w:p>
      <w:r>
        <w:t>L'université obtient 2,43 points STARS sur 7 au crédit OP-3, niveau faible. Le campus a mis en place un système de récupération d'eau de pluie, notamment au sein de la Haas School of Business.</w:t>
      </w:r>
    </w:p>
    <w:p>
      <w:pPr>
        <w:pStyle w:val="Heading3"/>
      </w:pPr>
      <w:r>
        <w:rPr>
          <w:color w:val="2F6F5E"/>
        </w:rPr>
        <w:t>Déchets</w:t>
      </w:r>
    </w:p>
    <w:p>
      <w:r>
        <w:t>L'université obtient 3,27 points STARS sur 5 au crédit OP-12, niveau intermédiaire.</w:t>
      </w:r>
    </w:p>
    <w:p>
      <w:pPr>
        <w:pStyle w:val="Heading3"/>
      </w:pPr>
      <w:r>
        <w:rPr>
          <w:color w:val="2F6F5E"/>
        </w:rPr>
        <w:t>Matériaux</w:t>
      </w:r>
    </w:p>
    <w:p>
      <w:r>
        <w:t>L'université obtient 3,75 points STARS sur 4 au crédit OP-11, niveau élevé. Le compostage est intégré à tous les circuits de collecte du campus, et les déchets compostables sont envoyés vers une installation de compostage industriel.</w:t>
      </w:r>
    </w:p>
    <w:p>
      <w:pPr>
        <w:pStyle w:val="Heading3"/>
      </w:pPr>
      <w:r>
        <w:rPr>
          <w:color w:val="2F6F5E"/>
        </w:rPr>
        <w:t>Système d'achats durables</w:t>
      </w:r>
    </w:p>
    <w:p>
      <w:r>
        <w:t>L'université obtient 7 points STARS sur 7 au crédit OP-9, niveau maximal. Tous les appels d'offres intègrent des critères de durabilité ; l'université évalue ses fournisseurs avec EcoVadis, et ses lignes directrices d'achats durables visent notamment à réduire les émissions et les impacts carbone de la chaîne d'approvisionnement.</w:t>
      </w:r>
    </w:p>
    <w:p>
      <w:pPr>
        <w:pStyle w:val="Heading3"/>
      </w:pPr>
      <w:r>
        <w:rPr>
          <w:color w:val="2F6F5E"/>
        </w:rPr>
        <w:t>Conception et construction des bâtiments</w:t>
      </w:r>
    </w:p>
    <w:p>
      <w:r>
        <w:t>L'université obtient 2,91 points STARS sur 3 au crédit OP-1, niveau élevé.</w:t>
      </w:r>
    </w:p>
    <w:p>
      <w:pPr>
        <w:pStyle w:val="Heading3"/>
      </w:pPr>
      <w:r>
        <w:rPr>
          <w:color w:val="2F6F5E"/>
        </w:rPr>
        <w:t>Exploitation et maintenance des bâtiments</w:t>
      </w:r>
    </w:p>
    <w:p>
      <w:r>
        <w:t>L'université obtient 4 points STARS sur 5 au crédit OP-2, niveau élevé. De nombreux bâtiments du campus respectent la norme LEED-EBOM (exploitation et maintenance des bâtiments existants), qui met l'accent sur le nettoyage écologique, les matériaux durables, la qualité de l'air et la réduction des déchets.</w:t>
      </w:r>
    </w:p>
    <w:p>
      <w:pPr>
        <w:pStyle w:val="Heading3"/>
      </w:pPr>
      <w:r>
        <w:rPr>
          <w:color w:val="2F6F5E"/>
        </w:rPr>
        <w:t>Flotte de véhicules</w:t>
      </w:r>
    </w:p>
    <w:p>
      <w:r>
        <w:t>L'université obtient 0,28 point STARS sur 2 au crédit OP-13, niveau faible. Plus de 35 % de la flotte du campus est considérée comme verte, véhicules à carburant modulable compris ; les voiturettes électriques non immatriculées ne sont pas comptées dans la flotte.</w:t>
      </w:r>
    </w:p>
    <w:p>
      <w:pPr>
        <w:pStyle w:val="Heading3"/>
      </w:pPr>
      <w:r>
        <w:rPr>
          <w:color w:val="2F6F5E"/>
        </w:rPr>
        <w:t>Modes de déplacement domicile-campus</w:t>
      </w:r>
    </w:p>
    <w:p>
      <w:r>
        <w:t>L'université obtient 4,89 points STARS sur 6 au crédit OP-14, niveau élevé. La répartition des modes de déplacement provient d'une enquête annuelle sur les transports, diffusée par courriel à tout le campus ou à un échantillon représentatif.</w:t>
      </w:r>
    </w:p>
    <w:p>
      <w:pPr>
        <w:pStyle w:val="Heading3"/>
      </w:pPr>
      <w:r>
        <w:rPr>
          <w:color w:val="2F6F5E"/>
        </w:rPr>
        <w:t>Voyages en avion</w:t>
      </w:r>
    </w:p>
    <w:p>
      <w:r>
        <w:t>L'université obtient 2 points STARS sur 2 au crédit OP-15, niveau maximal. Le campus a mis en place des mesures pour réduire les émissions de gaz à effet de serre liées aux voyages en avion.</w:t>
      </w:r>
    </w:p>
    <w:p>
      <w:pPr>
        <w:pStyle w:val="Heading3"/>
      </w:pPr>
      <w:r>
        <w:rPr>
          <w:color w:val="2F6F5E"/>
        </w:rPr>
        <w:t>Gestion écologique des espaces verts</w:t>
      </w:r>
    </w:p>
    <w:p>
      <w:r>
        <w:t>L'université obtient 5 points STARS sur 5 au crédit OP-4, niveau maximal. Le campus a mis en place des espaces verts gérés de manière écologique.</w:t>
      </w:r>
    </w:p>
    <w:p>
      <w:pPr>
        <w:pStyle w:val="Heading3"/>
      </w:pPr>
      <w:r>
        <w:rPr>
          <w:color w:val="2F6F5E"/>
        </w:rPr>
        <w:t>Évaluation de la biodiversité</w:t>
      </w:r>
    </w:p>
    <w:p>
      <w:r>
        <w:t>L'université obtient 1 point STARS sur 1 au crédit IL-24, niveau maximal. Le projet de rapport d'impact environnemental (Draft EIR) du plan de gestion de la végétation combustible des espaces naturels (Wildland Vegetative Fuel Management Plan) décrit les zones importantes pour la biodiversité.</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4,34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1,67 / 2</w:t>
            </w:r>
          </w:p>
        </w:tc>
        <w:tc>
          <w:tcPr>
            <w:tcW w:type="dxa" w:w="2880"/>
          </w:tcPr>
          <w:p>
            <w:r>
              <w:rPr>
                <w:sz w:val="17"/>
              </w:rPr>
            </w:r>
            <w:r>
              <w:rPr>
                <w:sz w:val="17"/>
              </w:rPr>
              <w:t>élevé</w:t>
            </w:r>
          </w:p>
        </w:tc>
      </w:tr>
      <w:tr>
        <w:tc>
          <w:tcPr>
            <w:tcW w:type="dxa" w:w="2880"/>
          </w:tcPr>
          <w:p>
            <w:r>
              <w:rPr>
                <w:sz w:val="17"/>
              </w:rPr>
            </w:r>
            <w:r>
              <w:rPr>
                <w:sz w:val="17"/>
              </w:rPr>
              <w:t>PA-7 — Racial and Ethnic Representation</w:t>
            </w:r>
          </w:p>
        </w:tc>
        <w:tc>
          <w:tcPr>
            <w:tcW w:type="dxa" w:w="2880"/>
          </w:tcPr>
          <w:p>
            <w:r>
              <w:rPr>
                <w:sz w:val="17"/>
              </w:rPr>
            </w:r>
            <w:r>
              <w:rPr>
                <w:sz w:val="17"/>
              </w:rPr>
              <w:t>1,59 / 3</w:t>
            </w:r>
          </w:p>
        </w:tc>
        <w:tc>
          <w:tcPr>
            <w:tcW w:type="dxa" w:w="2880"/>
          </w:tcPr>
          <w:p>
            <w:r>
              <w:rPr>
                <w:sz w:val="17"/>
              </w:rPr>
            </w:r>
            <w:r>
              <w:rPr>
                <w:sz w:val="17"/>
              </w:rPr>
              <w:t>intermédiaire</w:t>
            </w:r>
          </w:p>
        </w:tc>
      </w:tr>
      <w:tr>
        <w:tc>
          <w:tcPr>
            <w:tcW w:type="dxa" w:w="2880"/>
          </w:tcPr>
          <w:p>
            <w:r>
              <w:rPr>
                <w:sz w:val="17"/>
              </w:rPr>
            </w:r>
            <w:r>
              <w:rPr>
                <w:sz w:val="17"/>
              </w:rPr>
              <w:t>PA-9 — Affordability and Access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2,8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L'université de Californie à Berkeley a obtenu 4,34 points STARS sur 5 au crédit PA-13, niveau élevé, pour sa politique de salaire décent. Le salaire minimum local est de 42,8 % de la valeur actuelle. L'heure de travail doit être au moins de 42,8 % de la valeur actuelle, en tenant compte du taux de bénéfices combinés des employés.</w:t>
      </w:r>
    </w:p>
    <w:p>
      <w:r>
        <w:t>L'université a également obtenu 2,5 points STARS sur 3 au crédit PA-12, niveau élevé, pour ses droits des salariés. Les employés doivent satisfaire aux exigences de la politique de congé parental. Le site web des ressources humaines de l'université présente des politiques sur les droits des employés, notamment le traitement équitable, les procédures de réclamation et l'équilibre travail-vie.</w:t>
      </w:r>
    </w:p>
    <w:p>
      <w:r>
        <w:t>L'université a obtenu 3 points STARS sur 3 au crédit PA-11, niveau maximal, pour sa santé, sécurité et bien-être. Le système de gestion de la santé et de la sécurité au travail n'est pas décrit.</w:t>
      </w:r>
    </w:p>
    <w:p>
      <w:r>
        <w:t>L'université a obtenu 1,67 point STARS sur 2 au crédit PA-8, niveau élevé, pour la parité femmes-hommes. Le directeur de la diversité, de l'équité, de l'inclusion et de l'appartenance est Lasana Hotep.</w:t>
      </w:r>
    </w:p>
    <w:p>
      <w:r>
        <w:t>L'université a obtenu 1,59 point STARS sur 3 au crédit PA-7, niveau intermédiaire, pour la représentation ethnique et raciale. Les initiatives de données sur l'équité sont menées par l'équipe de l'équité et de l'inclusion.</w:t>
      </w:r>
    </w:p>
    <w:p>
      <w:r>
        <w:t>L'université a obtenu 2,5 points STARS sur 3 au crédit PA-9, niveau élevé, pour l'accès et l'accessibilité financière. La proportion de tous les étudiants de premier cycle recevant des subventions Pell pour l'année universitaire 2021 est de 2021.</w:t>
      </w:r>
    </w:p>
    <w:p>
      <w:r>
        <w:t>L'université a obtenu 3 points STARS sur 3 au crédit PA-6, niveau maximal, pour le climat institutionnel. Les organisations basées sur la race et l'éthnicité des employés comprennent Alianza, Asian Pacific American Systemwide Alliance, Black Staff &amp; Faculty Organization, MENASA et Native &amp; Indigenous Council.</w:t>
      </w:r>
    </w:p>
    <w:p>
      <w:r>
        <w:t>L'université a obtenu 2,8 points STARS sur 3 au crédit PA-10, niveau élevé, pour la réussite étudiante. Le directeur exécutif de l'Office of Planning and Analysis est Sereeta Alexander.</w:t>
      </w:r>
    </w:p>
    <w:p>
      <w:pPr>
        <w:pStyle w:val="Heading2"/>
      </w:pPr>
      <w:r>
        <w:rPr>
          <w:color w:val="2F6F5E"/>
        </w:rPr>
        <w:t>Limites et omissions</w:t>
      </w:r>
    </w:p>
    <w:p>
      <w:r>
        <w:t>Ce rapport ne peut pas établir le ratio entre le salaire d'entrée et le salaire minimum local par genre. Le salaire minimum figure dans un crédit sur l'emploi étudiant.</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13,01 / 14</w:t>
            </w:r>
          </w:p>
        </w:tc>
        <w:tc>
          <w:tcPr>
            <w:tcW w:type="dxa" w:w="2880"/>
          </w:tcPr>
          <w:p>
            <w:r>
              <w:rPr>
                <w:sz w:val="17"/>
              </w:rPr>
            </w:r>
            <w:r>
              <w:rPr>
                <w:sz w:val="17"/>
              </w:rPr>
              <w:t>élevé</w:t>
            </w:r>
          </w:p>
        </w:tc>
      </w:tr>
      <w:tr>
        <w:tc>
          <w:tcPr>
            <w:tcW w:type="dxa" w:w="2880"/>
          </w:tcPr>
          <w:p>
            <w:r>
              <w:rPr>
                <w:sz w:val="17"/>
              </w:rPr>
            </w:r>
            <w:r>
              <w:rPr>
                <w:sz w:val="17"/>
              </w:rPr>
              <w:t>AC-2 — Undergraduate Programs</w:t>
            </w:r>
          </w:p>
        </w:tc>
        <w:tc>
          <w:tcPr>
            <w:tcW w:type="dxa" w:w="2880"/>
          </w:tcPr>
          <w:p>
            <w:r>
              <w:rPr>
                <w:sz w:val="17"/>
              </w:rPr>
            </w:r>
            <w:r>
              <w:rPr>
                <w:sz w:val="17"/>
              </w:rPr>
              <w:t>10,22 / 15</w:t>
            </w:r>
          </w:p>
        </w:tc>
        <w:tc>
          <w:tcPr>
            <w:tcW w:type="dxa" w:w="2880"/>
          </w:tcPr>
          <w:p>
            <w:r>
              <w:rPr>
                <w:sz w:val="17"/>
              </w:rPr>
            </w:r>
            <w:r>
              <w:rPr>
                <w:sz w:val="17"/>
              </w:rPr>
              <w:t>intermédiaire</w:t>
            </w:r>
          </w:p>
        </w:tc>
      </w:tr>
      <w:tr>
        <w:tc>
          <w:tcPr>
            <w:tcW w:type="dxa" w:w="2880"/>
          </w:tcPr>
          <w:p>
            <w:r>
              <w:rPr>
                <w:sz w:val="17"/>
              </w:rPr>
            </w:r>
            <w:r>
              <w:rPr>
                <w:sz w:val="17"/>
              </w:rPr>
              <w:t>AC-3 — Graduate Programs</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AC-6 — Sustainability Research</w:t>
            </w:r>
          </w:p>
        </w:tc>
        <w:tc>
          <w:tcPr>
            <w:tcW w:type="dxa" w:w="2880"/>
          </w:tcPr>
          <w:p>
            <w:r>
              <w:rPr>
                <w:sz w:val="17"/>
              </w:rPr>
            </w:r>
            <w:r>
              <w:rPr>
                <w:sz w:val="17"/>
              </w:rPr>
              <w:t>7,35 / 10</w:t>
            </w:r>
          </w:p>
        </w:tc>
        <w:tc>
          <w:tcPr>
            <w:tcW w:type="dxa" w:w="2880"/>
          </w:tcPr>
          <w:p>
            <w:r>
              <w:rPr>
                <w:sz w:val="17"/>
              </w:rPr>
            </w:r>
            <w:r>
              <w:rPr>
                <w:sz w:val="17"/>
              </w:rPr>
              <w:t>intermédiaire</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Enseignement, recherche et engagement</w:t>
      </w:r>
    </w:p>
    <w:p>
      <w:r>
        <w:t>L'université obtient 13,01 points STARS sur 14 au crédit AC-1, niveau élevé. L'information pour les offres de cours en durabilité a été collectée via un inventaire des cours de l'Université de Californie à Berkeley de 2021 à 2024, en filtrant les éléments qui se qualifient comme des cours axés sur la durabilité ou liés à la durabilité. Les cours qui se qualifient ont été comptabilisés comme des offres de cours en durabilité.</w:t>
      </w:r>
    </w:p>
    <w:p>
      <w:r>
        <w:t>L'université obtient 10,22 points STARS sur 15 au crédit AC-2, niveau intermédiaire. Les programmes de premier cycle de l'Université de Californie à Berkeley incluent une exigence de cours axée sur la durabilité.</w:t>
      </w:r>
    </w:p>
    <w:p>
      <w:r>
        <w:t>L'université obtient 8 points STARS sur 8 au crédit AC-3, niveau maximal. Les programmes de cycles supérieurs de l'Université de Californie à Berkeley incluent des cours axés sur la durabilité.</w:t>
      </w:r>
    </w:p>
    <w:p>
      <w:r>
        <w:t>L'université obtient 7,35 points STARS sur 10 au crédit AC-6, niveau intermédiaire. Un étudiant de premier cycle a créé une liste de mots-clés pour identifier la recherche en durabilité. L'étudiant a ensuite calculé le nombre d'employés engagés dans la recherche en durabilité et le nombre de départements universitaires engagés dans la recherche en durabilité.</w:t>
      </w:r>
    </w:p>
    <w:p>
      <w:r>
        <w:t>L'université obtient 6 points STARS sur 6 au crédit AC-7, niveau maximal. L'Université de Californie à Berkeley compte plusieurs centres engagés dans des sujets liés à la durabilité, notamment le Sutardja Center for Entrepreneurship and Technology qui abrite le Alternative Meats X Lab.</w:t>
      </w:r>
    </w:p>
    <w:p>
      <w:r>
        <w:t>L'université obtient 5 points STARS sur 5 au crédit EN-1, niveau maximal. L'Université de Californie à Berkeley a un centre de recherche en durabilité.</w:t>
      </w:r>
    </w:p>
    <w:p>
      <w:r>
        <w:t>L'université obtient 9 points STARS sur 9 au crédit EN-2, niveau maximal. Le centre étudiant de ressources environnementales (SERC) de l'Université de Californie à Berkeley organise de nombreux événements axés sur la durabilité sur le campus, notamment la semaine de la justice climatique et la semaine de la Terre, une série de carrières environnementales, des formations à la justice environnementale et des événements d'éducation en plein air.</w:t>
      </w:r>
    </w:p>
    <w:p>
      <w:r>
        <w:t>L'université obtient 8 points STARS sur 8 au crédit EN-3, niveau maximal. L'Office de la durabilité, le SERC, le gouvernement et les relations communautaires de l'Université de Californie à Berkeley.</w:t>
      </w:r>
    </w:p>
    <w:p>
      <w:r>
        <w:t>L'université obtient 8 points STARS sur 8 au crédit EN-5, niveau maximal.</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r>
      <w:tr>
        <w:tc>
          <w:tcPr>
            <w:tcW w:type="dxa" w:w="2160"/>
          </w:tcPr>
          <w:p>
            <w:r>
              <w:rPr>
                <w:sz w:val="17"/>
              </w:rPr>
            </w:r>
            <w:r>
              <w:rPr>
                <w:sz w:val="17"/>
              </w:rPr>
              <w:t>0</w:t>
            </w:r>
          </w:p>
        </w:tc>
        <w:tc>
          <w:tcPr>
            <w:tcW w:type="dxa" w:w="2160"/>
          </w:tcPr>
          <w:p>
            <w:r>
              <w:rPr>
                <w:sz w:val="17"/>
              </w:rPr>
            </w:r>
            <w:r>
              <w:rPr>
                <w:sz w:val="17"/>
              </w:rPr>
              <w:t>29</w:t>
            </w:r>
          </w:p>
        </w:tc>
        <w:tc>
          <w:tcPr>
            <w:tcW w:type="dxa" w:w="2160"/>
          </w:tcPr>
          <w:p>
            <w:r>
              <w:rPr>
                <w:sz w:val="17"/>
              </w:rPr>
            </w:r>
            <w:r>
              <w:rPr>
                <w:sz w:val="17"/>
              </w:rPr>
              <w:t>43</w:t>
            </w:r>
          </w:p>
        </w:tc>
        <w:tc>
          <w:tcPr>
            <w:tcW w:type="dxa" w:w="2160"/>
          </w:tcPr>
          <w:p>
            <w:r>
              <w:rPr>
                <w:sz w:val="17"/>
              </w:rPr>
            </w:r>
            <w:r>
              <w:rPr>
                <w:sz w:val="17"/>
              </w:rPr>
              <w:t>14</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évalué</w:t>
            </w:r>
          </w:p>
        </w:tc>
        <w:tc>
          <w:tcPr>
            <w:tcW w:type="dxa" w:w="2160"/>
          </w:tcPr>
          <w:p>
            <w:r>
              <w:rPr>
                <w:sz w:val="17"/>
              </w:rPr>
            </w:r>
            <w:r>
              <w:rPr>
                <w:sz w:val="17"/>
              </w:rPr>
              <w:t>Champ STARS identifié (PRE-3) mais valeur non extraite : nécessite les pages STARS authentifiées.</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 ; les champs structurés n'ont pas été extraits.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(PRE-1) ; les champs structurés n'ont pas été extraits.</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rapporté</w:t>
            </w:r>
          </w:p>
        </w:tc>
        <w:tc>
          <w:tcPr>
            <w:tcW w:type="dxa" w:w="2160"/>
          </w:tcPr>
          <w:p>
            <w:r>
              <w:rPr>
                <w:sz w:val="17"/>
              </w:rPr>
            </w:r>
            <w:r>
              <w:rPr>
                <w:sz w:val="17"/>
              </w:rPr>
              <w:t>Aucune donnée : IL-62 non renseigné par l'établissement.</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EN-3, PA-1)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PA-1)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OP-12)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 les champs structurés n'ont pas été extraits.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(trois tentatives au plus).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Section</w:t>
            </w:r>
          </w:p>
        </w:tc>
        <w:tc>
          <w:tcPr>
            <w:tcW w:type="dxa" w:w="1080"/>
          </w:tcPr>
          <w:p>
            <w:r>
              <w:rPr>
                <w:b/>
                <w:sz w:val="17"/>
              </w:rPr>
            </w:r>
            <w:r>
              <w:rPr>
                <w:b/>
                <w:sz w:val="17"/>
              </w:rPr>
              <w:t>Décision</w:t>
            </w:r>
          </w:p>
        </w:tc>
        <w:tc>
          <w:tcPr>
            <w:tcW w:type="dxa" w:w="1080"/>
          </w:tcPr>
          <w:p>
            <w:r>
              <w:rPr>
                <w:b/>
                <w:sz w:val="17"/>
              </w:rPr>
            </w:r>
            <w:r>
              <w:rPr>
                <w:b/>
                <w:sz w:val="17"/>
              </w:rPr>
              <w:t>Tentatives</w:t>
            </w:r>
          </w:p>
        </w:tc>
        <w:tc>
          <w:tcPr>
            <w:tcW w:type="dxa" w:w="1080"/>
          </w:tcPr>
          <w:p>
            <w:r>
              <w:rPr>
                <w:b/>
                <w:sz w:val="17"/>
              </w:rPr>
            </w:r>
            <w:r>
              <w:rPr>
                <w:b/>
                <w:sz w:val="17"/>
              </w:rPr>
              <w:t>Rejets garde-fou</w:t>
            </w:r>
          </w:p>
        </w:tc>
        <w:tc>
          <w:tcPr>
            <w:tcW w:type="dxa" w:w="1080"/>
          </w:tcPr>
          <w:p>
            <w:r>
              <w:rPr>
                <w:b/>
                <w:sz w:val="17"/>
              </w:rPr>
            </w:r>
            <w:r>
              <w:rPr>
                <w:b/>
                <w:sz w:val="17"/>
              </w:rPr>
              <w:t>Note du juge</w:t>
            </w:r>
          </w:p>
        </w:tc>
        <w:tc>
          <w:tcPr>
            <w:tcW w:type="dxa" w:w="1080"/>
          </w:tcPr>
          <w:p>
            <w:r>
              <w:rPr>
                <w:b/>
                <w:sz w:val="17"/>
              </w:rPr>
            </w:r>
            <w:r>
              <w:rPr>
                <w:b/>
                <w:sz w:val="17"/>
              </w:rPr>
              <w:t>Fidélité</w:t>
            </w:r>
          </w:p>
        </w:tc>
        <w:tc>
          <w:tcPr>
            <w:tcW w:type="dxa" w:w="1080"/>
          </w:tcPr>
          <w:p>
            <w:r>
              <w:rPr>
                <w:b/>
                <w:sz w:val="17"/>
              </w:rPr>
            </w:r>
            <w:r>
              <w:rPr>
                <w:b/>
                <w:sz w:val="17"/>
              </w:rPr>
              <w:t>Couverture GRI</w:t>
            </w:r>
          </w:p>
        </w:tc>
        <w:tc>
          <w:tcPr>
            <w:tcW w:type="dxa" w:w="1080"/>
          </w:tcPr>
          <w:p>
            <w:r>
              <w:rPr>
                <w:b/>
                <w:sz w:val="17"/>
              </w:rPr>
            </w:r>
            <w:r>
              <w:rPr>
                <w:b/>
                <w:sz w:val="17"/>
              </w:rPr>
              <w:t>Durée</w:t>
            </w:r>
          </w:p>
        </w:tc>
      </w:tr>
      <w:tr>
        <w:tc>
          <w:tcPr>
            <w:tcW w:type="dxa" w:w="1080"/>
          </w:tcPr>
          <w:p>
            <w:r>
              <w:rPr>
                <w:sz w:val="17"/>
              </w:rPr>
            </w:r>
            <w:r>
              <w:rPr>
                <w:sz w:val="17"/>
              </w:rPr>
              <w:t>L'organisation, son périmètre et ses effectifs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83%</w:t>
            </w:r>
          </w:p>
        </w:tc>
        <w:tc>
          <w:tcPr>
            <w:tcW w:type="dxa" w:w="1080"/>
          </w:tcPr>
          <w:p>
            <w:r>
              <w:rPr>
                <w:sz w:val="17"/>
              </w:rPr>
            </w:r>
            <w:r>
              <w:rPr>
                <w:sz w:val="17"/>
              </w:rPr>
              <w:t>9.0 min</w:t>
            </w:r>
          </w:p>
        </w:tc>
      </w:tr>
      <w:tr>
        <w:tc>
          <w:tcPr>
            <w:tcW w:type="dxa" w:w="1080"/>
          </w:tcPr>
          <w:p>
            <w:r>
              <w:rPr>
                <w:sz w:val="17"/>
              </w:rPr>
            </w:r>
            <w:r>
              <w:rPr>
                <w:sz w:val="17"/>
              </w:rPr>
              <w:t>Thèmes matériels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0%</w:t>
            </w:r>
          </w:p>
        </w:tc>
        <w:tc>
          <w:tcPr>
            <w:tcW w:type="dxa" w:w="1080"/>
          </w:tcPr>
          <w:p>
            <w:r>
              <w:rPr>
                <w:sz w:val="17"/>
              </w:rPr>
            </w:r>
            <w:r>
              <w:rPr>
                <w:sz w:val="17"/>
              </w:rPr>
              <w:t>9.1 min</w:t>
            </w:r>
          </w:p>
        </w:tc>
      </w:tr>
      <w:tr>
        <w:tc>
          <w:tcPr>
            <w:tcW w:type="dxa" w:w="1080"/>
          </w:tcPr>
          <w:p>
            <w:r>
              <w:rPr>
                <w:sz w:val="17"/>
              </w:rPr>
            </w:r>
            <w:r>
              <w:rPr>
                <w:sz w:val="17"/>
              </w:rPr>
              <w:t>Gouvernance</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1</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0%</w:t>
            </w:r>
          </w:p>
        </w:tc>
        <w:tc>
          <w:tcPr>
            <w:tcW w:type="dxa" w:w="1080"/>
          </w:tcPr>
          <w:p>
            <w:r>
              <w:rPr>
                <w:sz w:val="17"/>
              </w:rPr>
            </w:r>
            <w:r>
              <w:rPr>
                <w:sz w:val="17"/>
              </w:rPr>
              <w:t>12.3 min</w:t>
            </w:r>
          </w:p>
        </w:tc>
      </w:tr>
      <w:tr>
        <w:tc>
          <w:tcPr>
            <w:tcW w:type="dxa" w:w="1080"/>
          </w:tcPr>
          <w:p>
            <w:r>
              <w:rPr>
                <w:sz w:val="17"/>
              </w:rPr>
            </w:r>
            <w:r>
              <w:rPr>
                <w:sz w:val="17"/>
              </w:rPr>
              <w:t>Stratégie, politiques et pratiques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3/5</w:t>
            </w:r>
          </w:p>
        </w:tc>
        <w:tc>
          <w:tcPr>
            <w:tcW w:type="dxa" w:w="1080"/>
          </w:tcPr>
          <w:p>
            <w:r>
              <w:rPr>
                <w:sz w:val="17"/>
              </w:rPr>
            </w:r>
            <w:r>
              <w:rPr>
                <w:sz w:val="17"/>
              </w:rPr>
              <w:t>100%</w:t>
            </w:r>
          </w:p>
        </w:tc>
        <w:tc>
          <w:tcPr>
            <w:tcW w:type="dxa" w:w="1080"/>
          </w:tcPr>
          <w:p>
            <w:r>
              <w:rPr>
                <w:sz w:val="17"/>
              </w:rPr>
            </w:r>
            <w:r>
              <w:rPr>
                <w:sz w:val="17"/>
              </w:rPr>
              <w:t>50%</w:t>
            </w:r>
          </w:p>
        </w:tc>
        <w:tc>
          <w:tcPr>
            <w:tcW w:type="dxa" w:w="1080"/>
          </w:tcPr>
          <w:p>
            <w:r>
              <w:rPr>
                <w:sz w:val="17"/>
              </w:rPr>
            </w:r>
            <w:r>
              <w:rPr>
                <w:sz w:val="17"/>
              </w:rPr>
              <w:t>12.2 min</w:t>
            </w:r>
          </w:p>
        </w:tc>
      </w:tr>
      <w:tr>
        <w:tc>
          <w:tcPr>
            <w:tcW w:type="dxa" w:w="1080"/>
          </w:tcPr>
          <w:p>
            <w:r>
              <w:rPr>
                <w:sz w:val="17"/>
              </w:rPr>
            </w:r>
            <w:r>
              <w:rPr>
                <w:sz w:val="17"/>
              </w:rPr>
              <w:t>Engagement des parties prenantes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6.8 min</w:t>
            </w:r>
          </w:p>
        </w:tc>
      </w:tr>
      <w:tr>
        <w:tc>
          <w:tcPr>
            <w:tcW w:type="dxa" w:w="1080"/>
          </w:tcPr>
          <w:p>
            <w:r>
              <w:rPr>
                <w:sz w:val="17"/>
              </w:rPr>
            </w:r>
            <w:r>
              <w:rPr>
                <w:sz w:val="17"/>
              </w:rPr>
              <w:t>Performance environnementale</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1</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0%</w:t>
            </w:r>
          </w:p>
        </w:tc>
        <w:tc>
          <w:tcPr>
            <w:tcW w:type="dxa" w:w="1080"/>
          </w:tcPr>
          <w:p>
            <w:r>
              <w:rPr>
                <w:sz w:val="17"/>
              </w:rPr>
            </w:r>
            <w:r>
              <w:rPr>
                <w:sz w:val="17"/>
              </w:rPr>
              <w:t>21.2 min</w:t>
            </w:r>
          </w:p>
        </w:tc>
      </w:tr>
      <w:tr>
        <w:tc>
          <w:tcPr>
            <w:tcW w:type="dxa" w:w="1080"/>
          </w:tcPr>
          <w:p>
            <w:r>
              <w:rPr>
                <w:sz w:val="17"/>
              </w:rPr>
            </w:r>
            <w:r>
              <w:rPr>
                <w:sz w:val="17"/>
              </w:rPr>
              <w:t>Performance sociale et économique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0%</w:t>
            </w:r>
          </w:p>
        </w:tc>
        <w:tc>
          <w:tcPr>
            <w:tcW w:type="dxa" w:w="1080"/>
          </w:tcPr>
          <w:p>
            <w:r>
              <w:rPr>
                <w:sz w:val="17"/>
              </w:rPr>
            </w:r>
            <w:r>
              <w:rPr>
                <w:sz w:val="17"/>
              </w:rPr>
              <w:t>12.9 min</w:t>
            </w:r>
          </w:p>
        </w:tc>
      </w:tr>
      <w:tr>
        <w:tc>
          <w:tcPr>
            <w:tcW w:type="dxa" w:w="1080"/>
          </w:tcPr>
          <w:p>
            <w:r>
              <w:rPr>
                <w:sz w:val="17"/>
              </w:rPr>
            </w:r>
            <w:r>
              <w:rPr>
                <w:sz w:val="17"/>
              </w:rPr>
              <w:t>Enseignement, recherche et engagement (hors GRI)</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1</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100%</w:t>
            </w:r>
          </w:p>
        </w:tc>
        <w:tc>
          <w:tcPr>
            <w:tcW w:type="dxa" w:w="1080"/>
          </w:tcPr>
          <w:p>
            <w:r>
              <w:rPr>
                <w:sz w:val="17"/>
              </w:rPr>
            </w:r>
            <w:r>
              <w:rPr>
                <w:sz w:val="17"/>
              </w:rPr>
              <w:t>15.6 min</w:t>
            </w:r>
          </w:p>
        </w:tc>
      </w:tr>
    </w:tbl>
    <w:p/>
    <w:p>
      <w:r>
        <w:rPr>
          <w:b/>
        </w:rPr>
        <w:t>Bilan :</w:t>
      </w:r>
      <w:r>
        <w:t xml:space="preserve"> 8 section(s) validée(s) sur 8 ; fidélité moyenne 94% ; 3 version(s) rejetée(s) par le garde-fou avant le juge. Aucun nombre du texte final n'a été écrit par le modèle.</w:t>
      </w:r>
    </w:p>
    <w:p>
      <w:r>
        <w:t>2 violation(s) signalée(s) par le juge ont été écartées car contredites par le contrôle déterministe (par exemple une « revendication de conformité GRI » absente du texte) : le juge 8B se trompe parfois, le code tranche sur ce qu'il sait vérifier.</w:t>
      </w:r>
    </w:p>
    <w:p>
      <w:r>
        <w:rPr>
          <w:b/>
        </w:rPr>
        <w:t>Relecture hors pipeline</w:t>
      </w:r>
      <w:r>
        <w:t xml:space="preserve"> (6 octobre 2026) : 11 correction(s) dans 1 section(s). Phrases supprimées ou reformulées à partir des textes STARS uniquement, sans chiffre tapé à la main. Les corrections ont été proposées par l'assistant Claude Code (IA) à la demande de Wiem Ben Hassine, chacune avec sa source STARS ; elles deviennent une relecture humaine une fois validées par elle. Liste détaillée : </w:t>
      </w:r>
      <w:r>
        <w:rPr>
          <w:rFonts w:ascii="Consolas" w:hAnsi="Consolas"/>
        </w:rPr>
        <w:t>relecture/berkeley.yaml</w:t>
      </w:r>
      <w:r>
        <w:t xml:space="preserve"> et </w:t>
      </w:r>
      <w:r>
        <w:rPr>
          <w:rFonts w:ascii="Consolas" w:hAnsi="Consolas"/>
        </w:rPr>
        <w:t>outputs/relecture_humaine.md</w:t>
      </w:r>
      <w:r>
        <w:t xml:space="preserve">. Le texte écrit par le modèle reste consultable dans </w:t>
      </w:r>
      <w:r>
        <w:rPr>
          <w:rFonts w:ascii="Consolas" w:hAnsi="Consolas"/>
        </w:rPr>
        <w:t>outputs/cache/</w:t>
      </w:r>
      <w:r>
        <w:t>.</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University of California, Berkeley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