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of California, Berkeley</w:t>
      </w:r>
    </w:p>
    <w:p>
      <w:r>
        <w:rPr>
          <w:i/>
        </w:rPr>
        <w:t>Établi en référence aux normes GRI · généré le 2026-10-07 · données AASHE STARS 3.0</w:t>
      </w:r>
    </w:p>
    <w:p>
      <w:r>
        <w:rPr>
          <w:b/>
        </w:rPr>
        <w:t>À propos de ce rapport.</w:t>
      </w:r>
      <w:r>
        <w:t xml:space="preserve"> Ce rapport est généré automatiquement à partir de la soumission publique AASHE STARS 3.0 de University of California, Berkeley (19 février 2025),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of California, Berkeley STARS Report (https://reports.aashe.org/institutions/university-of-california-berkeley-ca/report/2025-02-19/)</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86,76</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60,67</w:t>
            </w:r>
          </w:p>
        </w:tc>
        <w:tc>
          <w:tcPr>
            <w:tcW w:type="dxa" w:w="1728"/>
          </w:tcPr>
          <w:p>
            <w:r>
              <w:rPr>
                <w:sz w:val="17"/>
              </w:rPr>
            </w:r>
            <w:r>
              <w:rPr>
                <w:sz w:val="17"/>
              </w:rPr>
              <w:t>86</w:t>
            </w:r>
          </w:p>
        </w:tc>
        <w:tc>
          <w:tcPr>
            <w:tcW w:type="dxa" w:w="1728"/>
          </w:tcPr>
          <w:p>
            <w:r>
              <w:rPr>
                <w:sz w:val="17"/>
              </w:rPr>
            </w:r>
            <w:r>
              <w:rPr>
                <w:sz w:val="17"/>
              </w:rPr>
              <w:t>70,5 %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21,40</w:t>
            </w:r>
          </w:p>
        </w:tc>
        <w:tc>
          <w:tcPr>
            <w:tcW w:type="dxa" w:w="1728"/>
          </w:tcPr>
          <w:p>
            <w:r>
              <w:rPr>
                <w:sz w:val="17"/>
              </w:rPr>
            </w:r>
            <w:r>
              <w:rPr>
                <w:sz w:val="17"/>
              </w:rPr>
              <w:t>25</w:t>
            </w:r>
          </w:p>
        </w:tc>
        <w:tc>
          <w:tcPr>
            <w:tcW w:type="dxa" w:w="1728"/>
          </w:tcPr>
          <w:p>
            <w:r>
              <w:rPr>
                <w:sz w:val="17"/>
              </w:rPr>
            </w:r>
            <w:r>
              <w:rPr>
                <w:sz w:val="17"/>
              </w:rPr>
              <w:t>85,6 %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17,01</w:t>
            </w:r>
          </w:p>
        </w:tc>
        <w:tc>
          <w:tcPr>
            <w:tcW w:type="dxa" w:w="1728"/>
          </w:tcPr>
          <w:p>
            <w:r>
              <w:rPr>
                <w:sz w:val="17"/>
              </w:rPr>
            </w:r>
            <w:r>
              <w:rPr>
                <w:sz w:val="17"/>
              </w:rPr>
              <w:t>21</w:t>
            </w:r>
          </w:p>
        </w:tc>
        <w:tc>
          <w:tcPr>
            <w:tcW w:type="dxa" w:w="1728"/>
          </w:tcPr>
          <w:p>
            <w:r>
              <w:rPr>
                <w:sz w:val="17"/>
              </w:rPr>
            </w:r>
            <w:r>
              <w:rPr>
                <w:sz w:val="17"/>
              </w:rPr>
              <w:t>81,0 %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107,83</w:t>
            </w:r>
          </w:p>
        </w:tc>
        <w:tc>
          <w:tcPr>
            <w:tcW w:type="dxa" w:w="1728"/>
          </w:tcPr>
          <w:p>
            <w:r>
              <w:rPr>
                <w:sz w:val="17"/>
              </w:rPr>
            </w:r>
            <w:r>
              <w:rPr>
                <w:sz w:val="17"/>
              </w:rPr>
              <w:t>118</w:t>
            </w:r>
          </w:p>
        </w:tc>
        <w:tc>
          <w:tcPr>
            <w:tcW w:type="dxa" w:w="1728"/>
          </w:tcPr>
          <w:p>
            <w:r>
              <w:rPr>
                <w:sz w:val="17"/>
              </w:rPr>
            </w:r>
            <w:r>
              <w:rPr>
                <w:sz w:val="17"/>
              </w:rPr>
              <w:t>91,4 %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University of California, Berkeley (UC Berkeley) est une institution universitaire située dans la ville de Berkeley, en Californie. Elle fait partie du système de l'Université de Californie, dont le conseil des régents (Board of Regents) gouverne l'ensemble des campus.</w:t>
      </w:r>
    </w:p>
    <w:p>
      <w:r>
        <w:t>UC Berkeley a déclaré que son périmètre d'activité est celui pour lequel elle conserve le contrôle opérationnel.</w:t>
      </w:r>
    </w:p>
    <w:p>
      <w:r>
        <w:t>(GRI 2-1)</w:t>
      </w:r>
    </w:p>
    <w:p>
      <w:r>
        <w:t>UC Berkeley a déclaré que son périmètre d'activité comprend les entités suivantes : le campus principal, le Hill campus, le Richmond Field Station et les réserves opérées par l'université.</w:t>
      </w:r>
    </w:p>
    <w:p>
      <w:r>
        <w:t>(GRI 2-2)</w:t>
      </w:r>
    </w:p>
    <w:p>
      <w:pPr>
        <w:pStyle w:val="Heading2"/>
      </w:pPr>
      <w:r>
        <w:rPr>
          <w:color w:val="2F6F5E"/>
        </w:rPr>
        <w:t>Limites et omissions</w:t>
      </w:r>
    </w:p>
    <w:p>
      <w:r>
        <w:t>Ce rapport ne peut pas établir les détails sur la dénomination légale, le siège et les pays d'activité de UC Berkeley, car ces informations ne sont pas collectées par STARS.</w:t>
      </w:r>
    </w:p>
    <w:p>
      <w:r>
        <w:t>(GRI 2-1)</w:t>
      </w:r>
    </w:p>
    <w:p>
      <w:r>
        <w:t>Ce rapport ne peut pas établir la période de reporting, la fréquence et le point de contact de UC Berkeley, car ces informations ne sont pas collectées par STARS.</w:t>
      </w:r>
    </w:p>
    <w:p>
      <w:r>
        <w:t>(GRI 2-3)</w:t>
      </w:r>
    </w:p>
    <w:p>
      <w:r>
        <w:t>Ce rapport ne peut pas établir la vérification externe de UC Berkeley, car les informations sur la norme d'assurance, le niveau d'assurance et la relation avec le vérificateur ne sont pas collectées par STARS.</w:t>
      </w:r>
    </w:p>
    <w:p>
      <w:r>
        <w:t>(GRI 2-5)</w:t>
      </w:r>
    </w:p>
    <w:p>
      <w:r>
        <w:t>Ce rapport ne peut pas établir les activités, la chaîne de valeur et les relations d'affaires de UC Berkeley, car ces informations ne sont pas collectées par STARS.</w:t>
      </w:r>
    </w:p>
    <w:p>
      <w:r>
        <w:t>(GRI 2-6)</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(2,5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Ces domaines sont fixés par STARS et sont identiques pour toutes les institutions.</w:t>
      </w:r>
    </w:p>
    <w:p>
      <w:pPr>
        <w:pStyle w:val="Heading2"/>
      </w:pPr>
      <w:r>
        <w:rPr>
          <w:color w:val="2F6F5E"/>
        </w:rPr>
        <w:t>Gestion des thèmes matériels</w:t>
      </w:r>
    </w:p>
    <w:p>
      <w:r>
        <w:t>Le Student Environmental Resource Center (SERC) de l'université a adopté un plan stratégique 2017-2022 qui inclut des objectifs mesurables, tels que l'expansion de l'accès et des opportunités de formation co-curriculaires et le développement de voies institutionnelles pour les clubs et les groupes étudiants pour accroître leur engagement intersectionnel avec le Centre de ressources environnementales (SERC). Le plan stratégique comprend également des objectifs stratégiques sous le but de renforcer les programmes et les ressources pour approfondir l'engagement dans la communauté de la durabilité.</w:t>
      </w:r>
    </w:p>
    <w:p>
      <w:r>
        <w:t>L'université a aussi publié un plan de durabilité (Sustainability Plan), avec des objectifs pour l'énergie, l'eau, les déchets, l'alimentation durable et la biodiversité, et un plan d'action climat (Climate Action Plan). Elle suit la politique de pratiques durables (Sustainable Practices Policy) du système UC, qui demande à tous les sites UC de réduire toutes leurs émissions d'au moins 90 % d'ici 2045 et d'éliminer les émissions restantes par des crédits de captage et de stockage du carbone.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(6 sur 6).</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PA-4 — Sustainable Investment Program</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PA-5 — Investment Holdings</w:t>
            </w:r>
          </w:p>
        </w:tc>
        <w:tc>
          <w:tcPr>
            <w:tcW w:type="dxa" w:w="2880"/>
          </w:tcPr>
          <w:p>
            <w:r>
              <w:rPr>
                <w:sz w:val="17"/>
              </w:rPr>
            </w:r>
            <w:r>
              <w:rPr>
                <w:sz w:val="17"/>
              </w:rPr>
              <w:t>2,51 / 6</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University of California, Berkeley (UC Berkeley) a plusieurs responsables de la durabilité (Sustainability Officers) au Bureau de la durabilité, à Haas et au SERC. UC Berkeley inclut des représentants étudiants dans son organe de décision le plus élevé, le conseil des régents de l'université de Californie. Bien que le conseil des régents gouverne l'ensemble du système de l'université de Californie et non seulement le campus de Berkeley, il exerce l'autorité ultime sur les politiques, les finances et la planification stratégique de l'université de Californie, y compris le campus de Berkeley.</w:t>
      </w:r>
    </w:p>
    <w:p>
      <w:r>
        <w:t>UC Berkeley a plusieurs organes permanents qui permettent au personnel académique de participer à la gouvernance de l'institution. Le principal est la division de Berkeley du Sénat académique, qui fait partie du Sénat académique de l'ensemble du système de l'université de Californie. Ce Sénat fournit aux membres du personnel académique un moyen structuré et démocratique de participer à la gouvernance du campus et à la prise de décision.</w:t>
      </w:r>
    </w:p>
    <w:p>
      <w:r>
        <w:t>UC Berkeley obtient 3,5 points STARS sur 4 au crédit PA-3, niveau élevé.</w:t>
      </w:r>
    </w:p>
    <w:p>
      <w:r>
        <w:t>UC Berkeley obtient 4 points STARS sur 4 au crédit PA-4, niveau maximal.</w:t>
      </w:r>
    </w:p>
    <w:p>
      <w:r>
        <w:t>UC Berkeley obtient 2,51 points STARS sur 6 au crédit PA-5, niveau intermédiaire.</w:t>
      </w:r>
    </w:p>
    <w:p>
      <w:pPr>
        <w:pStyle w:val="Heading2"/>
      </w:pPr>
      <w:r>
        <w:rPr>
          <w:color w:val="2F6F5E"/>
        </w:rPr>
        <w:t>Limites et omissions</w:t>
      </w:r>
    </w:p>
    <w:p>
      <w:r>
        <w:t>Ce rapport ne peut pas établir la composition détaillée de l'organe de gouvernance (GRI 2-9), ni les publications GRI 2-10 à GRI 2-21, que STARS ne couvre pas ou seulement en partie (GRI 2-13 et GRI 2-14).</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PA-4 Programme d'investissement durable (4 sur 4) ; PA-3 Gouvernance de l'établissement (3,5 sur 4).</w:t>
      </w:r>
    </w:p>
    <w:p>
      <w:pPr>
        <w:pStyle w:val="ListBullet"/>
      </w:pPr>
      <w:r>
        <w:rPr>
          <w:b/>
        </w:rPr>
        <w:t>Partiellement atteints</w:t>
      </w:r>
      <w:r>
        <w:t xml:space="preserve"> : PA-5 Portefeuille d'investissements (2,51 sur 6).</w:t>
      </w:r>
    </w:p>
    <w:p>
      <w:pPr>
        <w:pStyle w:val="ListBullet"/>
      </w:pPr>
      <w:r>
        <w:rPr>
          <w:b/>
        </w:rPr>
        <w:t>À améliorer</w:t>
      </w:r>
      <w:r>
        <w:t xml:space="preserve"> : aucun.</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University of California, Berkeley (UC Berkeley) a publié un plan de durabilité (Sustainability Plan) et un plan d'action climat (Climate Action Plan). Son centre étudiant, le Student Environmental Resource Center (SERC), a adopté un plan stratégique qui vise à renforcer les programmes et les ressources pour approfondir l'engagement dans la communauté de la durabilité, et qui inclut des objectifs mesurables tels que l'expansion des opportunités de formation co-curriculaire et le développement de voies institutionnelles pour les clubs et les groupes étudiants pour accroître l'engagement intersectionnel avec le SERC.</w:t>
      </w:r>
    </w:p>
    <w:p>
      <w:r>
        <w:t>UC Berkeley est signataire du Climate Leadership Commitments de Second Nature, qui inclut le Carbon Commitment. Cette déclaration externe renforce l'engagement de l'université à réduire les émissions de carbone et à renforcer la résilience face au changement climatique.</w:t>
      </w:r>
    </w:p>
    <w:p>
      <w:r>
        <w:t>L'Office de la durabilité de UC Berkeley est dirigé par une équipe dédiée qui se consacre à avancer les objectifs de durabilité de l'université et à satisfaire ses engagements climatiques. Cette équipe, dirigée par le responsable de la durabilité et des solutions au carbone, collabore avec les départements et les parties prenantes de UC Berkeley pour développer des stratégies qui réduisent les émissions de gaz à effet de serre, améliorent l'achat durable et favorisent la responsabilité environnementale dans les opérations quotidiennes.</w:t>
      </w:r>
    </w:p>
    <w:p>
      <w:r>
        <w:t>UC Berkeley a une section dédiée sur son site web des ressources humaines qui expose les politiques liées aux droits des salariés, notamment le traitement équitable, les procédures de réclamation et l'équilibre vie professionnelle. Ces politiques couvrent des domaines tels que la lutte contre les discriminations, la protection des lanceurs d'alerte et les avantages pour les salariés, offrant ainsi une vue transparente des droits et du soutien offerts aux salariés.</w:t>
      </w:r>
    </w:p>
    <w:p>
      <w:r>
        <w:t>L'université de Californie a également établi un Code des valeurs et des normes de conduite éthique qui s'applique à tous les campus de l'université, y compris Berkeley. Ce code met en avant l'engagement de l'université envers l'intégrité, le respect et la responsabilité dans ses relations avec les salariés.</w:t>
      </w:r>
    </w:p>
    <w:p>
      <w:pPr>
        <w:pStyle w:val="Heading2"/>
      </w:pPr>
      <w:r>
        <w:rPr>
          <w:color w:val="2F6F5E"/>
        </w:rPr>
        <w:t>Limites et omissions</w:t>
      </w:r>
    </w:p>
    <w:p>
      <w:r>
        <w:t>Ce rapport ne peut pas établir les engagements politiques de UC Berkeley en ce qui concerne les droits humains et le devoir de vigilance, car STARS ne couvre pas ces aspects. De plus, STARS ne collecte pas les informations sur les mécanismes de demande de conseil et de signalement pour les personnes en relation d'affaires, ce qui constitue également un domaine non couvert par le rapport.</w:t>
      </w:r>
    </w:p>
    <w:p>
      <w:r>
        <w:t>(GRI 2-22, GRI 2-23, GRI 2-26)</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(6 sur 6) ; PA-1 Coordination de la durabilité (1 sur 1) ; OP-9 Système d'achats durables (7 sur 7) ; EN-3 Engagement et formation du personnel (8 sur 8) ; PA-12 Droits des salariés (2,5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EN-6 — Community Partnerships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Le rapport STARS indique que l'université a mis en place des comités consultatifs pour l'engagement communautaire, qui impliquent des membres de la communauté locale, notamment dans les domaines de la santé publique, de la durabilité et de la justice sociale.</w:t>
      </w:r>
    </w:p>
    <w:p>
      <w:r>
        <w:t>Ces instances donnent aux organisations communautaires un forum pour donner leur avis sur les politiques et les initiatives de l'université qui touchent la population locale. Les étudiants sont représentés au CACS, où plusieurs organisations étudiantes et services ont chacun un siège et une voix, et le personnel non académique participe à la gouvernance par des comités consultatifs comme le Chancellor's Staff Advisory Committee (CSAC).</w:t>
      </w:r>
    </w:p>
    <w:p>
      <w:r>
        <w:t>L'université a également mis en place des partenariats avec la communauté, tels que le programme College Corps, partenariat de l'État de Californie financé par California Volunteers, par lequel le Public Service Center a placé des étudiants de premier cycle dans des partenariats de justice climatique ou alimentaire avec des organisations locales.</w:t>
      </w:r>
    </w:p>
    <w:p>
      <w:r>
        <w:t>Enfin, l'université a mis en place des politiques pour protéger les droits des salariés, notamment en matière de traitement équitable, de procédures de réclamation et d'équilibre vie professionnelle/vie personnelle.</w:t>
      </w:r>
    </w:p>
    <w:p>
      <w:r>
        <w:t>(GRI 2-29)</w:t>
      </w:r>
    </w:p>
    <w:p>
      <w:pPr>
        <w:pStyle w:val="Heading2"/>
      </w:pPr>
      <w:r>
        <w:rPr>
          <w:color w:val="2F6F5E"/>
        </w:rPr>
        <w:t>Limites et omissions</w:t>
      </w:r>
    </w:p>
    <w:p>
      <w:r>
        <w:t>Ce rapport ne peut pas établir les informations sur les fournisseurs de l'université, les groupes vulnérables ou la méthode d'identification des parties prenantes.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EN-5 Engagement civique (8 sur 8) ; EN-6 Partenariats avec la communauté (9 sur 9) ; PA-3 Gouvernance de l'établissement (3,5 sur 4) ; PA-12 Droits des salariés (2,5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6,87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8,01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2,43 / 7</w:t>
            </w:r>
          </w:p>
        </w:tc>
        <w:tc>
          <w:tcPr>
            <w:tcW w:type="dxa" w:w="2880"/>
          </w:tcPr>
          <w:p>
            <w:r>
              <w:rPr>
                <w:sz w:val="17"/>
              </w:rPr>
            </w:r>
            <w:r>
              <w:rPr>
                <w:sz w:val="17"/>
              </w:rPr>
              <w:t>faible</w:t>
            </w:r>
          </w:p>
        </w:tc>
      </w:tr>
      <w:tr>
        <w:tc>
          <w:tcPr>
            <w:tcW w:type="dxa" w:w="2880"/>
          </w:tcPr>
          <w:p>
            <w:r>
              <w:rPr>
                <w:sz w:val="17"/>
              </w:rPr>
            </w:r>
            <w:r>
              <w:rPr>
                <w:sz w:val="17"/>
              </w:rPr>
              <w:t>OP-12 — Waste Generation and Recovery</w:t>
            </w:r>
          </w:p>
        </w:tc>
        <w:tc>
          <w:tcPr>
            <w:tcW w:type="dxa" w:w="2880"/>
          </w:tcPr>
          <w:p>
            <w:r>
              <w:rPr>
                <w:sz w:val="17"/>
              </w:rPr>
            </w:r>
            <w:r>
              <w:rPr>
                <w:sz w:val="17"/>
              </w:rPr>
              <w:t>3,27 / 5</w:t>
            </w:r>
          </w:p>
        </w:tc>
        <w:tc>
          <w:tcPr>
            <w:tcW w:type="dxa" w:w="2880"/>
          </w:tcPr>
          <w:p>
            <w:r>
              <w:rPr>
                <w:sz w:val="17"/>
              </w:rPr>
            </w:r>
            <w:r>
              <w:rPr>
                <w:sz w:val="17"/>
              </w:rPr>
              <w:t>intermédiaire</w:t>
            </w:r>
          </w:p>
        </w:tc>
      </w:tr>
      <w:tr>
        <w:tc>
          <w:tcPr>
            <w:tcW w:type="dxa" w:w="2880"/>
          </w:tcPr>
          <w:p>
            <w:r>
              <w:rPr>
                <w:sz w:val="17"/>
              </w:rPr>
            </w:r>
            <w:r>
              <w:rPr>
                <w:sz w:val="17"/>
              </w:rPr>
              <w:t>OP-11 — Materials Management</w:t>
            </w:r>
          </w:p>
        </w:tc>
        <w:tc>
          <w:tcPr>
            <w:tcW w:type="dxa" w:w="2880"/>
          </w:tcPr>
          <w:p>
            <w:r>
              <w:rPr>
                <w:sz w:val="17"/>
              </w:rPr>
            </w:r>
            <w:r>
              <w:rPr>
                <w:sz w:val="17"/>
              </w:rPr>
              <w:t>3,75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OP-10 — Purchased Goods</w:t>
            </w:r>
          </w:p>
        </w:tc>
        <w:tc>
          <w:tcPr>
            <w:tcW w:type="dxa" w:w="2880"/>
          </w:tcPr>
          <w:p>
            <w:r>
              <w:rPr>
                <w:sz w:val="17"/>
              </w:rPr>
            </w:r>
            <w:r>
              <w:rPr>
                <w:sz w:val="17"/>
              </w:rPr>
              <w:t>2,8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2,91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4 / 5</w:t>
            </w:r>
          </w:p>
        </w:tc>
        <w:tc>
          <w:tcPr>
            <w:tcW w:type="dxa" w:w="2880"/>
          </w:tcPr>
          <w:p>
            <w:r>
              <w:rPr>
                <w:sz w:val="17"/>
              </w:rPr>
            </w:r>
            <w:r>
              <w:rPr>
                <w:sz w:val="17"/>
              </w:rPr>
              <w:t>élevé</w:t>
            </w:r>
          </w:p>
        </w:tc>
      </w:tr>
      <w:tr>
        <w:tc>
          <w:tcPr>
            <w:tcW w:type="dxa" w:w="2880"/>
          </w:tcPr>
          <w:p>
            <w:r>
              <w:rPr>
                <w:sz w:val="17"/>
              </w:rPr>
            </w:r>
            <w:r>
              <w:rPr>
                <w:sz w:val="17"/>
              </w:rPr>
              <w:t>OP-13 — Vehicle Fleet</w:t>
            </w:r>
          </w:p>
        </w:tc>
        <w:tc>
          <w:tcPr>
            <w:tcW w:type="dxa" w:w="2880"/>
          </w:tcPr>
          <w:p>
            <w:r>
              <w:rPr>
                <w:sz w:val="17"/>
              </w:rPr>
            </w:r>
            <w:r>
              <w:rPr>
                <w:sz w:val="17"/>
              </w:rPr>
              <w:t>0,28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OP-4 — Ecologically Managed Grounds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Énergie</w:t>
      </w:r>
    </w:p>
    <w:p>
      <w:r>
        <w:t>L'université obtient 6,87 points STARS sur 10 au crédit OP-5, niveau intermédiaire. Une partie de l'électricité du campus provient du programme UC Clean Power : sa part solaire est déclarée comme électricité renouvelable hors site certifiée, et sa part de grande hydraulique comme électricité renouvelable hors site non certifiée.</w:t>
      </w:r>
    </w:p>
    <w:p>
      <w:pPr>
        <w:pStyle w:val="Heading3"/>
      </w:pPr>
      <w:r>
        <w:rPr>
          <w:color w:val="2F6F5E"/>
        </w:rPr>
        <w:t>Émissions de gaz à effet de serre</w:t>
      </w:r>
    </w:p>
    <w:p>
      <w:r>
        <w:t>L'université obtient 8,01 points STARS sur 16 au crédit OP-6, niveau intermédiaire. Dans le cadre du programme Cap and Trade, des crédits de compensation sont répartis chaque année entre les campus selon leurs émissions ; cette année, les instruments de conformité retirés proviennent de projets forestiers aux États-Unis.</w:t>
      </w:r>
    </w:p>
    <w:p>
      <w:pPr>
        <w:pStyle w:val="Heading3"/>
      </w:pPr>
      <w:r>
        <w:rPr>
          <w:color w:val="2F6F5E"/>
        </w:rPr>
        <w:t>Eau</w:t>
      </w:r>
    </w:p>
    <w:p>
      <w:r>
        <w:t>L'université obtient 2,43 points STARS sur 7 au crédit OP-3, niveau faible. Le campus a mis en place un système de récupération d'eau de pluie, notamment au sein de la Haas School of Business.</w:t>
      </w:r>
    </w:p>
    <w:p>
      <w:pPr>
        <w:pStyle w:val="Heading3"/>
      </w:pPr>
      <w:r>
        <w:rPr>
          <w:color w:val="2F6F5E"/>
        </w:rPr>
        <w:t>Déchets</w:t>
      </w:r>
    </w:p>
    <w:p>
      <w:r>
        <w:t>L'université obtient 3,27 points STARS sur 5 au crédit OP-12, niveau intermédiaire.</w:t>
      </w:r>
    </w:p>
    <w:p>
      <w:pPr>
        <w:pStyle w:val="Heading3"/>
      </w:pPr>
      <w:r>
        <w:rPr>
          <w:color w:val="2F6F5E"/>
        </w:rPr>
        <w:t>Matériaux</w:t>
      </w:r>
    </w:p>
    <w:p>
      <w:r>
        <w:t>L'université obtient 3,75 points STARS sur 4 au crédit OP-11, niveau élevé. Le compostage est intégré à tous les circuits de collecte du campus, et les déchets compostables sont envoyés vers une installation de compostage industriel.</w:t>
      </w:r>
    </w:p>
    <w:p>
      <w:pPr>
        <w:pStyle w:val="Heading3"/>
      </w:pPr>
      <w:r>
        <w:rPr>
          <w:color w:val="2F6F5E"/>
        </w:rPr>
        <w:t>Système d'achats durables</w:t>
      </w:r>
    </w:p>
    <w:p>
      <w:r>
        <w:t>L'université obtient 7 points STARS sur 7 au crédit OP-9, niveau maximal. Tous les appels d'offres intègrent des critères de durabilité ; l'université évalue ses fournisseurs avec EcoVadis, et ses lignes directrices d'achats durables visent notamment à réduire les émissions et les impacts carbone de la chaîne d'approvisionnement.</w:t>
      </w:r>
    </w:p>
    <w:p>
      <w:pPr>
        <w:pStyle w:val="Heading3"/>
      </w:pPr>
      <w:r>
        <w:rPr>
          <w:color w:val="2F6F5E"/>
        </w:rPr>
        <w:t>Conception et construction des bâtiments</w:t>
      </w:r>
    </w:p>
    <w:p>
      <w:r>
        <w:t>L'université obtient 2,91 points STARS sur 3 au crédit OP-1, niveau élevé.</w:t>
      </w:r>
    </w:p>
    <w:p>
      <w:pPr>
        <w:pStyle w:val="Heading3"/>
      </w:pPr>
      <w:r>
        <w:rPr>
          <w:color w:val="2F6F5E"/>
        </w:rPr>
        <w:t>Exploitation et maintenance des bâtiments</w:t>
      </w:r>
    </w:p>
    <w:p>
      <w:r>
        <w:t>L'université obtient 4 points STARS sur 5 au crédit OP-2, niveau élevé. De nombreux bâtiments du campus respectent la norme LEED-EBOM (exploitation et maintenance des bâtiments existants), qui met l'accent sur le nettoyage écologique, les matériaux durables, la qualité de l'air et la réduction des déchets.</w:t>
      </w:r>
    </w:p>
    <w:p>
      <w:pPr>
        <w:pStyle w:val="Heading3"/>
      </w:pPr>
      <w:r>
        <w:rPr>
          <w:color w:val="2F6F5E"/>
        </w:rPr>
        <w:t>Flotte de véhicules</w:t>
      </w:r>
    </w:p>
    <w:p>
      <w:r>
        <w:t>L'université obtient 0,28 point STARS sur 2 au crédit OP-13, niveau faible. Plus de 35 % de la flotte du campus est considérée comme verte, véhicules à carburant modulable compris ; les voiturettes électriques non immatriculées ne sont pas comptées dans la flotte.</w:t>
      </w:r>
    </w:p>
    <w:p>
      <w:pPr>
        <w:pStyle w:val="Heading3"/>
      </w:pPr>
      <w:r>
        <w:rPr>
          <w:color w:val="2F6F5E"/>
        </w:rPr>
        <w:t>Modes de déplacement domicile-campus</w:t>
      </w:r>
    </w:p>
    <w:p>
      <w:r>
        <w:t>L'université obtient 4,89 points STARS sur 6 au crédit OP-14, niveau élevé. La répartition des modes de déplacement provient d'une enquête annuelle sur les transports, diffusée par courriel à tout le campus ou à un échantillon représentatif.</w:t>
      </w:r>
    </w:p>
    <w:p>
      <w:pPr>
        <w:pStyle w:val="Heading3"/>
      </w:pPr>
      <w:r>
        <w:rPr>
          <w:color w:val="2F6F5E"/>
        </w:rPr>
        <w:t>Voyages en avion</w:t>
      </w:r>
    </w:p>
    <w:p>
      <w:r>
        <w:t>L'université obtient 2 points STARS sur 2 au crédit OP-15, niveau maximal. Le campus a mis en place des mesures pour réduire les émissions de gaz à effet de serre liées aux voyages en avion.</w:t>
      </w:r>
    </w:p>
    <w:p>
      <w:pPr>
        <w:pStyle w:val="Heading3"/>
      </w:pPr>
      <w:r>
        <w:rPr>
          <w:color w:val="2F6F5E"/>
        </w:rPr>
        <w:t>Gestion écologique des espaces verts</w:t>
      </w:r>
    </w:p>
    <w:p>
      <w:r>
        <w:t>L'université obtient 5 points STARS sur 5 au crédit OP-4, niveau maximal. Le campus a mis en place des espaces verts gérés de manière écologique.</w:t>
      </w:r>
    </w:p>
    <w:p>
      <w:pPr>
        <w:pStyle w:val="Heading3"/>
      </w:pPr>
      <w:r>
        <w:rPr>
          <w:color w:val="2F6F5E"/>
        </w:rPr>
        <w:t>Évaluation de la biodiversité</w:t>
      </w:r>
    </w:p>
    <w:p>
      <w:r>
        <w:t>L'université obtient 1 point STARS sur 1 au crédit IL-24, niveau maximal. Le projet de rapport d'impact environnemental (Draft EIR) du plan de gestion de la végétation combustible des espaces naturels (Wildland Vegetative Fuel Management Plan) décrit les zones importantes pour la biodiversité.</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OP-9 Système d'achats durables (7 sur 7) ; OP-15 Voyages en avion (2 sur 2) ; OP-4 Gestion écologique des espaces verts (5 sur 5) ; IL-24 Évaluation de la biodiversité (1 sur 1) ; OP-1 Conception et construction des bâtiments (2,91 sur 3) ; OP-11 Gestion des matériaux (3,75 sur 4) ; OP-14 Modes de déplacement domicile-campus (4,89 sur 6) ; OP-2 Exploitation et maintenance des bâtiments (4 sur 5).</w:t>
      </w:r>
    </w:p>
    <w:p>
      <w:pPr>
        <w:pStyle w:val="ListBullet"/>
      </w:pPr>
      <w:r>
        <w:rPr>
          <w:b/>
        </w:rPr>
        <w:t>Partiellement atteints</w:t>
      </w:r>
      <w:r>
        <w:t xml:space="preserve"> : OP-10 Biens achetés (2,8 sur 4) ; OP-5 Consommation d'énergie (6,87 sur 10) ; OP-12 Production et valorisation des déchets (3,27 sur 5) ; OP-6 Émissions de gaz à effet de serre (8,01 sur 16).</w:t>
      </w:r>
    </w:p>
    <w:p>
      <w:pPr>
        <w:pStyle w:val="ListBullet"/>
      </w:pPr>
      <w:r>
        <w:rPr>
          <w:b/>
        </w:rPr>
        <w:t>À améliorer</w:t>
      </w:r>
      <w:r>
        <w:t xml:space="preserve"> : OP-13 Flotte de véhicules (0,28 sur 2) ; OP-3 Consommation d'eau (2,43 sur 7).</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4,34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1,67 / 2</w:t>
            </w:r>
          </w:p>
        </w:tc>
        <w:tc>
          <w:tcPr>
            <w:tcW w:type="dxa" w:w="2880"/>
          </w:tcPr>
          <w:p>
            <w:r>
              <w:rPr>
                <w:sz w:val="17"/>
              </w:rPr>
            </w:r>
            <w:r>
              <w:rPr>
                <w:sz w:val="17"/>
              </w:rPr>
              <w:t>élevé</w:t>
            </w:r>
          </w:p>
        </w:tc>
      </w:tr>
      <w:tr>
        <w:tc>
          <w:tcPr>
            <w:tcW w:type="dxa" w:w="2880"/>
          </w:tcPr>
          <w:p>
            <w:r>
              <w:rPr>
                <w:sz w:val="17"/>
              </w:rPr>
            </w:r>
            <w:r>
              <w:rPr>
                <w:sz w:val="17"/>
              </w:rPr>
              <w:t>PA-7 — Racial and Ethnic Representation</w:t>
            </w:r>
          </w:p>
        </w:tc>
        <w:tc>
          <w:tcPr>
            <w:tcW w:type="dxa" w:w="2880"/>
          </w:tcPr>
          <w:p>
            <w:r>
              <w:rPr>
                <w:sz w:val="17"/>
              </w:rPr>
            </w:r>
            <w:r>
              <w:rPr>
                <w:sz w:val="17"/>
              </w:rPr>
              <w:t>1,59 / 3</w:t>
            </w:r>
          </w:p>
        </w:tc>
        <w:tc>
          <w:tcPr>
            <w:tcW w:type="dxa" w:w="2880"/>
          </w:tcPr>
          <w:p>
            <w:r>
              <w:rPr>
                <w:sz w:val="17"/>
              </w:rPr>
            </w:r>
            <w:r>
              <w:rPr>
                <w:sz w:val="17"/>
              </w:rPr>
              <w:t>intermédiaire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2,8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University of California, Berkeley (UC Berkeley) a obtenu 4,34 points STARS sur 5 au crédit PA-13, niveau élevé, pour sa politique de salaire décent. Le salaire décent de référence est calculé avec le calculateur du Massachusetts Institute of Technology (MIT) ; le seuil horaire retenu pour le personnel tient compte du taux composite des avantages sociaux (CBR), actuellement de 42,8 %.</w:t>
      </w:r>
    </w:p>
    <w:p>
      <w:r>
        <w:t>L'université a également obtenu 2,5 points STARS sur 3 au crédit PA-12, niveau élevé, pour ses droits des salariés. Les employés doivent remplir les conditions de la politique de congé familial et médical (Family and Medical Leave Policy). Le site web des ressources humaines de l'université présente des politiques sur les droits des employés, notamment le traitement équitable, les procédures de réclamation et l'équilibre travail-vie.</w:t>
      </w:r>
    </w:p>
    <w:p>
      <w:r>
        <w:t>L'université a obtenu 3 points STARS sur 3 au crédit PA-11, niveau maximal, pour sa santé, sécurité et bien-être. Le campus propose des ateliers de bien-être (série Mind-Body-Spirit) et applique une politique de campus sans fumée ni tabac, mise à jour par les services de santé universitaires (University Health Services).</w:t>
      </w:r>
    </w:p>
    <w:p>
      <w:r>
        <w:t>L'université a obtenu 1,67 point STARS sur 2 au crédit PA-8, niveau élevé, pour la parité femmes-hommes.</w:t>
      </w:r>
    </w:p>
    <w:p>
      <w:r>
        <w:t>L'université a obtenu 1,59 point STARS sur 3 au crédit PA-7, niveau intermédiaire, pour la représentation ethnique et raciale.</w:t>
      </w:r>
    </w:p>
    <w:p>
      <w:r>
        <w:t>L'université a obtenu 2,5 points STARS sur 3 au crédit PA-9, niveau élevé, pour l'accès et l'accessibilité financière. Les données viennent de l'IPEDS : part des étudiants de premier cycle bénéficiant d'une bourse Pell, pour l'année universitaire débutant en 2021 (la plus récente disponible).</w:t>
      </w:r>
    </w:p>
    <w:p>
      <w:r>
        <w:t>L'université a obtenu 3 points STARS sur 3 au crédit PA-6, niveau maximal, pour le climat institutionnel. Les organisations basées sur la race et l'ethnicité des employés comprennent Alianza, Asian Pacific American Systemwide Alliance, Black Staff &amp; Faculty Organization, MENASA et Native &amp; Indigenous Council.</w:t>
      </w:r>
    </w:p>
    <w:p>
      <w:r>
        <w:t>L'université a obtenu 2,8 points STARS sur 3 au crédit PA-10, niveau élevé, pour la réussite étudiante.</w:t>
      </w:r>
    </w:p>
    <w:p>
      <w:pPr>
        <w:pStyle w:val="Heading2"/>
      </w:pPr>
      <w:r>
        <w:rPr>
          <w:color w:val="2F6F5E"/>
        </w:rPr>
        <w:t>Limites et omissions</w:t>
      </w:r>
    </w:p>
    <w:p>
      <w:r>
        <w:t>Ce rapport ne peut pas établir le ratio entre le salaire d'entrée et le salaire minimum local par genre. Le salaire minimum figure dans un crédit sur l'emploi étudiant.</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PA-11 Santé, sécurité et bien-être (3 sur 3) ; PA-6 Climat institutionnel (3 sur 3) ; PA-10 Réussite étudiante (2,8 sur 3) ; PA-13 Équité salariale et salaire décent (4,34 sur 5) ; PA-8 Parité femmes-hommes (1,67 sur 2) ; PA-12 Droits des salariés (2,5 sur 3) ; PA-9 Accessibilité financière et accès (2,5 sur 3).</w:t>
      </w:r>
    </w:p>
    <w:p>
      <w:pPr>
        <w:pStyle w:val="ListBullet"/>
      </w:pPr>
      <w:r>
        <w:rPr>
          <w:b/>
        </w:rPr>
        <w:t>Partiellement atteints</w:t>
      </w:r>
      <w:r>
        <w:t xml:space="preserve"> : PA-7 Représentation ethnique et raciale (1,59 sur 3).</w:t>
      </w:r>
    </w:p>
    <w:p>
      <w:pPr>
        <w:pStyle w:val="ListBullet"/>
      </w:pPr>
      <w:r>
        <w:rPr>
          <w:b/>
        </w:rPr>
        <w:t>À améliorer</w:t>
      </w:r>
      <w:r>
        <w:t xml:space="preserve"> : aucun.</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13,01 / 14</w:t>
            </w:r>
          </w:p>
        </w:tc>
        <w:tc>
          <w:tcPr>
            <w:tcW w:type="dxa" w:w="2880"/>
          </w:tcPr>
          <w:p>
            <w:r>
              <w:rPr>
                <w:sz w:val="17"/>
              </w:rPr>
            </w:r>
            <w:r>
              <w:rPr>
                <w:sz w:val="17"/>
              </w:rPr>
              <w:t>élevé</w:t>
            </w:r>
          </w:p>
        </w:tc>
      </w:tr>
      <w:tr>
        <w:tc>
          <w:tcPr>
            <w:tcW w:type="dxa" w:w="2880"/>
          </w:tcPr>
          <w:p>
            <w:r>
              <w:rPr>
                <w:sz w:val="17"/>
              </w:rPr>
            </w:r>
            <w:r>
              <w:rPr>
                <w:sz w:val="17"/>
              </w:rPr>
              <w:t>AC-2 — Undergraduate Programs</w:t>
            </w:r>
          </w:p>
        </w:tc>
        <w:tc>
          <w:tcPr>
            <w:tcW w:type="dxa" w:w="2880"/>
          </w:tcPr>
          <w:p>
            <w:r>
              <w:rPr>
                <w:sz w:val="17"/>
              </w:rPr>
            </w:r>
            <w:r>
              <w:rPr>
                <w:sz w:val="17"/>
              </w:rPr>
              <w:t>10,22 / 15</w:t>
            </w:r>
          </w:p>
        </w:tc>
        <w:tc>
          <w:tcPr>
            <w:tcW w:type="dxa" w:w="2880"/>
          </w:tcPr>
          <w:p>
            <w:r>
              <w:rPr>
                <w:sz w:val="17"/>
              </w:rPr>
            </w:r>
            <w:r>
              <w:rPr>
                <w:sz w:val="17"/>
              </w:rPr>
              <w:t>intermédiaire</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7,35 / 10</w:t>
            </w:r>
          </w:p>
        </w:tc>
        <w:tc>
          <w:tcPr>
            <w:tcW w:type="dxa" w:w="2880"/>
          </w:tcPr>
          <w:p>
            <w:r>
              <w:rPr>
                <w:sz w:val="17"/>
              </w:rPr>
            </w:r>
            <w:r>
              <w:rPr>
                <w:sz w:val="17"/>
              </w:rPr>
              <w:t>intermédiaire</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obtient 13,01 points STARS sur 14 au crédit AC-1, niveau élevé. L'information pour les offres de cours en durabilité a été collectée via un inventaire des cours de University of California, Berkeley (UC Berkeley) de 2021 à 2024, en filtrant les éléments qui se qualifient comme des cours axés sur la durabilité ou liés à la durabilité. Les cours qui se qualifient ont été comptabilisés comme des offres de cours en durabilité.</w:t>
      </w:r>
    </w:p>
    <w:p>
      <w:r>
        <w:t>L'université obtient 10,22 points STARS sur 15 au crédit AC-2, niveau intermédiaire. Une partie des programmes de premier cycle comporte l'obligation de suivre au moins un cours axé sur la durabilité (liste fournie dans le rapport STARS).</w:t>
      </w:r>
    </w:p>
    <w:p>
      <w:r>
        <w:t>L'université obtient 8 points STARS sur 8 au crédit AC-3, niveau maximal. Une partie des programmes de cycles supérieurs comporte un apprentissage axé sur la durabilité (liste fournie dans le rapport STARS).</w:t>
      </w:r>
    </w:p>
    <w:p>
      <w:r>
        <w:t>L'université obtient 7,35 points STARS sur 10 au crédit AC-6, niveau intermédiaire. Un étudiant de premier cycle a créé une liste de mots-clés pour identifier la recherche en durabilité. L'étudiant a ensuite calculé le nombre d'employés engagés dans la recherche en durabilité et le nombre de départements universitaires engagés dans la recherche en durabilité.</w:t>
      </w:r>
    </w:p>
    <w:p>
      <w:r>
        <w:t>L'université obtient 6 points STARS sur 6 au crédit AC-7, niveau maximal. UC Berkeley compte plusieurs centres engagés dans des sujets liés à la durabilité, notamment le Sutardja Center for Entrepreneurship and Technology qui abrite le Alternative Meats X Lab.</w:t>
      </w:r>
    </w:p>
    <w:p>
      <w:r>
        <w:t>L'université obtient 5 points STARS sur 5 au crédit EN-1, niveau maximal. Les nouveaux étudiants rencontrent les services liés à la durabilité lors de l'orientation (Golden Bear Orientation), le nouveau personnel reçoit une présentation lors de son accueil, et le campus publie des tableaux de bord (émissions, énergie, eau) et des rapports de durabilité.</w:t>
      </w:r>
    </w:p>
    <w:p>
      <w:r>
        <w:t>L'université obtient 9 points STARS sur 9 au crédit EN-2, niveau maximal. Le centre étudiant de ressources environnementales (SERC) de UC Berkeley organise de nombreux événements axés sur la durabilité sur le campus, notamment la semaine de la justice climatique et la semaine de la Terre, une série de carrières environnementales, des formations à la justice environnementale et des événements d'éducation en plein air.</w:t>
      </w:r>
    </w:p>
    <w:p>
      <w:r>
        <w:t>L'université obtient 8 points STARS sur 8 au crédit EN-3, niveau maximal. Le Bureau de la durabilité a créé une formation à la durabilité pour le personnel (UC Berkeley Sustainability Staff Training), composée de modules que chacun suit à son rythme.</w:t>
      </w:r>
    </w:p>
    <w:p>
      <w:r>
        <w:t>L'université obtient 8 points STARS sur 8 au crédit EN-5, niveau maximal.</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AC-3 Programmes de cycles supérieurs (8 sur 8) ; AC-7 Centre de recherche en durabilité (6 sur 6) ; EN-1 Communication et sensibilisation (5 sur 5) ; EN-2 Activités parascolaires (9 sur 9) ; EN-3 Engagement et formation du personnel (8 sur 8) ; EN-5 Engagement civique (8 sur 8) ; EN-7 Formation continue (3 sur 3) ; AC-1 Offre de cours en durabilité (13,01 sur 14).</w:t>
      </w:r>
    </w:p>
    <w:p>
      <w:pPr>
        <w:pStyle w:val="ListBullet"/>
      </w:pPr>
      <w:r>
        <w:rPr>
          <w:b/>
        </w:rPr>
        <w:t>Partiellement atteints</w:t>
      </w:r>
      <w:r>
        <w:t xml:space="preserve"> : AC-6 Recherche en durabilité (7,35 sur 10) ; AC-2 Programmes de premier cycle (10,22 sur 15).</w:t>
      </w:r>
    </w:p>
    <w:p>
      <w:pPr>
        <w:pStyle w:val="ListBullet"/>
      </w:pPr>
      <w:r>
        <w:rPr>
          <w:b/>
        </w:rPr>
        <w:t>À améliorer</w:t>
      </w:r>
      <w:r>
        <w:t xml:space="preserve"> : aucun.</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29</w:t>
            </w:r>
          </w:p>
        </w:tc>
        <w:tc>
          <w:tcPr>
            <w:tcW w:type="dxa" w:w="2160"/>
          </w:tcPr>
          <w:p>
            <w:r>
              <w:rPr>
                <w:sz w:val="17"/>
              </w:rPr>
            </w:r>
            <w:r>
              <w:rPr>
                <w:sz w:val="17"/>
              </w:rPr>
              <w:t>43</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(PRE-1) ; les champs structurés n'ont pas été extraits.</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(deux essais au plus ; sinon texte de repli écrit par le code).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Section</w:t>
            </w:r>
          </w:p>
        </w:tc>
        <w:tc>
          <w:tcPr>
            <w:tcW w:type="dxa" w:w="960"/>
          </w:tcPr>
          <w:p>
            <w:r>
              <w:rPr>
                <w:b/>
                <w:sz w:val="17"/>
              </w:rPr>
            </w:r>
            <w:r>
              <w:rPr>
                <w:b/>
                <w:sz w:val="17"/>
              </w:rPr>
              <w:t>Décision</w:t>
            </w:r>
          </w:p>
        </w:tc>
        <w:tc>
          <w:tcPr>
            <w:tcW w:type="dxa" w:w="960"/>
          </w:tcPr>
          <w:p>
            <w:r>
              <w:rPr>
                <w:b/>
                <w:sz w:val="17"/>
              </w:rPr>
            </w:r>
            <w:r>
              <w:rPr>
                <w:b/>
                <w:sz w:val="17"/>
              </w:rPr>
              <w:t>Tentatives</w:t>
            </w:r>
          </w:p>
        </w:tc>
        <w:tc>
          <w:tcPr>
            <w:tcW w:type="dxa" w:w="960"/>
          </w:tcPr>
          <w:p>
            <w:r>
              <w:rPr>
                <w:b/>
                <w:sz w:val="17"/>
              </w:rPr>
            </w:r>
            <w:r>
              <w:rPr>
                <w:b/>
                <w:sz w:val="17"/>
              </w:rPr>
              <w:t>Rejets garde-fou</w:t>
            </w:r>
          </w:p>
        </w:tc>
        <w:tc>
          <w:tcPr>
            <w:tcW w:type="dxa" w:w="960"/>
          </w:tcPr>
          <w:p>
            <w:r>
              <w:rPr>
                <w:b/>
                <w:sz w:val="17"/>
              </w:rPr>
            </w:r>
            <w:r>
              <w:rPr>
                <w:b/>
                <w:sz w:val="17"/>
              </w:rPr>
              <w:t>Note du juge</w:t>
            </w:r>
          </w:p>
        </w:tc>
        <w:tc>
          <w:tcPr>
            <w:tcW w:type="dxa" w:w="960"/>
          </w:tcPr>
          <w:p>
            <w:r>
              <w:rPr>
                <w:b/>
                <w:sz w:val="17"/>
              </w:rPr>
            </w:r>
            <w:r>
              <w:rPr>
                <w:b/>
                <w:sz w:val="17"/>
              </w:rPr>
              <w:t>Fidélité</w:t>
            </w:r>
          </w:p>
        </w:tc>
        <w:tc>
          <w:tcPr>
            <w:tcW w:type="dxa" w:w="960"/>
          </w:tcPr>
          <w:p>
            <w:r>
              <w:rPr>
                <w:b/>
                <w:sz w:val="17"/>
              </w:rPr>
            </w:r>
            <w:r>
              <w:rPr>
                <w:b/>
                <w:sz w:val="17"/>
              </w:rPr>
              <w:t>Codes GRI cités dans le texte</w:t>
            </w:r>
          </w:p>
        </w:tc>
        <w:tc>
          <w:tcPr>
            <w:tcW w:type="dxa" w:w="960"/>
          </w:tcPr>
          <w:p>
            <w:r>
              <w:rPr>
                <w:b/>
                <w:sz w:val="17"/>
              </w:rPr>
            </w:r>
            <w:r>
              <w:rPr>
                <w:b/>
                <w:sz w:val="17"/>
              </w:rPr>
              <w:t>Publications GRI avec données (index)</w:t>
            </w:r>
          </w:p>
        </w:tc>
        <w:tc>
          <w:tcPr>
            <w:tcW w:type="dxa" w:w="960"/>
          </w:tcPr>
          <w:p>
            <w:r>
              <w:rPr>
                <w:b/>
                <w:sz w:val="17"/>
              </w:rPr>
            </w:r>
            <w:r>
              <w:rPr>
                <w:b/>
                <w:sz w:val="17"/>
              </w:rPr>
              <w:t>Durée</w:t>
            </w:r>
          </w:p>
        </w:tc>
      </w:tr>
      <w:tr>
        <w:tc>
          <w:tcPr>
            <w:tcW w:type="dxa" w:w="960"/>
          </w:tcPr>
          <w:p>
            <w:r>
              <w:rPr>
                <w:sz w:val="17"/>
              </w:rPr>
            </w:r>
            <w:r>
              <w:rPr>
                <w:sz w:val="17"/>
              </w:rPr>
              <w:t>L'organisation, son périmètre et ses effectifs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83%</w:t>
            </w:r>
          </w:p>
        </w:tc>
        <w:tc>
          <w:tcPr>
            <w:tcW w:type="dxa" w:w="960"/>
          </w:tcPr>
          <w:p>
            <w:r>
              <w:rPr>
                <w:sz w:val="17"/>
              </w:rPr>
            </w:r>
            <w:r>
              <w:rPr>
                <w:sz w:val="17"/>
              </w:rPr>
              <w:t>5 sur 8</w:t>
            </w:r>
          </w:p>
        </w:tc>
        <w:tc>
          <w:tcPr>
            <w:tcW w:type="dxa" w:w="960"/>
          </w:tcPr>
          <w:p>
            <w:r>
              <w:rPr>
                <w:sz w:val="17"/>
              </w:rPr>
            </w:r>
            <w:r>
              <w:rPr>
                <w:sz w:val="17"/>
              </w:rPr>
              <w:t>9.0 min</w:t>
            </w:r>
          </w:p>
        </w:tc>
      </w:tr>
      <w:tr>
        <w:tc>
          <w:tcPr>
            <w:tcW w:type="dxa" w:w="960"/>
          </w:tcPr>
          <w:p>
            <w:r>
              <w:rPr>
                <w:sz w:val="17"/>
              </w:rPr>
            </w:r>
            <w:r>
              <w:rPr>
                <w:sz w:val="17"/>
              </w:rPr>
              <w:t>Thèmes matériels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2 sur 3</w:t>
            </w:r>
          </w:p>
        </w:tc>
        <w:tc>
          <w:tcPr>
            <w:tcW w:type="dxa" w:w="960"/>
          </w:tcPr>
          <w:p>
            <w:r>
              <w:rPr>
                <w:sz w:val="17"/>
              </w:rPr>
            </w:r>
            <w:r>
              <w:rPr>
                <w:sz w:val="17"/>
              </w:rPr>
              <w:t>9.1 min</w:t>
            </w:r>
          </w:p>
        </w:tc>
      </w:tr>
      <w:tr>
        <w:tc>
          <w:tcPr>
            <w:tcW w:type="dxa" w:w="960"/>
          </w:tcPr>
          <w:p>
            <w:r>
              <w:rPr>
                <w:sz w:val="17"/>
              </w:rPr>
            </w:r>
            <w:r>
              <w:rPr>
                <w:sz w:val="17"/>
              </w:rPr>
              <w:t>Gouvernance</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3 sur 13</w:t>
            </w:r>
          </w:p>
        </w:tc>
        <w:tc>
          <w:tcPr>
            <w:tcW w:type="dxa" w:w="960"/>
          </w:tcPr>
          <w:p>
            <w:r>
              <w:rPr>
                <w:sz w:val="17"/>
              </w:rPr>
            </w:r>
            <w:r>
              <w:rPr>
                <w:sz w:val="17"/>
              </w:rPr>
              <w:t>12.3 min</w:t>
            </w:r>
          </w:p>
        </w:tc>
      </w:tr>
      <w:tr>
        <w:tc>
          <w:tcPr>
            <w:tcW w:type="dxa" w:w="960"/>
          </w:tcPr>
          <w:p>
            <w:r>
              <w:rPr>
                <w:sz w:val="17"/>
              </w:rPr>
            </w:r>
            <w:r>
              <w:rPr>
                <w:sz w:val="17"/>
              </w:rPr>
              <w:t>Stratégie, politiques et pratiques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3/5</w:t>
            </w:r>
          </w:p>
        </w:tc>
        <w:tc>
          <w:tcPr>
            <w:tcW w:type="dxa" w:w="960"/>
          </w:tcPr>
          <w:p>
            <w:r>
              <w:rPr>
                <w:sz w:val="17"/>
              </w:rPr>
            </w:r>
            <w:r>
              <w:rPr>
                <w:sz w:val="17"/>
              </w:rPr>
              <w:t>100%</w:t>
            </w:r>
          </w:p>
        </w:tc>
        <w:tc>
          <w:tcPr>
            <w:tcW w:type="dxa" w:w="960"/>
          </w:tcPr>
          <w:p>
            <w:r>
              <w:rPr>
                <w:sz w:val="17"/>
              </w:rPr>
            </w:r>
            <w:r>
              <w:rPr>
                <w:sz w:val="17"/>
              </w:rPr>
              <w:t>50%</w:t>
            </w:r>
          </w:p>
        </w:tc>
        <w:tc>
          <w:tcPr>
            <w:tcW w:type="dxa" w:w="960"/>
          </w:tcPr>
          <w:p>
            <w:r>
              <w:rPr>
                <w:sz w:val="17"/>
              </w:rPr>
            </w:r>
            <w:r>
              <w:rPr>
                <w:sz w:val="17"/>
              </w:rPr>
              <w:t>6 sur 7</w:t>
            </w:r>
          </w:p>
        </w:tc>
        <w:tc>
          <w:tcPr>
            <w:tcW w:type="dxa" w:w="960"/>
          </w:tcPr>
          <w:p>
            <w:r>
              <w:rPr>
                <w:sz w:val="17"/>
              </w:rPr>
            </w:r>
            <w:r>
              <w:rPr>
                <w:sz w:val="17"/>
              </w:rPr>
              <w:t>12.2 min</w:t>
            </w:r>
          </w:p>
        </w:tc>
      </w:tr>
      <w:tr>
        <w:tc>
          <w:tcPr>
            <w:tcW w:type="dxa" w:w="960"/>
          </w:tcPr>
          <w:p>
            <w:r>
              <w:rPr>
                <w:sz w:val="17"/>
              </w:rPr>
            </w:r>
            <w:r>
              <w:rPr>
                <w:sz w:val="17"/>
              </w:rPr>
              <w:t>Engagement des parties prenantes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1 sur 2</w:t>
            </w:r>
          </w:p>
        </w:tc>
        <w:tc>
          <w:tcPr>
            <w:tcW w:type="dxa" w:w="960"/>
          </w:tcPr>
          <w:p>
            <w:r>
              <w:rPr>
                <w:sz w:val="17"/>
              </w:rPr>
            </w:r>
            <w:r>
              <w:rPr>
                <w:sz w:val="17"/>
              </w:rPr>
              <w:t>6.8 min</w:t>
            </w:r>
          </w:p>
        </w:tc>
      </w:tr>
      <w:tr>
        <w:tc>
          <w:tcPr>
            <w:tcW w:type="dxa" w:w="960"/>
          </w:tcPr>
          <w:p>
            <w:r>
              <w:rPr>
                <w:sz w:val="17"/>
              </w:rPr>
            </w:r>
            <w:r>
              <w:rPr>
                <w:sz w:val="17"/>
              </w:rPr>
              <w:t>Performance environnementale</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0%</w:t>
            </w:r>
          </w:p>
        </w:tc>
        <w:tc>
          <w:tcPr>
            <w:tcW w:type="dxa" w:w="960"/>
          </w:tcPr>
          <w:p>
            <w:r>
              <w:rPr>
                <w:sz w:val="17"/>
              </w:rPr>
            </w:r>
            <w:r>
              <w:rPr>
                <w:sz w:val="17"/>
              </w:rPr>
              <w:t>6 sur 35</w:t>
            </w:r>
          </w:p>
        </w:tc>
        <w:tc>
          <w:tcPr>
            <w:tcW w:type="dxa" w:w="960"/>
          </w:tcPr>
          <w:p>
            <w:r>
              <w:rPr>
                <w:sz w:val="17"/>
              </w:rPr>
            </w:r>
            <w:r>
              <w:rPr>
                <w:sz w:val="17"/>
              </w:rPr>
              <w:t>21.2 min</w:t>
            </w:r>
          </w:p>
        </w:tc>
      </w:tr>
      <w:tr>
        <w:tc>
          <w:tcPr>
            <w:tcW w:type="dxa" w:w="960"/>
          </w:tcPr>
          <w:p>
            <w:r>
              <w:rPr>
                <w:sz w:val="17"/>
              </w:rPr>
            </w:r>
            <w:r>
              <w:rPr>
                <w:sz w:val="17"/>
              </w:rPr>
              <w:t>Performance sociale et économique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0%</w:t>
            </w:r>
          </w:p>
        </w:tc>
        <w:tc>
          <w:tcPr>
            <w:tcW w:type="dxa" w:w="960"/>
          </w:tcPr>
          <w:p>
            <w:r>
              <w:rPr>
                <w:sz w:val="17"/>
              </w:rPr>
            </w:r>
            <w:r>
              <w:rPr>
                <w:sz w:val="17"/>
              </w:rPr>
              <w:t>6 sur 18</w:t>
            </w:r>
          </w:p>
        </w:tc>
        <w:tc>
          <w:tcPr>
            <w:tcW w:type="dxa" w:w="960"/>
          </w:tcPr>
          <w:p>
            <w:r>
              <w:rPr>
                <w:sz w:val="17"/>
              </w:rPr>
            </w:r>
            <w:r>
              <w:rPr>
                <w:sz w:val="17"/>
              </w:rPr>
              <w:t>12.9 min</w:t>
            </w:r>
          </w:p>
        </w:tc>
      </w:tr>
      <w:tr>
        <w:tc>
          <w:tcPr>
            <w:tcW w:type="dxa" w:w="960"/>
          </w:tcPr>
          <w:p>
            <w:r>
              <w:rPr>
                <w:sz w:val="17"/>
              </w:rPr>
            </w:r>
            <w:r>
              <w:rPr>
                <w:sz w:val="17"/>
              </w:rPr>
              <w:t>Enseignement, recherche et engagement (hors GRI)</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15.6 min</w:t>
            </w:r>
          </w:p>
        </w:tc>
      </w:tr>
    </w:tbl>
    <w:p/>
    <w:p>
      <w:r>
        <w:rPr>
          <w:i/>
        </w:rPr>
        <w:t>« Codes GRI cités dans le texte » : part des publications GRI de la section dont le code (par exemple GRI 305-1) est cité dans le texte rédigé ; c'est une mesure de citation, pas de couverture des données. « Publications GRI avec données » : publications de la section rapportées ou partiellement rapportées dans l'index de contenu GRI, sur le total de la section.</w:t>
      </w:r>
    </w:p>
    <w:p>
      <w:r>
        <w:rPr>
          <w:b/>
        </w:rPr>
        <w:t>Bilan :</w:t>
      </w:r>
      <w:r>
        <w:t xml:space="preserve"> 8 section(s) validée(s) sur 8 ; fidélité moyenne 94% ; 3 version(s) rejetée(s) par le garde-fou avant le juge. Aucun nombre du texte final n'a été écrit par le modèle.</w:t>
      </w:r>
    </w:p>
    <w:p>
      <w:r>
        <w:t>2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35 correction(s) dans 8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relecture/berkeley.yaml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of California, Berkeley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