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6F5E"/>
        </w:rPr>
        <w:t>Rapport de durabilité — University College Cork</w:t>
      </w:r>
    </w:p>
    <w:p>
      <w:r>
        <w:rPr>
          <w:i/>
        </w:rPr>
        <w:t>Établi en référence aux normes GRI · généré le 2026-10-07 · données AASHE STARS 3.0</w:t>
      </w:r>
    </w:p>
    <w:p>
      <w:r>
        <w:rPr>
          <w:b/>
        </w:rPr>
        <w:t>À propos de ce rapport.</w:t>
      </w:r>
      <w:r>
        <w:t xml:space="preserve"> Ce rapport est généré automatiquement à partir de la soumission publique AASHE STARS 3.0 de University College Cork (5 mars 2026), mise en correspondance avec les normes GRI. Il examine les 86 publications GRI de 14 normes (dont GRI 101: Biodiversité 2024). Lorsqu'une publication ne peut pas être renseignée à partir des données STARS, il le dit et explique pourquoi, au lieu d'omettre la question.</w:t>
      </w:r>
    </w:p>
    <w:p>
      <w:r>
        <w:rPr>
          <w:b/>
        </w:rPr>
        <w:t>D'où viennent les chiffres, et pourquoi s'y fier.</w:t>
      </w:r>
      <w:r>
        <w:t xml:space="preserve"> Le modèle de langage qui rédige le texte (llama3.1:8b, exécuté localement avec Ollama) n'a jamais vu un chiffre : les nombres de son contexte sont masqués, et il écrit des marqueurs nommés que le code remplace ensuite par les valeurs de la table des faits. Un garde-fou déterministe rejette toute section où le modèle a écrit lui-même un nombre, puis chaque nombre du texte final est contrôlé contre cette table. Le modèle choisit les phrases ; il ne choisit pas les chiffres.</w:t>
      </w:r>
    </w:p>
    <w:p>
      <w:r>
        <w:rPr>
          <w:b/>
        </w:rPr>
        <w:t>Validation automatique.</w:t>
      </w:r>
      <w:r>
        <w:t xml:space="preserve"> Chaque section est ensuite auditée par le modèle configuré en juge : il découpe le texte en affirmations, vérifie chacune contre les sources, contrôle les règles de reporting et note la section. Une section refusée est régénérée avec les corrections demandées. Le détail figure en annexe « Validation du rapport ».</w:t>
      </w:r>
    </w:p>
    <w:p>
      <w:r>
        <w:rPr>
          <w:b/>
        </w:rPr>
        <w:t>Ce que la garantie ne couvre pas.</w:t>
      </w:r>
      <w:r>
        <w:t xml:space="preserve"> Elle porte sur les chiffres. Les énoncés qualitatifs proviennent des réponses narratives de l'établissement ; le juge les contrôle, mais un juge automatique peut se tromper. Les sections marquées « à relire » demandent une validation humaine.</w:t>
      </w:r>
    </w:p>
    <w:p>
      <w:r>
        <w:rPr>
          <w:b/>
        </w:rPr>
        <w:t>« En référence aux » normes GRI, et non « conformément à ».</w:t>
      </w:r>
      <w:r>
        <w:t xml:space="preserve"> GRI réserve la mention « conformément » aux rapports qui répondent à toutes les publications générales et à toutes celles de chaque thème matériel. Ce rapport ne le fait pas : il revendique donc la mention plus faible, qui est la mention exacte.</w:t>
      </w:r>
    </w:p>
    <w:p>
      <w:r>
        <w:rPr>
          <w:b/>
        </w:rPr>
        <w:t>Portée des données.</w:t>
      </w:r>
      <w:r>
        <w:t xml:space="preserve"> Cette version s'appuie sur les scores publics par crédit et sur les réponses narratives de l'établissement. Les valeurs détaillées des champs STARS (énergie, émissions, eau, déchets, effectifs…) exigent un accès authentifié AASHE et n'ont pas encore été extraites : les publications qui en dépendent sont marquées « Non évalué » plutôt que d'être devinées.</w:t>
      </w:r>
    </w:p>
    <w:p>
      <w:r>
        <w:rPr>
          <w:b/>
        </w:rPr>
        <w:t>Source et attribution.</w:t>
      </w:r>
      <w:r>
        <w:t xml:space="preserve"> </w:t>
      </w:r>
      <w:r>
        <w:t>University College Cork STARS Report (https://reports.aashe.org/institutions/university-college-cork-national-university-of-ireland-cork-co-corcaigh/report/2026-03-05/)</w:t>
      </w:r>
      <w:r>
        <w:t>, AASHE, note « Platinum ». Les données STARS sont accessibles publiquement et utilisées ici avec attribution à l'AASHE ; elles ne sont pas sous licence ouverte et sont autodéclarées par l'établissement. Extraction initiale des données : Hakim Chaanbi (</w:t>
      </w:r>
      <w:r>
        <w:t>hakimchaanbi/esg-reporting (https://github.com/hakimchaanbi/esg-reporting)</w:t>
      </w:r>
      <w:r>
        <w:t>).</w:t>
      </w:r>
    </w:p>
    <w:p>
      <w:pPr>
        <w:pStyle w:val="Heading1"/>
      </w:pPr>
      <w:r>
        <w:rPr>
          <w:color w:val="2F6F5E"/>
        </w:rPr>
        <w:t>Synthèse des résultats STARS</w:t>
      </w:r>
    </w:p>
    <w:p>
      <w:r>
        <w:t xml:space="preserve">Note STARS : </w:t>
      </w:r>
      <w:r>
        <w:rPr>
          <w:b/>
        </w:rPr>
        <w:t>Platinum</w:t>
      </w:r>
      <w:r>
        <w:t xml:space="preserve"> — score global </w:t>
      </w:r>
      <w:r>
        <w:rPr>
          <w:b/>
        </w:rPr>
        <w:t>85,99</w:t>
      </w:r>
      <w:r>
        <w:t xml:space="preserve"> sur 100. Les scores STARS 3.0 sont autodéclarés et notés par rapport à un groupe de pairs ; les piliers ci-dessous regroupent les crédits notés (regroupement du projet, pas une désignation STARS ; crédits bonus IL exclus).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Pilier</w:t>
            </w:r>
          </w:p>
        </w:tc>
        <w:tc>
          <w:tcPr>
            <w:tcW w:type="dxa" w:w="1728"/>
          </w:tcPr>
          <w:p>
            <w:r>
              <w:rPr>
                <w:b/>
                <w:sz w:val="17"/>
              </w:rPr>
            </w:r>
            <w:r>
              <w:rPr>
                <w:b/>
                <w:sz w:val="17"/>
              </w:rPr>
              <w:t>Points obtenus</w:t>
            </w:r>
          </w:p>
        </w:tc>
        <w:tc>
          <w:tcPr>
            <w:tcW w:type="dxa" w:w="1728"/>
          </w:tcPr>
          <w:p>
            <w:r>
              <w:rPr>
                <w:b/>
                <w:sz w:val="17"/>
              </w:rPr>
            </w:r>
            <w:r>
              <w:rPr>
                <w:b/>
                <w:sz w:val="17"/>
              </w:rPr>
              <w:t>Points possibles</w:t>
            </w:r>
          </w:p>
        </w:tc>
        <w:tc>
          <w:tcPr>
            <w:tcW w:type="dxa" w:w="1728"/>
          </w:tcPr>
          <w:p>
            <w:r>
              <w:rPr>
                <w:b/>
                <w:sz w:val="17"/>
              </w:rPr>
            </w:r>
            <w:r>
              <w:rPr>
                <w:b/>
                <w:sz w:val="17"/>
              </w:rPr>
              <w:t>Part obtenue</w:t>
            </w:r>
          </w:p>
        </w:tc>
        <w:tc>
          <w:tcPr>
            <w:tcW w:type="dxa" w:w="1728"/>
          </w:tcPr>
          <w:p>
            <w:r>
              <w:rPr>
                <w:b/>
                <w:sz w:val="17"/>
              </w:rPr>
            </w:r>
            <w:r>
              <w:rPr>
                <w:b/>
                <w:sz w:val="17"/>
              </w:rPr>
              <w:t>Niveau</w:t>
            </w:r>
          </w:p>
        </w:tc>
      </w:tr>
      <w:tr>
        <w:tc>
          <w:tcPr>
            <w:tcW w:type="dxa" w:w="1728"/>
          </w:tcPr>
          <w:p>
            <w:r>
              <w:rPr>
                <w:sz w:val="17"/>
              </w:rPr>
            </w:r>
            <w:r>
              <w:rPr>
                <w:sz w:val="17"/>
              </w:rPr>
              <w:t>Environnement</w:t>
            </w:r>
          </w:p>
        </w:tc>
        <w:tc>
          <w:tcPr>
            <w:tcW w:type="dxa" w:w="1728"/>
          </w:tcPr>
          <w:p>
            <w:r>
              <w:rPr>
                <w:sz w:val="17"/>
              </w:rPr>
            </w:r>
            <w:r>
              <w:rPr>
                <w:sz w:val="17"/>
              </w:rPr>
              <w:t>53,58</w:t>
            </w:r>
          </w:p>
        </w:tc>
        <w:tc>
          <w:tcPr>
            <w:tcW w:type="dxa" w:w="1728"/>
          </w:tcPr>
          <w:p>
            <w:r>
              <w:rPr>
                <w:sz w:val="17"/>
              </w:rPr>
            </w:r>
            <w:r>
              <w:rPr>
                <w:sz w:val="17"/>
              </w:rPr>
              <w:t>85</w:t>
            </w:r>
          </w:p>
        </w:tc>
        <w:tc>
          <w:tcPr>
            <w:tcW w:type="dxa" w:w="1728"/>
          </w:tcPr>
          <w:p>
            <w:r>
              <w:rPr>
                <w:sz w:val="17"/>
              </w:rPr>
            </w:r>
            <w:r>
              <w:rPr>
                <w:sz w:val="17"/>
              </w:rPr>
              <w:t>63,0 %</w:t>
            </w:r>
          </w:p>
        </w:tc>
        <w:tc>
          <w:tcPr>
            <w:tcW w:type="dxa" w:w="1728"/>
          </w:tcPr>
          <w:p>
            <w:r>
              <w:rPr>
                <w:sz w:val="17"/>
              </w:rPr>
            </w:r>
            <w:r>
              <w:rPr>
                <w:sz w:val="17"/>
              </w:rPr>
              <w:t>intermédiaire</w:t>
            </w:r>
          </w:p>
        </w:tc>
      </w:tr>
      <w:tr>
        <w:tc>
          <w:tcPr>
            <w:tcW w:type="dxa" w:w="1728"/>
          </w:tcPr>
          <w:p>
            <w:r>
              <w:rPr>
                <w:sz w:val="17"/>
              </w:rPr>
            </w:r>
            <w:r>
              <w:rPr>
                <w:sz w:val="17"/>
              </w:rPr>
              <w:t>Social</w:t>
            </w:r>
          </w:p>
        </w:tc>
        <w:tc>
          <w:tcPr>
            <w:tcW w:type="dxa" w:w="1728"/>
          </w:tcPr>
          <w:p>
            <w:r>
              <w:rPr>
                <w:sz w:val="17"/>
              </w:rPr>
            </w:r>
            <w:r>
              <w:rPr>
                <w:sz w:val="17"/>
              </w:rPr>
              <w:t>20,50</w:t>
            </w:r>
          </w:p>
        </w:tc>
        <w:tc>
          <w:tcPr>
            <w:tcW w:type="dxa" w:w="1728"/>
          </w:tcPr>
          <w:p>
            <w:r>
              <w:rPr>
                <w:sz w:val="17"/>
              </w:rPr>
            </w:r>
            <w:r>
              <w:rPr>
                <w:sz w:val="17"/>
              </w:rPr>
              <w:t>25</w:t>
            </w:r>
          </w:p>
        </w:tc>
        <w:tc>
          <w:tcPr>
            <w:tcW w:type="dxa" w:w="1728"/>
          </w:tcPr>
          <w:p>
            <w:r>
              <w:rPr>
                <w:sz w:val="17"/>
              </w:rPr>
            </w:r>
            <w:r>
              <w:rPr>
                <w:sz w:val="17"/>
              </w:rPr>
              <w:t>82,0 %</w:t>
            </w:r>
          </w:p>
        </w:tc>
        <w:tc>
          <w:tcPr>
            <w:tcW w:type="dxa" w:w="1728"/>
          </w:tcPr>
          <w:p>
            <w:r>
              <w:rPr>
                <w:sz w:val="17"/>
              </w:rPr>
            </w:r>
            <w:r>
              <w:rPr>
                <w:sz w:val="17"/>
              </w:rPr>
              <w:t>élevé</w:t>
            </w:r>
          </w:p>
        </w:tc>
      </w:tr>
      <w:tr>
        <w:tc>
          <w:tcPr>
            <w:tcW w:type="dxa" w:w="1728"/>
          </w:tcPr>
          <w:p>
            <w:r>
              <w:rPr>
                <w:sz w:val="17"/>
              </w:rPr>
            </w:r>
            <w:r>
              <w:rPr>
                <w:sz w:val="17"/>
              </w:rPr>
              <w:t>Gouvernance</w:t>
            </w:r>
          </w:p>
        </w:tc>
        <w:tc>
          <w:tcPr>
            <w:tcW w:type="dxa" w:w="1728"/>
          </w:tcPr>
          <w:p>
            <w:r>
              <w:rPr>
                <w:sz w:val="17"/>
              </w:rPr>
            </w:r>
            <w:r>
              <w:rPr>
                <w:sz w:val="17"/>
              </w:rPr>
              <w:t>15,93</w:t>
            </w:r>
          </w:p>
        </w:tc>
        <w:tc>
          <w:tcPr>
            <w:tcW w:type="dxa" w:w="1728"/>
          </w:tcPr>
          <w:p>
            <w:r>
              <w:rPr>
                <w:sz w:val="17"/>
              </w:rPr>
            </w:r>
            <w:r>
              <w:rPr>
                <w:sz w:val="17"/>
              </w:rPr>
              <w:t>18</w:t>
            </w:r>
          </w:p>
        </w:tc>
        <w:tc>
          <w:tcPr>
            <w:tcW w:type="dxa" w:w="1728"/>
          </w:tcPr>
          <w:p>
            <w:r>
              <w:rPr>
                <w:sz w:val="17"/>
              </w:rPr>
            </w:r>
            <w:r>
              <w:rPr>
                <w:sz w:val="17"/>
              </w:rPr>
              <w:t>88,5 %</w:t>
            </w:r>
          </w:p>
        </w:tc>
        <w:tc>
          <w:tcPr>
            <w:tcW w:type="dxa" w:w="1728"/>
          </w:tcPr>
          <w:p>
            <w:r>
              <w:rPr>
                <w:sz w:val="17"/>
              </w:rPr>
            </w:r>
            <w:r>
              <w:rPr>
                <w:sz w:val="17"/>
              </w:rPr>
              <w:t>élevé</w:t>
            </w:r>
          </w:p>
        </w:tc>
      </w:tr>
      <w:tr>
        <w:tc>
          <w:tcPr>
            <w:tcW w:type="dxa" w:w="1728"/>
          </w:tcPr>
          <w:p>
            <w:r>
              <w:rPr>
                <w:sz w:val="17"/>
              </w:rPr>
            </w:r>
            <w:r>
              <w:rPr>
                <w:sz w:val="17"/>
              </w:rPr>
              <w:t>Enseignement, recherche et engagement</w:t>
            </w:r>
          </w:p>
        </w:tc>
        <w:tc>
          <w:tcPr>
            <w:tcW w:type="dxa" w:w="1728"/>
          </w:tcPr>
          <w:p>
            <w:r>
              <w:rPr>
                <w:sz w:val="17"/>
              </w:rPr>
            </w:r>
            <w:r>
              <w:rPr>
                <w:sz w:val="17"/>
              </w:rPr>
              <w:t>111,53</w:t>
            </w:r>
          </w:p>
        </w:tc>
        <w:tc>
          <w:tcPr>
            <w:tcW w:type="dxa" w:w="1728"/>
          </w:tcPr>
          <w:p>
            <w:r>
              <w:rPr>
                <w:sz w:val="17"/>
              </w:rPr>
            </w:r>
            <w:r>
              <w:rPr>
                <w:sz w:val="17"/>
              </w:rPr>
              <w:t>118</w:t>
            </w:r>
          </w:p>
        </w:tc>
        <w:tc>
          <w:tcPr>
            <w:tcW w:type="dxa" w:w="1728"/>
          </w:tcPr>
          <w:p>
            <w:r>
              <w:rPr>
                <w:sz w:val="17"/>
              </w:rPr>
            </w:r>
            <w:r>
              <w:rPr>
                <w:sz w:val="17"/>
              </w:rPr>
              <w:t>94,5 %</w:t>
            </w:r>
          </w:p>
        </w:tc>
        <w:tc>
          <w:tcPr>
            <w:tcW w:type="dxa" w:w="1728"/>
          </w:tcPr>
          <w:p>
            <w:r>
              <w:rPr>
                <w:sz w:val="17"/>
              </w:rPr>
            </w:r>
            <w:r>
              <w:rPr>
                <w:sz w:val="17"/>
              </w:rPr>
              <w:t>élevé</w:t>
            </w:r>
          </w:p>
        </w:tc>
      </w:tr>
    </w:tbl>
    <w:p/>
    <w:p>
      <w:pPr>
        <w:pStyle w:val="Heading1"/>
      </w:pPr>
      <w:r>
        <w:rPr>
          <w:color w:val="2F6F5E"/>
        </w:rPr>
        <w:t>L'organisation, son périmètre et ses effectifs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IntenseQuote"/>
      </w:pPr>
      <w:r>
        <w:rPr>
          <w:b/>
        </w:rPr>
        <w:t>Point de vigilance.</w:t>
      </w:r>
      <w:r>
        <w:t xml:space="preserve"> Le périmètre de Cork exclut ses sociétés filiales (logement étudiant notamment) : tout ratio par personne est biaisé et ne doit pas être comparé tel quel aux autres établissements.</w:t>
      </w:r>
    </w:p>
    <w:p>
      <w:r>
        <w:t>L'université obtient un score STARS global de 85,99.</w:t>
      </w:r>
    </w:p>
    <w:p>
      <w:r>
        <w:t>L'université fait partie de la National University of Ireland. Elle est située à Cork, en Irlande. L'université a un périmètre qui exclut ses sociétés filiales, notamment Campus Accommodation, le Mardyke Arena, le Centre des étudiants et l'Irish Management Institute (Dublin).</w:t>
      </w:r>
    </w:p>
    <w:p>
      <w:r>
        <w:t>L'université a mené une étape de mapping exhaustive pour identifier les parties responsables de chaque crédit. Des feuilles de calcul, des guides de crédit et des définitions ont été envoyés à chaque partie responsable et des réunions ont été tenues pour s'assurer de l'exactitude des données collectées.</w:t>
      </w:r>
    </w:p>
    <w:p>
      <w:r>
        <w:t>Des réunions régulières ont aussi eu lieu avec la fonction « Data and Institutional Research Officer » de l'université, et l'avancement de la collecte des données a été présenté régulièrement au sous-comité de l'équipe de direction sur la durabilité et l'action climatique.</w:t>
      </w:r>
    </w:p>
    <w:p>
      <w:r>
        <w:t>(GRI 2-1)</w:t>
      </w:r>
    </w:p>
    <w:p>
      <w:pPr>
        <w:pStyle w:val="Heading2"/>
      </w:pPr>
      <w:r>
        <w:rPr>
          <w:color w:val="2F6F5E"/>
        </w:rPr>
        <w:t>Limites et omissions</w:t>
      </w:r>
    </w:p>
    <w:p>
      <w:r>
        <w:t>Ce rapport ne peut pas établir la dénomination légale, le siège et les pays d'activité de l'université, car ces informations ne sont pas collectées par STARS. De même, ce rapport ne peut pas établir la période de reporting, la fréquence et le point de contact de l'université, car ces informations ne sont pas collectées par STARS. Enfin, ce rapport ne peut pas établir la vérification externe de l'université, car les données STARS sont autodéclarées et non vérifiées par l'AASHE.</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PA-12 Droits des salariés (3 sur 3).</w:t>
      </w:r>
    </w:p>
    <w:p>
      <w:pPr>
        <w:pStyle w:val="ListBullet"/>
      </w:pPr>
      <w:r>
        <w:rPr>
          <w:b/>
        </w:rPr>
        <w:t>Partiellement atteints</w:t>
      </w:r>
      <w:r>
        <w:t xml:space="preserve"> : aucun.</w:t>
      </w:r>
    </w:p>
    <w:p>
      <w:pPr>
        <w:pStyle w:val="ListBullet"/>
      </w:pPr>
      <w:r>
        <w:rPr>
          <w:b/>
        </w:rPr>
        <w:t>À améliorer</w:t>
      </w:r>
      <w:r>
        <w:t xml:space="preserve"> : aucun.</w:t>
      </w:r>
    </w:p>
    <w:p>
      <w:pPr>
        <w:pStyle w:val="Heading1"/>
      </w:pPr>
      <w:r>
        <w:rPr>
          <w:color w:val="2F6F5E"/>
        </w:rPr>
        <w:t>Thèmes matériels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PA-2 — Commitments and Planning</w:t>
            </w:r>
          </w:p>
        </w:tc>
        <w:tc>
          <w:tcPr>
            <w:tcW w:type="dxa" w:w="2880"/>
          </w:tcPr>
          <w:p>
            <w:r>
              <w:rPr>
                <w:sz w:val="17"/>
              </w:rPr>
            </w:r>
            <w:r>
              <w:rPr>
                <w:sz w:val="17"/>
              </w:rPr>
              <w:t>5,67 / 6</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r>
        <w:t>L'université obtient 5,67 points STARS sur 6 au crédit PA-2, niveau élevé. Le plan de durabilité et d'action climatique de l'université, qui débute en 2023, fixe plusieurs objectifs pour les opérations du campus : dépasser l'objectif national de baisse des émissions de scopes 1 et 2 (51 % d'ici 2030) et atteindre zéro émission nette d'ici 2040, adapter la gestion du patrimoine immobilier au changement climatique, faire du campus un laboratoire vivant de solutions climatiques, protéger les espaces verts et tester de nouvelles façons de réduire et de réutiliser les déchets.</w:t>
      </w:r>
    </w:p>
    <w:p>
      <w:r>
        <w:t>Le plan engage aussi l'université à aligner son programme de durabilité sur ses autres stratégies : engagement communautaire, égalité, diversité et inclusion (EDI), enseignement et apprentissage, et recherche.</w:t>
      </w:r>
    </w:p>
    <w:p>
      <w:r>
        <w:t>(GRI 3-2, GRI 3-3)</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PA-2 Engagements et planification (5,67 sur 6).</w:t>
      </w:r>
    </w:p>
    <w:p>
      <w:pPr>
        <w:pStyle w:val="ListBullet"/>
      </w:pPr>
      <w:r>
        <w:rPr>
          <w:b/>
        </w:rPr>
        <w:t>Partiellement atteints</w:t>
      </w:r>
      <w:r>
        <w:t xml:space="preserve"> : aucun.</w:t>
      </w:r>
    </w:p>
    <w:p>
      <w:pPr>
        <w:pStyle w:val="ListBullet"/>
      </w:pPr>
      <w:r>
        <w:rPr>
          <w:b/>
        </w:rPr>
        <w:t>À améliorer</w:t>
      </w:r>
      <w:r>
        <w:t xml:space="preserve"> : aucun.</w:t>
      </w:r>
    </w:p>
    <w:p>
      <w:pPr>
        <w:pStyle w:val="Heading1"/>
      </w:pPr>
      <w:r>
        <w:rPr>
          <w:color w:val="2F6F5E"/>
        </w:rPr>
        <w:t>Gouvernance</w:t>
      </w:r>
    </w:p>
    <w:p>
      <w:r>
        <w:rPr>
          <w:i/>
        </w:rPr>
        <w:t>Section à relire : le juge automatique n'a pas pu la valider entièrement (voir l'annexe « Validation du rapport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 — Sustainability Coordination</w:t>
            </w:r>
          </w:p>
        </w:tc>
        <w:tc>
          <w:tcPr>
            <w:tcW w:type="dxa" w:w="2880"/>
          </w:tcPr>
          <w:p>
            <w:r>
              <w:rPr>
                <w:sz w:val="17"/>
              </w:rPr>
            </w:r>
            <w:r>
              <w:rPr>
                <w:sz w:val="17"/>
              </w:rPr>
              <w:t>1 / 1</w:t>
            </w:r>
          </w:p>
        </w:tc>
        <w:tc>
          <w:tcPr>
            <w:tcW w:type="dxa" w:w="2880"/>
          </w:tcPr>
          <w:p>
            <w:r>
              <w:rPr>
                <w:sz w:val="17"/>
              </w:rPr>
            </w:r>
            <w:r>
              <w:rPr>
                <w:sz w:val="17"/>
              </w:rPr>
              <w:t>maximal (tous les points obtenus)</w:t>
            </w:r>
          </w:p>
        </w:tc>
      </w:tr>
      <w:tr>
        <w:tc>
          <w:tcPr>
            <w:tcW w:type="dxa" w:w="2880"/>
          </w:tcPr>
          <w:p>
            <w:r>
              <w:rPr>
                <w:sz w:val="17"/>
              </w:rPr>
            </w:r>
            <w:r>
              <w:rPr>
                <w:sz w:val="17"/>
              </w:rPr>
              <w:t>PA-3 — Institutional Governance</w:t>
            </w:r>
          </w:p>
        </w:tc>
        <w:tc>
          <w:tcPr>
            <w:tcW w:type="dxa" w:w="2880"/>
          </w:tcPr>
          <w:p>
            <w:r>
              <w:rPr>
                <w:sz w:val="17"/>
              </w:rPr>
            </w:r>
            <w:r>
              <w:rPr>
                <w:sz w:val="17"/>
              </w:rPr>
              <w:t>4 / 4</w:t>
            </w:r>
          </w:p>
        </w:tc>
        <w:tc>
          <w:tcPr>
            <w:tcW w:type="dxa" w:w="2880"/>
          </w:tcPr>
          <w:p>
            <w:r>
              <w:rPr>
                <w:sz w:val="17"/>
              </w:rPr>
            </w:r>
            <w:r>
              <w:rPr>
                <w:sz w:val="17"/>
              </w:rPr>
              <w:t>maximal (tous les points obtenus)</w:t>
            </w:r>
          </w:p>
        </w:tc>
      </w:tr>
      <w:tr>
        <w:tc>
          <w:tcPr>
            <w:tcW w:type="dxa" w:w="2880"/>
          </w:tcPr>
          <w:p>
            <w:r>
              <w:rPr>
                <w:sz w:val="17"/>
              </w:rPr>
            </w:r>
            <w:r>
              <w:rPr>
                <w:sz w:val="17"/>
              </w:rPr>
              <w:t>PA-4 — Sustainable Investment Program</w:t>
            </w:r>
          </w:p>
        </w:tc>
        <w:tc>
          <w:tcPr>
            <w:tcW w:type="dxa" w:w="2880"/>
          </w:tcPr>
          <w:p>
            <w:r>
              <w:rPr>
                <w:sz w:val="17"/>
              </w:rPr>
            </w:r>
            <w:r>
              <w:rPr>
                <w:sz w:val="17"/>
              </w:rPr>
              <w:t>3,33 / 4</w:t>
            </w:r>
          </w:p>
        </w:tc>
        <w:tc>
          <w:tcPr>
            <w:tcW w:type="dxa" w:w="2880"/>
          </w:tcPr>
          <w:p>
            <w:r>
              <w:rPr>
                <w:sz w:val="17"/>
              </w:rPr>
            </w:r>
            <w:r>
              <w:rPr>
                <w:sz w:val="17"/>
              </w:rPr>
              <w:t>élevé</w:t>
            </w:r>
          </w:p>
        </w:tc>
      </w:tr>
      <w:tr>
        <w:tc>
          <w:tcPr>
            <w:tcW w:type="dxa" w:w="2880"/>
          </w:tcPr>
          <w:p>
            <w:r>
              <w:rPr>
                <w:sz w:val="17"/>
              </w:rPr>
            </w:r>
            <w:r>
              <w:rPr>
                <w:sz w:val="17"/>
              </w:rPr>
              <w:t>PA-5 — Investment Holdings</w:t>
            </w:r>
          </w:p>
        </w:tc>
        <w:tc>
          <w:tcPr>
            <w:tcW w:type="dxa" w:w="2880"/>
          </w:tcPr>
          <w:p>
            <w:r>
              <w:rPr>
                <w:sz w:val="17"/>
              </w:rPr>
            </w:r>
            <w:r>
              <w:rPr>
                <w:sz w:val="17"/>
              </w:rPr>
              <w:t>1,93 / 3</w:t>
            </w:r>
          </w:p>
        </w:tc>
        <w:tc>
          <w:tcPr>
            <w:tcW w:type="dxa" w:w="2880"/>
          </w:tcPr>
          <w:p>
            <w:r>
              <w:rPr>
                <w:sz w:val="17"/>
              </w:rPr>
            </w:r>
            <w:r>
              <w:rPr>
                <w:sz w:val="17"/>
              </w:rPr>
              <w:t>intermédiaire</w:t>
            </w:r>
          </w:p>
        </w:tc>
      </w:tr>
    </w:tbl>
    <w:p/>
    <w:p>
      <w:r>
        <w:rPr>
          <w:i/>
        </w:rPr>
        <w:t>Valeurs insérées par le code depuis la table des faits ; le texte ci-dessous est rédigé par le modèle puis validé.</w:t>
      </w:r>
    </w:p>
    <w:p>
      <w:r>
        <w:t>Des membres de l'Union des étudiants et des représentants d'organisations externes siègent à l'autorité de gouvernance (Governing Authority), la plus haute instance de décision de l'université. (GRI 2-9)</w:t>
      </w:r>
    </w:p>
    <w:p>
      <w:r>
        <w:t>L'université a mis en place un office de durabilité et d'action climatique, dirigé par Dr Maria Kirrane (Head of Sustainability and Climate Action), qui coordonne également le Green Campus Committee, le Green Forum et le ULT Subcommittee on Sustainability and Climate Action. (PA-1)</w:t>
      </w:r>
    </w:p>
    <w:p>
      <w:r>
        <w:t>L'université a obtenu 4 points STARS sur 4 au crédit PA-3, niveau maximal.</w:t>
      </w:r>
    </w:p>
    <w:p>
      <w:r>
        <w:t>L'université est signataire des Principes pour l'investissement responsable des Nations unies (UN PRI) : elle s'est engagée à intégrer les questions ESG dans l'analyse et les décisions d'investissement et dans ses pratiques d'actionnaire, et son gestionnaire d'actifs réduit progressivement les placements dans les énergies fossiles. (PA-4)</w:t>
      </w:r>
    </w:p>
    <w:p>
      <w:r>
        <w:t>L'université a obtenu 3,33 points STARS sur 4 au crédit PA-4 (programme d'investissement durable), niveau élevé.</w:t>
      </w:r>
    </w:p>
    <w:p>
      <w:r>
        <w:t>L'université a également obtenu 1,93 point STARS sur 3 au crédit PA-5, niveau intermédiaire.</w:t>
      </w:r>
    </w:p>
    <w:p>
      <w:pPr>
        <w:pStyle w:val="Heading2"/>
      </w:pPr>
      <w:r>
        <w:rPr>
          <w:color w:val="2F6F5E"/>
        </w:rPr>
        <w:t>Limites et omissions</w:t>
      </w:r>
    </w:p>
    <w:p>
      <w:r>
        <w:t>Ce rapport ne peut pas établir si les responsables de la gestion des impacts rendent compte à l'organe de gouvernance, ni la plupart des informations des publications GRI 2-10 à GRI 2-21 (nomination, présidence, rémunération…), que STARS ne collecte pas ou seulement en partie (GRI 2-13).</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PA-1 Coordination de la durabilité (1 sur 1) ; PA-3 Gouvernance de l'établissement (4 sur 4) ; PA-4 Programme d'investissement durable (3,33 sur 4).</w:t>
      </w:r>
    </w:p>
    <w:p>
      <w:pPr>
        <w:pStyle w:val="ListBullet"/>
      </w:pPr>
      <w:r>
        <w:rPr>
          <w:b/>
        </w:rPr>
        <w:t>Partiellement atteints</w:t>
      </w:r>
      <w:r>
        <w:t xml:space="preserve"> : PA-5 Portefeuille d'investissements (1,93 sur 3).</w:t>
      </w:r>
    </w:p>
    <w:p>
      <w:pPr>
        <w:pStyle w:val="ListBullet"/>
      </w:pPr>
      <w:r>
        <w:rPr>
          <w:b/>
        </w:rPr>
        <w:t>À améliorer</w:t>
      </w:r>
      <w:r>
        <w:t xml:space="preserve"> : aucun.</w:t>
      </w:r>
    </w:p>
    <w:p>
      <w:pPr>
        <w:pStyle w:val="Heading1"/>
      </w:pPr>
      <w:r>
        <w:rPr>
          <w:color w:val="2F6F5E"/>
        </w:rPr>
        <w:t>Stratégie, politiques et pratiques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PA-2 — Commitments and Planning</w:t>
            </w:r>
          </w:p>
        </w:tc>
        <w:tc>
          <w:tcPr>
            <w:tcW w:type="dxa" w:w="2880"/>
          </w:tcPr>
          <w:p>
            <w:r>
              <w:rPr>
                <w:sz w:val="17"/>
              </w:rPr>
            </w:r>
            <w:r>
              <w:rPr>
                <w:sz w:val="17"/>
              </w:rPr>
              <w:t>5,67 / 6</w:t>
            </w:r>
          </w:p>
        </w:tc>
        <w:tc>
          <w:tcPr>
            <w:tcW w:type="dxa" w:w="2880"/>
          </w:tcPr>
          <w:p>
            <w:r>
              <w:rPr>
                <w:sz w:val="17"/>
              </w:rPr>
            </w:r>
            <w:r>
              <w:rPr>
                <w:sz w:val="17"/>
              </w:rPr>
              <w:t>élevé</w:t>
            </w:r>
          </w:p>
        </w:tc>
      </w:tr>
      <w:tr>
        <w:tc>
          <w:tcPr>
            <w:tcW w:type="dxa" w:w="2880"/>
          </w:tcPr>
          <w:p>
            <w:r>
              <w:rPr>
                <w:sz w:val="17"/>
              </w:rPr>
            </w:r>
            <w:r>
              <w:rPr>
                <w:sz w:val="17"/>
              </w:rPr>
              <w:t>PA-1 — Sustainability Coordination</w:t>
            </w:r>
          </w:p>
        </w:tc>
        <w:tc>
          <w:tcPr>
            <w:tcW w:type="dxa" w:w="2880"/>
          </w:tcPr>
          <w:p>
            <w:r>
              <w:rPr>
                <w:sz w:val="17"/>
              </w:rPr>
            </w:r>
            <w:r>
              <w:rPr>
                <w:sz w:val="17"/>
              </w:rPr>
              <w:t>1 / 1</w:t>
            </w:r>
          </w:p>
        </w:tc>
        <w:tc>
          <w:tcPr>
            <w:tcW w:type="dxa" w:w="2880"/>
          </w:tcPr>
          <w:p>
            <w:r>
              <w:rPr>
                <w:sz w:val="17"/>
              </w:rPr>
            </w:r>
            <w:r>
              <w:rPr>
                <w:sz w:val="17"/>
              </w:rPr>
              <w:t>maximal (tous les points obtenus)</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OP-9 — Sustainable Procurement System</w:t>
            </w:r>
          </w:p>
        </w:tc>
        <w:tc>
          <w:tcPr>
            <w:tcW w:type="dxa" w:w="2880"/>
          </w:tcPr>
          <w:p>
            <w:r>
              <w:rPr>
                <w:sz w:val="17"/>
              </w:rPr>
            </w:r>
            <w:r>
              <w:rPr>
                <w:sz w:val="17"/>
              </w:rPr>
              <w:t>2,15 / 7</w:t>
            </w:r>
          </w:p>
        </w:tc>
        <w:tc>
          <w:tcPr>
            <w:tcW w:type="dxa" w:w="2880"/>
          </w:tcPr>
          <w:p>
            <w:r>
              <w:rPr>
                <w:sz w:val="17"/>
              </w:rPr>
            </w:r>
            <w:r>
              <w:rPr>
                <w:sz w:val="17"/>
              </w:rPr>
              <w:t>faible</w:t>
            </w:r>
          </w:p>
        </w:tc>
      </w:tr>
      <w:tr>
        <w:tc>
          <w:tcPr>
            <w:tcW w:type="dxa" w:w="2880"/>
          </w:tcPr>
          <w:p>
            <w:r>
              <w:rPr>
                <w:sz w:val="17"/>
              </w:rPr>
            </w:r>
            <w:r>
              <w:rPr>
                <w:sz w:val="17"/>
              </w:rPr>
              <w:t>EN-3 — Staff Engagement and Training</w:t>
            </w:r>
          </w:p>
        </w:tc>
        <w:tc>
          <w:tcPr>
            <w:tcW w:type="dxa" w:w="2880"/>
          </w:tcPr>
          <w:p>
            <w:r>
              <w:rPr>
                <w:sz w:val="17"/>
              </w:rPr>
            </w:r>
            <w:r>
              <w:rPr>
                <w:sz w:val="17"/>
              </w:rPr>
              <w:t>8 / 8</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r>
        <w:t>Le plan de durabilité et d'action climatique de l'université (2023-2028) prolonge sa stratégie de durabilité de 2016 et guide ses actions en matière de durabilité. Ce plan engage l'université à aligner son programme de durabilité sur ses autres stratégies, notamment celles liées à la communauté, à l'égalité, à la diversité et à l'inclusion, à l'enseignement et à l'apprentissage, ainsi qu'à la recherche (5,67 points STARS sur 6 au crédit PA-2, niveau élevé).</w:t>
      </w:r>
    </w:p>
    <w:p>
      <w:r>
        <w:t>L'Office de la durabilité et de l'action climatique, rattaché au bureau de la présidence, coordonne les actions de durabilité de l'université ; il s'appuie sur le plan de durabilité et d'action climatique, élaboré après une large consultation du personnel et des étudiants (GRI 2-23).</w:t>
      </w:r>
    </w:p>
    <w:p>
      <w:r>
        <w:t>L'université a adopté des pratiques de durabilité dans ses achats, par exemple en 2024, 21 % des appels d'offres comportaient des spécifications de durabilité pour les fournisseurs et 54 % des conditions de durabilité pour les produits (GRI 2-28).</w:t>
      </w:r>
    </w:p>
    <w:p>
      <w:r>
        <w:t>En 2024, l'Office de la durabilité et de l'action climatique a créé, avec le Sustainability Institute and Academy, une formation au leadership climatique suivie par toute l'équipe de direction de l'université (GRI 2-25).</w:t>
      </w:r>
    </w:p>
    <w:p>
      <w:pPr>
        <w:pStyle w:val="Heading2"/>
      </w:pPr>
      <w:r>
        <w:rPr>
          <w:color w:val="2F6F5E"/>
        </w:rPr>
        <w:t>Limites et omissions</w:t>
      </w:r>
    </w:p>
    <w:p>
      <w:r>
        <w:t>Ce rapport ne peut pas établir si l'université a mis en place un mécanisme de demande de conseils et de signalement pour les parties prenantes autres que les salariés (GRI 2-26).</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PA-1 Coordination de la durabilité (1 sur 1) ; PA-12 Droits des salariés (3 sur 3) ; EN-3 Engagement et formation du personnel (8 sur 8) ; PA-2 Engagements et planification (5,67 sur 6).</w:t>
      </w:r>
    </w:p>
    <w:p>
      <w:pPr>
        <w:pStyle w:val="ListBullet"/>
      </w:pPr>
      <w:r>
        <w:rPr>
          <w:b/>
        </w:rPr>
        <w:t>Partiellement atteints</w:t>
      </w:r>
      <w:r>
        <w:t xml:space="preserve"> : aucun.</w:t>
      </w:r>
    </w:p>
    <w:p>
      <w:pPr>
        <w:pStyle w:val="ListBullet"/>
      </w:pPr>
      <w:r>
        <w:rPr>
          <w:b/>
        </w:rPr>
        <w:t>À améliorer</w:t>
      </w:r>
      <w:r>
        <w:t xml:space="preserve"> : OP-9 Système d'achats durables (2,15 sur 7).</w:t>
      </w:r>
    </w:p>
    <w:p>
      <w:pPr>
        <w:pStyle w:val="Heading1"/>
      </w:pPr>
      <w:r>
        <w:rPr>
          <w:color w:val="2F6F5E"/>
        </w:rPr>
        <w:t>Engagement des parties prenantes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PA-3 — Institutional Governance</w:t>
            </w:r>
          </w:p>
        </w:tc>
        <w:tc>
          <w:tcPr>
            <w:tcW w:type="dxa" w:w="2880"/>
          </w:tcPr>
          <w:p>
            <w:r>
              <w:rPr>
                <w:sz w:val="17"/>
              </w:rPr>
            </w:r>
            <w:r>
              <w:rPr>
                <w:sz w:val="17"/>
              </w:rPr>
              <w:t>4 / 4</w:t>
            </w:r>
          </w:p>
        </w:tc>
        <w:tc>
          <w:tcPr>
            <w:tcW w:type="dxa" w:w="2880"/>
          </w:tcPr>
          <w:p>
            <w:r>
              <w:rPr>
                <w:sz w:val="17"/>
              </w:rPr>
            </w:r>
            <w:r>
              <w:rPr>
                <w:sz w:val="17"/>
              </w:rPr>
              <w:t>maximal (tous les points obtenus)</w:t>
            </w:r>
          </w:p>
        </w:tc>
      </w:tr>
      <w:tr>
        <w:tc>
          <w:tcPr>
            <w:tcW w:type="dxa" w:w="2880"/>
          </w:tcPr>
          <w:p>
            <w:r>
              <w:rPr>
                <w:sz w:val="17"/>
              </w:rPr>
            </w:r>
            <w:r>
              <w:rPr>
                <w:sz w:val="17"/>
              </w:rPr>
              <w:t>EN-5 — Civic Engagement</w:t>
            </w:r>
          </w:p>
        </w:tc>
        <w:tc>
          <w:tcPr>
            <w:tcW w:type="dxa" w:w="2880"/>
          </w:tcPr>
          <w:p>
            <w:r>
              <w:rPr>
                <w:sz w:val="17"/>
              </w:rPr>
            </w:r>
            <w:r>
              <w:rPr>
                <w:sz w:val="17"/>
              </w:rPr>
              <w:t>7 / 8</w:t>
            </w:r>
          </w:p>
        </w:tc>
        <w:tc>
          <w:tcPr>
            <w:tcW w:type="dxa" w:w="2880"/>
          </w:tcPr>
          <w:p>
            <w:r>
              <w:rPr>
                <w:sz w:val="17"/>
              </w:rPr>
            </w:r>
            <w:r>
              <w:rPr>
                <w:sz w:val="17"/>
              </w:rPr>
              <w:t>élevé</w:t>
            </w:r>
          </w:p>
        </w:tc>
      </w:tr>
      <w:tr>
        <w:tc>
          <w:tcPr>
            <w:tcW w:type="dxa" w:w="2880"/>
          </w:tcPr>
          <w:p>
            <w:r>
              <w:rPr>
                <w:sz w:val="17"/>
              </w:rPr>
            </w:r>
            <w:r>
              <w:rPr>
                <w:sz w:val="17"/>
              </w:rPr>
              <w:t>EN-6 — Community Partnerships</w:t>
            </w:r>
          </w:p>
        </w:tc>
        <w:tc>
          <w:tcPr>
            <w:tcW w:type="dxa" w:w="2880"/>
          </w:tcPr>
          <w:p>
            <w:r>
              <w:rPr>
                <w:sz w:val="17"/>
              </w:rPr>
            </w:r>
            <w:r>
              <w:rPr>
                <w:sz w:val="17"/>
              </w:rPr>
              <w:t>8 / 9</w:t>
            </w:r>
          </w:p>
        </w:tc>
        <w:tc>
          <w:tcPr>
            <w:tcW w:type="dxa" w:w="2880"/>
          </w:tcPr>
          <w:p>
            <w:r>
              <w:rPr>
                <w:sz w:val="17"/>
              </w:rPr>
            </w:r>
            <w:r>
              <w:rPr>
                <w:sz w:val="17"/>
              </w:rPr>
              <w:t>élevé</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r>
        <w:t>L'université compte des représentants des étudiants au sein de son autorité de gouvernance, la plus haute instance décisionnelle de l'université (GRI 2-29). Le personnel non académique peut aussi participer à la gouvernance, notamment par le syndicat du personnel et par les sous-comités de l'équipe de direction, qui comptent tous des représentants de ce personnel (GRI 2-29).</w:t>
      </w:r>
    </w:p>
    <w:p>
      <w:r>
        <w:t>L'université a également établi des partenariats avec la communauté locale, comme en témoigne son engagement avec la ville de Cork dans le cadre du programme Mission City, visant à atteindre la neutralité carbone d'ici 2030 (GRI 2-29). L'université utilise également des outils de mesure pour capter et mesurer ses partenariats, comme le TEFCE, et a été classée dans le cadre de la classification Carnegie pour l'engagement communautaire (GRI 2-29).</w:t>
      </w:r>
    </w:p>
    <w:p>
      <w:r>
        <w:t>Dans le cadre du programme UNIC, l'université a créé l'Urban Climate Collab, un projet de recherche sur les collaborations entre universités et municipalités pour l'action climatique dans les villes (GRI 2-29). Pour le bénévolat suivi en ligne, les étudiants doivent consacrer un nombre minimum d'heures à une organisation communautaire et rédiger un rapport de réflexion (GRI 2-29).</w:t>
      </w:r>
    </w:p>
    <w:p>
      <w:r>
        <w:t>Enfin, la liberté d'association est rappelée comme un droit fondamental garanti par la Constitution irlandaise (GRI 2-29).</w:t>
      </w:r>
    </w:p>
    <w:p>
      <w:r>
        <w:t>(GRI 2-29)</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PA-3 Gouvernance de l'établissement (4 sur 4) ; PA-12 Droits des salariés (3 sur 3) ; EN-6 Partenariats avec la communauté (8 sur 9) ; EN-5 Engagement civique (7 sur 8).</w:t>
      </w:r>
    </w:p>
    <w:p>
      <w:pPr>
        <w:pStyle w:val="ListBullet"/>
      </w:pPr>
      <w:r>
        <w:rPr>
          <w:b/>
        </w:rPr>
        <w:t>Partiellement atteints</w:t>
      </w:r>
      <w:r>
        <w:t xml:space="preserve"> : aucun.</w:t>
      </w:r>
    </w:p>
    <w:p>
      <w:pPr>
        <w:pStyle w:val="ListBullet"/>
      </w:pPr>
      <w:r>
        <w:rPr>
          <w:b/>
        </w:rPr>
        <w:t>À améliorer</w:t>
      </w:r>
      <w:r>
        <w:t xml:space="preserve"> : aucun.</w:t>
      </w:r>
    </w:p>
    <w:p>
      <w:pPr>
        <w:pStyle w:val="Heading1"/>
      </w:pPr>
      <w:r>
        <w:rPr>
          <w:color w:val="2F6F5E"/>
        </w:rPr>
        <w:t>Performance environnementale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OP-5 — Energy Use</w:t>
            </w:r>
          </w:p>
        </w:tc>
        <w:tc>
          <w:tcPr>
            <w:tcW w:type="dxa" w:w="2880"/>
          </w:tcPr>
          <w:p>
            <w:r>
              <w:rPr>
                <w:sz w:val="17"/>
              </w:rPr>
            </w:r>
            <w:r>
              <w:rPr>
                <w:sz w:val="17"/>
              </w:rPr>
              <w:t>5,62 / 10</w:t>
            </w:r>
          </w:p>
        </w:tc>
        <w:tc>
          <w:tcPr>
            <w:tcW w:type="dxa" w:w="2880"/>
          </w:tcPr>
          <w:p>
            <w:r>
              <w:rPr>
                <w:sz w:val="17"/>
              </w:rPr>
            </w:r>
            <w:r>
              <w:rPr>
                <w:sz w:val="17"/>
              </w:rPr>
              <w:t>intermédiaire</w:t>
            </w:r>
          </w:p>
        </w:tc>
      </w:tr>
      <w:tr>
        <w:tc>
          <w:tcPr>
            <w:tcW w:type="dxa" w:w="2880"/>
          </w:tcPr>
          <w:p>
            <w:r>
              <w:rPr>
                <w:sz w:val="17"/>
              </w:rPr>
            </w:r>
            <w:r>
              <w:rPr>
                <w:sz w:val="17"/>
              </w:rPr>
              <w:t>OP-6 — Greenhouse Gas Emissions</w:t>
            </w:r>
          </w:p>
        </w:tc>
        <w:tc>
          <w:tcPr>
            <w:tcW w:type="dxa" w:w="2880"/>
          </w:tcPr>
          <w:p>
            <w:r>
              <w:rPr>
                <w:sz w:val="17"/>
              </w:rPr>
            </w:r>
            <w:r>
              <w:rPr>
                <w:sz w:val="17"/>
              </w:rPr>
              <w:t>10,63 / 16</w:t>
            </w:r>
          </w:p>
        </w:tc>
        <w:tc>
          <w:tcPr>
            <w:tcW w:type="dxa" w:w="2880"/>
          </w:tcPr>
          <w:p>
            <w:r>
              <w:rPr>
                <w:sz w:val="17"/>
              </w:rPr>
            </w:r>
            <w:r>
              <w:rPr>
                <w:sz w:val="17"/>
              </w:rPr>
              <w:t>intermédiaire</w:t>
            </w:r>
          </w:p>
        </w:tc>
      </w:tr>
      <w:tr>
        <w:tc>
          <w:tcPr>
            <w:tcW w:type="dxa" w:w="2880"/>
          </w:tcPr>
          <w:p>
            <w:r>
              <w:rPr>
                <w:sz w:val="17"/>
              </w:rPr>
            </w:r>
            <w:r>
              <w:rPr>
                <w:sz w:val="17"/>
              </w:rPr>
              <w:t>OP-3 — Water Use</w:t>
            </w:r>
          </w:p>
        </w:tc>
        <w:tc>
          <w:tcPr>
            <w:tcW w:type="dxa" w:w="2880"/>
          </w:tcPr>
          <w:p>
            <w:r>
              <w:rPr>
                <w:sz w:val="17"/>
              </w:rPr>
            </w:r>
            <w:r>
              <w:rPr>
                <w:sz w:val="17"/>
              </w:rPr>
              <w:t>4,67 / 6</w:t>
            </w:r>
          </w:p>
        </w:tc>
        <w:tc>
          <w:tcPr>
            <w:tcW w:type="dxa" w:w="2880"/>
          </w:tcPr>
          <w:p>
            <w:r>
              <w:rPr>
                <w:sz w:val="17"/>
              </w:rPr>
            </w:r>
            <w:r>
              <w:rPr>
                <w:sz w:val="17"/>
              </w:rPr>
              <w:t>élevé</w:t>
            </w:r>
          </w:p>
        </w:tc>
      </w:tr>
      <w:tr>
        <w:tc>
          <w:tcPr>
            <w:tcW w:type="dxa" w:w="2880"/>
          </w:tcPr>
          <w:p>
            <w:r>
              <w:rPr>
                <w:sz w:val="17"/>
              </w:rPr>
            </w:r>
            <w:r>
              <w:rPr>
                <w:sz w:val="17"/>
              </w:rPr>
              <w:t>OP-12 — Waste Generation and Recovery</w:t>
            </w:r>
          </w:p>
        </w:tc>
        <w:tc>
          <w:tcPr>
            <w:tcW w:type="dxa" w:w="2880"/>
          </w:tcPr>
          <w:p>
            <w:r>
              <w:rPr>
                <w:sz w:val="17"/>
              </w:rPr>
            </w:r>
            <w:r>
              <w:rPr>
                <w:sz w:val="17"/>
              </w:rPr>
              <w:t>3,99 / 5</w:t>
            </w:r>
          </w:p>
        </w:tc>
        <w:tc>
          <w:tcPr>
            <w:tcW w:type="dxa" w:w="2880"/>
          </w:tcPr>
          <w:p>
            <w:r>
              <w:rPr>
                <w:sz w:val="17"/>
              </w:rPr>
            </w:r>
            <w:r>
              <w:rPr>
                <w:sz w:val="17"/>
              </w:rPr>
              <w:t>élevé</w:t>
            </w:r>
          </w:p>
        </w:tc>
      </w:tr>
      <w:tr>
        <w:tc>
          <w:tcPr>
            <w:tcW w:type="dxa" w:w="2880"/>
          </w:tcPr>
          <w:p>
            <w:r>
              <w:rPr>
                <w:sz w:val="17"/>
              </w:rPr>
            </w:r>
            <w:r>
              <w:rPr>
                <w:sz w:val="17"/>
              </w:rPr>
              <w:t>OP-11 — Materials Management</w:t>
            </w:r>
          </w:p>
        </w:tc>
        <w:tc>
          <w:tcPr>
            <w:tcW w:type="dxa" w:w="2880"/>
          </w:tcPr>
          <w:p>
            <w:r>
              <w:rPr>
                <w:sz w:val="17"/>
              </w:rPr>
            </w:r>
            <w:r>
              <w:rPr>
                <w:sz w:val="17"/>
              </w:rPr>
              <w:t>3 / 4</w:t>
            </w:r>
          </w:p>
        </w:tc>
        <w:tc>
          <w:tcPr>
            <w:tcW w:type="dxa" w:w="2880"/>
          </w:tcPr>
          <w:p>
            <w:r>
              <w:rPr>
                <w:sz w:val="17"/>
              </w:rPr>
            </w:r>
            <w:r>
              <w:rPr>
                <w:sz w:val="17"/>
              </w:rPr>
              <w:t>élevé</w:t>
            </w:r>
          </w:p>
        </w:tc>
      </w:tr>
      <w:tr>
        <w:tc>
          <w:tcPr>
            <w:tcW w:type="dxa" w:w="2880"/>
          </w:tcPr>
          <w:p>
            <w:r>
              <w:rPr>
                <w:sz w:val="17"/>
              </w:rPr>
            </w:r>
            <w:r>
              <w:rPr>
                <w:sz w:val="17"/>
              </w:rPr>
              <w:t>OP-9 — Sustainable Procurement System</w:t>
            </w:r>
          </w:p>
        </w:tc>
        <w:tc>
          <w:tcPr>
            <w:tcW w:type="dxa" w:w="2880"/>
          </w:tcPr>
          <w:p>
            <w:r>
              <w:rPr>
                <w:sz w:val="17"/>
              </w:rPr>
            </w:r>
            <w:r>
              <w:rPr>
                <w:sz w:val="17"/>
              </w:rPr>
              <w:t>2,15 / 7</w:t>
            </w:r>
          </w:p>
        </w:tc>
        <w:tc>
          <w:tcPr>
            <w:tcW w:type="dxa" w:w="2880"/>
          </w:tcPr>
          <w:p>
            <w:r>
              <w:rPr>
                <w:sz w:val="17"/>
              </w:rPr>
            </w:r>
            <w:r>
              <w:rPr>
                <w:sz w:val="17"/>
              </w:rPr>
              <w:t>faible</w:t>
            </w:r>
          </w:p>
        </w:tc>
      </w:tr>
      <w:tr>
        <w:tc>
          <w:tcPr>
            <w:tcW w:type="dxa" w:w="2880"/>
          </w:tcPr>
          <w:p>
            <w:r>
              <w:rPr>
                <w:sz w:val="17"/>
              </w:rPr>
            </w:r>
            <w:r>
              <w:rPr>
                <w:sz w:val="17"/>
              </w:rPr>
              <w:t>OP-10 — Purchased Goods</w:t>
            </w:r>
          </w:p>
        </w:tc>
        <w:tc>
          <w:tcPr>
            <w:tcW w:type="dxa" w:w="2880"/>
          </w:tcPr>
          <w:p>
            <w:r>
              <w:rPr>
                <w:sz w:val="17"/>
              </w:rPr>
            </w:r>
            <w:r>
              <w:rPr>
                <w:sz w:val="17"/>
              </w:rPr>
              <w:t>1,13 / 4</w:t>
            </w:r>
          </w:p>
        </w:tc>
        <w:tc>
          <w:tcPr>
            <w:tcW w:type="dxa" w:w="2880"/>
          </w:tcPr>
          <w:p>
            <w:r>
              <w:rPr>
                <w:sz w:val="17"/>
              </w:rPr>
            </w:r>
            <w:r>
              <w:rPr>
                <w:sz w:val="17"/>
              </w:rPr>
              <w:t>faible</w:t>
            </w:r>
          </w:p>
        </w:tc>
      </w:tr>
      <w:tr>
        <w:tc>
          <w:tcPr>
            <w:tcW w:type="dxa" w:w="2880"/>
          </w:tcPr>
          <w:p>
            <w:r>
              <w:rPr>
                <w:sz w:val="17"/>
              </w:rPr>
            </w:r>
            <w:r>
              <w:rPr>
                <w:sz w:val="17"/>
              </w:rPr>
              <w:t>OP-1 — Building Design and Construction</w:t>
            </w:r>
          </w:p>
        </w:tc>
        <w:tc>
          <w:tcPr>
            <w:tcW w:type="dxa" w:w="2880"/>
          </w:tcPr>
          <w:p>
            <w:r>
              <w:rPr>
                <w:sz w:val="17"/>
              </w:rPr>
            </w:r>
            <w:r>
              <w:rPr>
                <w:sz w:val="17"/>
              </w:rPr>
              <w:t>2,95 / 3</w:t>
            </w:r>
          </w:p>
        </w:tc>
        <w:tc>
          <w:tcPr>
            <w:tcW w:type="dxa" w:w="2880"/>
          </w:tcPr>
          <w:p>
            <w:r>
              <w:rPr>
                <w:sz w:val="17"/>
              </w:rPr>
            </w:r>
            <w:r>
              <w:rPr>
                <w:sz w:val="17"/>
              </w:rPr>
              <w:t>élevé</w:t>
            </w:r>
          </w:p>
        </w:tc>
      </w:tr>
      <w:tr>
        <w:tc>
          <w:tcPr>
            <w:tcW w:type="dxa" w:w="2880"/>
          </w:tcPr>
          <w:p>
            <w:r>
              <w:rPr>
                <w:sz w:val="17"/>
              </w:rPr>
            </w:r>
            <w:r>
              <w:rPr>
                <w:sz w:val="17"/>
              </w:rPr>
              <w:t>OP-2 — Building Operations and Maintenance</w:t>
            </w:r>
          </w:p>
        </w:tc>
        <w:tc>
          <w:tcPr>
            <w:tcW w:type="dxa" w:w="2880"/>
          </w:tcPr>
          <w:p>
            <w:r>
              <w:rPr>
                <w:sz w:val="17"/>
              </w:rPr>
            </w:r>
            <w:r>
              <w:rPr>
                <w:sz w:val="17"/>
              </w:rPr>
              <w:t>2,08 / 5</w:t>
            </w:r>
          </w:p>
        </w:tc>
        <w:tc>
          <w:tcPr>
            <w:tcW w:type="dxa" w:w="2880"/>
          </w:tcPr>
          <w:p>
            <w:r>
              <w:rPr>
                <w:sz w:val="17"/>
              </w:rPr>
            </w:r>
            <w:r>
              <w:rPr>
                <w:sz w:val="17"/>
              </w:rPr>
              <w:t>intermédiaire</w:t>
            </w:r>
          </w:p>
        </w:tc>
      </w:tr>
      <w:tr>
        <w:tc>
          <w:tcPr>
            <w:tcW w:type="dxa" w:w="2880"/>
          </w:tcPr>
          <w:p>
            <w:r>
              <w:rPr>
                <w:sz w:val="17"/>
              </w:rPr>
            </w:r>
            <w:r>
              <w:rPr>
                <w:sz w:val="17"/>
              </w:rPr>
              <w:t>OP-13 — Vehicle Fleet</w:t>
            </w:r>
          </w:p>
        </w:tc>
        <w:tc>
          <w:tcPr>
            <w:tcW w:type="dxa" w:w="2880"/>
          </w:tcPr>
          <w:p>
            <w:r>
              <w:rPr>
                <w:sz w:val="17"/>
              </w:rPr>
            </w:r>
            <w:r>
              <w:rPr>
                <w:sz w:val="17"/>
              </w:rPr>
              <w:t>0,67 / 2</w:t>
            </w:r>
          </w:p>
        </w:tc>
        <w:tc>
          <w:tcPr>
            <w:tcW w:type="dxa" w:w="2880"/>
          </w:tcPr>
          <w:p>
            <w:r>
              <w:rPr>
                <w:sz w:val="17"/>
              </w:rPr>
            </w:r>
            <w:r>
              <w:rPr>
                <w:sz w:val="17"/>
              </w:rPr>
              <w:t>faible</w:t>
            </w:r>
          </w:p>
        </w:tc>
      </w:tr>
      <w:tr>
        <w:tc>
          <w:tcPr>
            <w:tcW w:type="dxa" w:w="2880"/>
          </w:tcPr>
          <w:p>
            <w:r>
              <w:rPr>
                <w:sz w:val="17"/>
              </w:rPr>
            </w:r>
            <w:r>
              <w:rPr>
                <w:sz w:val="17"/>
              </w:rPr>
              <w:t>OP-14 — Commute Modal Split</w:t>
            </w:r>
          </w:p>
        </w:tc>
        <w:tc>
          <w:tcPr>
            <w:tcW w:type="dxa" w:w="2880"/>
          </w:tcPr>
          <w:p>
            <w:r>
              <w:rPr>
                <w:sz w:val="17"/>
              </w:rPr>
            </w:r>
            <w:r>
              <w:rPr>
                <w:sz w:val="17"/>
              </w:rPr>
              <w:t>4,83 / 6</w:t>
            </w:r>
          </w:p>
        </w:tc>
        <w:tc>
          <w:tcPr>
            <w:tcW w:type="dxa" w:w="2880"/>
          </w:tcPr>
          <w:p>
            <w:r>
              <w:rPr>
                <w:sz w:val="17"/>
              </w:rPr>
            </w:r>
            <w:r>
              <w:rPr>
                <w:sz w:val="17"/>
              </w:rPr>
              <w:t>élevé</w:t>
            </w:r>
          </w:p>
        </w:tc>
      </w:tr>
      <w:tr>
        <w:tc>
          <w:tcPr>
            <w:tcW w:type="dxa" w:w="2880"/>
          </w:tcPr>
          <w:p>
            <w:r>
              <w:rPr>
                <w:sz w:val="17"/>
              </w:rPr>
            </w:r>
            <w:r>
              <w:rPr>
                <w:sz w:val="17"/>
              </w:rPr>
              <w:t>OP-15 — Air Travel</w:t>
            </w:r>
          </w:p>
        </w:tc>
        <w:tc>
          <w:tcPr>
            <w:tcW w:type="dxa" w:w="2880"/>
          </w:tcPr>
          <w:p>
            <w:r>
              <w:rPr>
                <w:sz w:val="17"/>
              </w:rPr>
            </w:r>
            <w:r>
              <w:rPr>
                <w:sz w:val="17"/>
              </w:rPr>
              <w:t>0 / 2</w:t>
            </w:r>
          </w:p>
        </w:tc>
        <w:tc>
          <w:tcPr>
            <w:tcW w:type="dxa" w:w="2880"/>
          </w:tcPr>
          <w:p>
            <w:r>
              <w:rPr>
                <w:sz w:val="17"/>
              </w:rPr>
            </w:r>
            <w:r>
              <w:rPr>
                <w:sz w:val="17"/>
              </w:rPr>
              <w:t>nul (aucun point obtenu)</w:t>
            </w:r>
          </w:p>
        </w:tc>
      </w:tr>
      <w:tr>
        <w:tc>
          <w:tcPr>
            <w:tcW w:type="dxa" w:w="2880"/>
          </w:tcPr>
          <w:p>
            <w:r>
              <w:rPr>
                <w:sz w:val="17"/>
              </w:rPr>
            </w:r>
            <w:r>
              <w:rPr>
                <w:sz w:val="17"/>
              </w:rPr>
              <w:t>OP-4 — Ecologically Managed Grounds</w:t>
            </w:r>
          </w:p>
        </w:tc>
        <w:tc>
          <w:tcPr>
            <w:tcW w:type="dxa" w:w="2880"/>
          </w:tcPr>
          <w:p>
            <w:r>
              <w:rPr>
                <w:sz w:val="17"/>
              </w:rPr>
            </w:r>
            <w:r>
              <w:rPr>
                <w:sz w:val="17"/>
              </w:rPr>
              <w:t>4,06 / 5</w:t>
            </w:r>
          </w:p>
        </w:tc>
        <w:tc>
          <w:tcPr>
            <w:tcW w:type="dxa" w:w="2880"/>
          </w:tcPr>
          <w:p>
            <w:r>
              <w:rPr>
                <w:sz w:val="17"/>
              </w:rPr>
            </w:r>
            <w:r>
              <w:rPr>
                <w:sz w:val="17"/>
              </w:rPr>
              <w:t>élevé</w:t>
            </w:r>
          </w:p>
        </w:tc>
      </w:tr>
      <w:tr>
        <w:tc>
          <w:tcPr>
            <w:tcW w:type="dxa" w:w="2880"/>
          </w:tcPr>
          <w:p>
            <w:r>
              <w:rPr>
                <w:sz w:val="17"/>
              </w:rPr>
            </w:r>
            <w:r>
              <w:rPr>
                <w:sz w:val="17"/>
              </w:rPr>
              <w:t>IL-24 — Biodiversity Assessment</w:t>
            </w:r>
          </w:p>
        </w:tc>
        <w:tc>
          <w:tcPr>
            <w:tcW w:type="dxa" w:w="2880"/>
          </w:tcPr>
          <w:p>
            <w:r>
              <w:rPr>
                <w:sz w:val="17"/>
              </w:rPr>
            </w:r>
            <w:r>
              <w:rPr>
                <w:sz w:val="17"/>
              </w:rPr>
              <w:t>1 / 1</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r>
        <w:t>L'université a électrifié son matériel d'entretien des espaces verts (tondeuses, débroussailleuses) et met une petite flotte de vélos électriques à la disposition du personnel technique (OP-13). Ses émissions de gaz à effet de serre sont calculées par le prestataire Sustineo selon le GHG Protocol et la norme ISO 14064-1, d'abord à partir des dépenses, puis à partir de données primaires (GRI 305-1). Le rapport STARS indique que l'université a obtenu 10,63 points STARS sur 16 au crédit OP-6, niveau intermédiaire.</w:t>
      </w:r>
    </w:p>
    <w:p>
      <w:r>
        <w:t>En 2024, 21 % des appels d'offres comportaient des spécifications de durabilité pour les fournisseurs et 54 % des conditions de durabilité pour les produits ; en moyenne, 5 % des points d'évaluation portent sur la durabilité (GRI 308-1). Le rapport STARS indique que l'université a obtenu 2,15 points STARS sur 7 au crédit OP-9, niveau faible.</w:t>
      </w:r>
    </w:p>
    <w:p>
      <w:r>
        <w:t>Les données sur les déchets non dangereux sont collectées par le prestataire Panda ; l'université participe au programme national de recyclage des équipements électriques et électroniques (WEEE), avec des bacs sur le campus et des bacs à piles à la bibliothèque (GRI 306-2). Le rapport STARS indique que l'université a obtenu 3,99 points STARS sur 5 au crédit OP-12 (production et valorisation des déchets), niveau élevé.</w:t>
      </w:r>
    </w:p>
    <w:p>
      <w:r>
        <w:t>Le bâtiment Beaufort récupère l'eau de pluie, et dans le bâtiment Western Gateway, l'eau rejetée par la pompe à chaleur géothermique remplit les réservoirs des chasses d'eau (GRI 303-1). Le rapport STARS indique que l'université a obtenu 4,67 points STARS sur 6 au crédit OP-3, niveau élevé.</w:t>
      </w:r>
    </w:p>
    <w:p>
      <w:r>
        <w:t>Une partie de l'électricité de l'université est d'origine éolienne, fournie par son fournisseur d'énergie sous contrat (GRI 302-1). Le rapport STARS indique que l'université a obtenu 5,62 points STARS sur 10 au crédit OP-5, niveau intermédiaire.</w:t>
      </w:r>
    </w:p>
    <w:p>
      <w:pPr>
        <w:pStyle w:val="Heading2"/>
      </w:pPr>
      <w:r>
        <w:rPr>
          <w:color w:val="2F6F5E"/>
        </w:rPr>
        <w:t>Limites et omissions</w:t>
      </w:r>
    </w:p>
    <w:p>
      <w:r>
        <w:t>Ce rapport ne peut pas établir les émissions de gaz à effet de serre liées à l'énergie (GRI 305-2) ni les autres émissions indirectes (GRI 305-3) : les valeurs détaillées de STARS n'ont pas été extraites. Les impacts sur la biodiversité (GRI 101-2, GRI 101-4, GRI 101-5) ne sont couverts qu'en partie : l'évaluation de la biodiversité du campus identifie les habitats et les espèces et comprend un plan d'action pour leur gestion (IL-24).</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IL-24 Évaluation de la biodiversité (1 sur 1) ; OP-1 Conception et construction des bâtiments (2,95 sur 3) ; OP-4 Gestion écologique des espaces verts (4,06 sur 5) ; OP-14 Modes de déplacement domicile-campus (4,83 sur 6) ; OP-12 Production et valorisation des déchets (3,99 sur 5) ; OP-3 Consommation d'eau (4,67 sur 6) ; OP-11 Gestion des matériaux (3 sur 4).</w:t>
      </w:r>
    </w:p>
    <w:p>
      <w:pPr>
        <w:pStyle w:val="ListBullet"/>
      </w:pPr>
      <w:r>
        <w:rPr>
          <w:b/>
        </w:rPr>
        <w:t>Partiellement atteints</w:t>
      </w:r>
      <w:r>
        <w:t xml:space="preserve"> : OP-6 Émissions de gaz à effet de serre (10,63 sur 16) ; OP-5 Consommation d'énergie (5,62 sur 10) ; OP-2 Exploitation et maintenance des bâtiments (2,08 sur 5).</w:t>
      </w:r>
    </w:p>
    <w:p>
      <w:pPr>
        <w:pStyle w:val="ListBullet"/>
      </w:pPr>
      <w:r>
        <w:rPr>
          <w:b/>
        </w:rPr>
        <w:t>À améliorer</w:t>
      </w:r>
      <w:r>
        <w:t xml:space="preserve"> : OP-15 Voyages en avion (0 sur 2) ; OP-10 Biens achetés (1,13 sur 4) ; OP-9 Système d'achats durables (2,15 sur 7) ; OP-13 Flotte de véhicules (0,67 sur 2).</w:t>
      </w:r>
    </w:p>
    <w:p>
      <w:pPr>
        <w:pStyle w:val="Heading1"/>
      </w:pPr>
      <w:r>
        <w:rPr>
          <w:color w:val="2F6F5E"/>
        </w:rPr>
        <w:t>Performance sociale et économique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PA-13 — Pay Equity and Living Wage</w:t>
            </w:r>
          </w:p>
        </w:tc>
        <w:tc>
          <w:tcPr>
            <w:tcW w:type="dxa" w:w="2880"/>
          </w:tcPr>
          <w:p>
            <w:r>
              <w:rPr>
                <w:sz w:val="17"/>
              </w:rPr>
            </w:r>
            <w:r>
              <w:rPr>
                <w:sz w:val="17"/>
              </w:rPr>
              <w:t>3,8 / 5</w:t>
            </w:r>
          </w:p>
        </w:tc>
        <w:tc>
          <w:tcPr>
            <w:tcW w:type="dxa" w:w="2880"/>
          </w:tcPr>
          <w:p>
            <w:r>
              <w:rPr>
                <w:sz w:val="17"/>
              </w:rPr>
            </w:r>
            <w:r>
              <w:rPr>
                <w:sz w:val="17"/>
              </w:rPr>
              <w:t>élevé</w:t>
            </w:r>
          </w:p>
        </w:tc>
      </w:tr>
      <w:tr>
        <w:tc>
          <w:tcPr>
            <w:tcW w:type="dxa" w:w="2880"/>
          </w:tcPr>
          <w:p>
            <w:r>
              <w:rPr>
                <w:sz w:val="17"/>
              </w:rPr>
            </w:r>
            <w:r>
              <w:rPr>
                <w:sz w:val="17"/>
              </w:rPr>
              <w:t>PA-12 — Employee Rights</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PA-11 — Health, Safety and Wellbeing</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PA-8 — Gender Parity</w:t>
            </w:r>
          </w:p>
        </w:tc>
        <w:tc>
          <w:tcPr>
            <w:tcW w:type="dxa" w:w="2880"/>
          </w:tcPr>
          <w:p>
            <w:r>
              <w:rPr>
                <w:sz w:val="17"/>
              </w:rPr>
            </w:r>
            <w:r>
              <w:rPr>
                <w:sz w:val="17"/>
              </w:rPr>
              <w:t>2 / 2</w:t>
            </w:r>
          </w:p>
        </w:tc>
        <w:tc>
          <w:tcPr>
            <w:tcW w:type="dxa" w:w="2880"/>
          </w:tcPr>
          <w:p>
            <w:r>
              <w:rPr>
                <w:sz w:val="17"/>
              </w:rPr>
            </w:r>
            <w:r>
              <w:rPr>
                <w:sz w:val="17"/>
              </w:rPr>
              <w:t>maximal (tous les points obtenus)</w:t>
            </w:r>
          </w:p>
        </w:tc>
      </w:tr>
      <w:tr>
        <w:tc>
          <w:tcPr>
            <w:tcW w:type="dxa" w:w="2880"/>
          </w:tcPr>
          <w:p>
            <w:r>
              <w:rPr>
                <w:sz w:val="17"/>
              </w:rPr>
            </w:r>
            <w:r>
              <w:rPr>
                <w:sz w:val="17"/>
              </w:rPr>
              <w:t>PA-7 — Racial and Ethnic Representation</w:t>
            </w:r>
          </w:p>
        </w:tc>
        <w:tc>
          <w:tcPr>
            <w:tcW w:type="dxa" w:w="2880"/>
          </w:tcPr>
          <w:p>
            <w:r>
              <w:rPr>
                <w:sz w:val="17"/>
              </w:rPr>
            </w:r>
            <w:r>
              <w:rPr>
                <w:sz w:val="17"/>
              </w:rPr>
              <w:t>1,2 / 3</w:t>
            </w:r>
          </w:p>
        </w:tc>
        <w:tc>
          <w:tcPr>
            <w:tcW w:type="dxa" w:w="2880"/>
          </w:tcPr>
          <w:p>
            <w:r>
              <w:rPr>
                <w:sz w:val="17"/>
              </w:rPr>
            </w:r>
            <w:r>
              <w:rPr>
                <w:sz w:val="17"/>
              </w:rPr>
              <w:t>faible</w:t>
            </w:r>
          </w:p>
        </w:tc>
      </w:tr>
      <w:tr>
        <w:tc>
          <w:tcPr>
            <w:tcW w:type="dxa" w:w="2880"/>
          </w:tcPr>
          <w:p>
            <w:r>
              <w:rPr>
                <w:sz w:val="17"/>
              </w:rPr>
            </w:r>
            <w:r>
              <w:rPr>
                <w:sz w:val="17"/>
              </w:rPr>
              <w:t>PA-9 — Affordability and Access</w:t>
            </w:r>
          </w:p>
        </w:tc>
        <w:tc>
          <w:tcPr>
            <w:tcW w:type="dxa" w:w="2880"/>
          </w:tcPr>
          <w:p>
            <w:r>
              <w:rPr>
                <w:sz w:val="17"/>
              </w:rPr>
            </w:r>
            <w:r>
              <w:rPr>
                <w:sz w:val="17"/>
              </w:rPr>
              <w:t>2 / 3</w:t>
            </w:r>
          </w:p>
        </w:tc>
        <w:tc>
          <w:tcPr>
            <w:tcW w:type="dxa" w:w="2880"/>
          </w:tcPr>
          <w:p>
            <w:r>
              <w:rPr>
                <w:sz w:val="17"/>
              </w:rPr>
            </w:r>
            <w:r>
              <w:rPr>
                <w:sz w:val="17"/>
              </w:rPr>
              <w:t>intermédiaire</w:t>
            </w:r>
          </w:p>
        </w:tc>
      </w:tr>
      <w:tr>
        <w:tc>
          <w:tcPr>
            <w:tcW w:type="dxa" w:w="2880"/>
          </w:tcPr>
          <w:p>
            <w:r>
              <w:rPr>
                <w:sz w:val="17"/>
              </w:rPr>
            </w:r>
            <w:r>
              <w:rPr>
                <w:sz w:val="17"/>
              </w:rPr>
              <w:t>PA-6 — Institutional Climate</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PA-10 — Student Success</w:t>
            </w:r>
          </w:p>
        </w:tc>
        <w:tc>
          <w:tcPr>
            <w:tcW w:type="dxa" w:w="2880"/>
          </w:tcPr>
          <w:p>
            <w:r>
              <w:rPr>
                <w:sz w:val="17"/>
              </w:rPr>
            </w:r>
            <w:r>
              <w:rPr>
                <w:sz w:val="17"/>
              </w:rPr>
              <w:t>2,5 / 3</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r>
        <w:t>L'université obtient 3,8 points STARS sur 5 au crédit PA-13, niveau élevé. Les données de rémunération couvrent tous les employés à temps plein, à temps partiel et temporaires payés au cours de l'année précédant la date de référence (fin juin 2025) ; les personnes en congé non rémunéré sont exclues.</w:t>
      </w:r>
    </w:p>
    <w:p>
      <w:r>
        <w:t>L'université obtient 3 points STARS sur 3 au crédit PA-12, niveau maximal. Les différents types de congés sont ouverts à tout le personnel, quel que soit le genre, et le congé de maternité peut être rémunéré par le ministère de la Protection sociale et/ou par l'université.</w:t>
      </w:r>
    </w:p>
    <w:p>
      <w:r>
        <w:t>L'université obtient 3 points STARS sur 3 au crédit PA-11, niveau maximal. Les services de santé et de bien-être sont fournis aux employés, notamment à travers le portail Spectrum Life, qui propose des ressources pour la santé mentale, la nutrition et l'exercice.</w:t>
      </w:r>
    </w:p>
    <w:p>
      <w:r>
        <w:t>L'université obtient 2 points STARS sur 2 au crédit PA-8, niveau maximal. L'université publie chaque année son écart de rémunération entre femmes et hommes, comme la loi l'y oblige, et suit la part des femmes dans toutes ses instances de décision (comparaison entre décembre 2024 et décembre 2025).</w:t>
      </w:r>
    </w:p>
    <w:p>
      <w:r>
        <w:t>L'université obtient 1,2 point STARS sur 3 au crédit PA-7, niveau faible.</w:t>
      </w:r>
    </w:p>
    <w:p>
      <w:r>
        <w:t>L'université obtient 2 points STARS sur 3 au crédit PA-9, niveau intermédiaire. L'université applique le National Access Plan (2022-2028) pour l'égalité d'accès des groupes sous-représentés : tous les programmes de premier cycle réservent des places aux voies d'accès HEAR et DARE (étudiants en situation de handicap), aux étudiants adultes et aux étudiants issus de la formation professionnelle (QQI/FET), soit 22 % des admissions de l'année universitaire commençant en 2023.</w:t>
      </w:r>
    </w:p>
    <w:p>
      <w:r>
        <w:t>L'université obtient 3 points STARS sur 3 au crédit PA-6, niveau maximal. Le plan « Belonging at UCC » (2025-2028) reconnaît que la population de l'université est de plus en plus diverse, que tout le monde ne s'y sent pas à sa place, et que l'université doit faire davantage contre le harcèlement et les discriminations.</w:t>
      </w:r>
    </w:p>
    <w:p>
      <w:r>
        <w:t>L'université obtient 2,5 points STARS sur 3 au crédit PA-10, niveau élevé. Le taux d'obtention du diplôme est de 95 % en général et de 92 % pour les étudiants à faibles revenus.</w:t>
      </w:r>
    </w:p>
    <w:p>
      <w:pPr>
        <w:pStyle w:val="Heading2"/>
      </w:pPr>
      <w:r>
        <w:rPr>
          <w:color w:val="2F6F5E"/>
        </w:rPr>
        <w:t>Limites et omissions</w:t>
      </w:r>
    </w:p>
    <w:p>
      <w:r>
        <w:t>Ce rapport ne peut pas établir les ratios entre les salaires d'entrée et les salaires minimums locaux, car STARS ne collecte pas ces données.</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PA-12 Droits des salariés (3 sur 3) ; PA-11 Santé, sécurité et bien-être (3 sur 3) ; PA-8 Parité femmes-hommes (2 sur 2) ; PA-6 Climat institutionnel (3 sur 3) ; PA-10 Réussite étudiante (2,5 sur 3) ; PA-13 Équité salariale et salaire décent (3,8 sur 5).</w:t>
      </w:r>
    </w:p>
    <w:p>
      <w:pPr>
        <w:pStyle w:val="ListBullet"/>
      </w:pPr>
      <w:r>
        <w:rPr>
          <w:b/>
        </w:rPr>
        <w:t>Partiellement atteints</w:t>
      </w:r>
      <w:r>
        <w:t xml:space="preserve"> : PA-9 Accessibilité financière et accès (2 sur 3).</w:t>
      </w:r>
    </w:p>
    <w:p>
      <w:pPr>
        <w:pStyle w:val="ListBullet"/>
      </w:pPr>
      <w:r>
        <w:rPr>
          <w:b/>
        </w:rPr>
        <w:t>À améliorer</w:t>
      </w:r>
      <w:r>
        <w:t xml:space="preserve"> : PA-7 Représentation ethnique et raciale (1,2 sur 3).</w:t>
      </w:r>
    </w:p>
    <w:p>
      <w:pPr>
        <w:pStyle w:val="Heading1"/>
      </w:pPr>
      <w:r>
        <w:rPr>
          <w:color w:val="2F6F5E"/>
        </w:rPr>
        <w:t>Enseignement, recherche et engagement (hors GRI)</w:t>
      </w:r>
    </w:p>
    <w:p>
      <w:r>
        <w:rPr>
          <w:i/>
        </w:rPr>
        <w:t>Section à relire : le juge automatique n'a pas pu la valider entièrement (voir l'annexe « Validation du rapport »).</w:t>
      </w:r>
    </w:p>
    <w:p>
      <w:pPr>
        <w:pStyle w:val="IntenseQuote"/>
      </w:pPr>
      <w:r>
        <w:t>Ces crédits STARS n'ont aucun équivalent dans les normes GRI, conçues pour des organisations qui n'enseignent pas. C'est un écart structurel entre les deux référentiels, et l'une des contributions de ce rapport : il montre ce qu'une université peut déclarer et que GRI ne demande pas.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AC-1 — Sustainability Course Offerings</w:t>
            </w:r>
          </w:p>
        </w:tc>
        <w:tc>
          <w:tcPr>
            <w:tcW w:type="dxa" w:w="2880"/>
          </w:tcPr>
          <w:p>
            <w:r>
              <w:rPr>
                <w:sz w:val="17"/>
              </w:rPr>
            </w:r>
            <w:r>
              <w:rPr>
                <w:sz w:val="17"/>
              </w:rPr>
              <w:t>14 / 14</w:t>
            </w:r>
          </w:p>
        </w:tc>
        <w:tc>
          <w:tcPr>
            <w:tcW w:type="dxa" w:w="2880"/>
          </w:tcPr>
          <w:p>
            <w:r>
              <w:rPr>
                <w:sz w:val="17"/>
              </w:rPr>
            </w:r>
            <w:r>
              <w:rPr>
                <w:sz w:val="17"/>
              </w:rPr>
              <w:t>maximal (tous les points obtenus)</w:t>
            </w:r>
          </w:p>
        </w:tc>
      </w:tr>
      <w:tr>
        <w:tc>
          <w:tcPr>
            <w:tcW w:type="dxa" w:w="2880"/>
          </w:tcPr>
          <w:p>
            <w:r>
              <w:rPr>
                <w:sz w:val="17"/>
              </w:rPr>
            </w:r>
            <w:r>
              <w:rPr>
                <w:sz w:val="17"/>
              </w:rPr>
              <w:t>AC-2 — Undergraduate Programs</w:t>
            </w:r>
          </w:p>
        </w:tc>
        <w:tc>
          <w:tcPr>
            <w:tcW w:type="dxa" w:w="2880"/>
          </w:tcPr>
          <w:p>
            <w:r>
              <w:rPr>
                <w:sz w:val="17"/>
              </w:rPr>
            </w:r>
            <w:r>
              <w:rPr>
                <w:sz w:val="17"/>
              </w:rPr>
              <w:t>14,69 / 15</w:t>
            </w:r>
          </w:p>
        </w:tc>
        <w:tc>
          <w:tcPr>
            <w:tcW w:type="dxa" w:w="2880"/>
          </w:tcPr>
          <w:p>
            <w:r>
              <w:rPr>
                <w:sz w:val="17"/>
              </w:rPr>
            </w:r>
            <w:r>
              <w:rPr>
                <w:sz w:val="17"/>
              </w:rPr>
              <w:t>élevé</w:t>
            </w:r>
          </w:p>
        </w:tc>
      </w:tr>
      <w:tr>
        <w:tc>
          <w:tcPr>
            <w:tcW w:type="dxa" w:w="2880"/>
          </w:tcPr>
          <w:p>
            <w:r>
              <w:rPr>
                <w:sz w:val="17"/>
              </w:rPr>
            </w:r>
            <w:r>
              <w:rPr>
                <w:sz w:val="17"/>
              </w:rPr>
              <w:t>AC-3 — Graduate Programs</w:t>
            </w:r>
          </w:p>
        </w:tc>
        <w:tc>
          <w:tcPr>
            <w:tcW w:type="dxa" w:w="2880"/>
          </w:tcPr>
          <w:p>
            <w:r>
              <w:rPr>
                <w:sz w:val="17"/>
              </w:rPr>
            </w:r>
            <w:r>
              <w:rPr>
                <w:sz w:val="17"/>
              </w:rPr>
              <w:t>7,09 / 8</w:t>
            </w:r>
          </w:p>
        </w:tc>
        <w:tc>
          <w:tcPr>
            <w:tcW w:type="dxa" w:w="2880"/>
          </w:tcPr>
          <w:p>
            <w:r>
              <w:rPr>
                <w:sz w:val="17"/>
              </w:rPr>
            </w:r>
            <w:r>
              <w:rPr>
                <w:sz w:val="17"/>
              </w:rPr>
              <w:t>élevé</w:t>
            </w:r>
          </w:p>
        </w:tc>
      </w:tr>
      <w:tr>
        <w:tc>
          <w:tcPr>
            <w:tcW w:type="dxa" w:w="2880"/>
          </w:tcPr>
          <w:p>
            <w:r>
              <w:rPr>
                <w:sz w:val="17"/>
              </w:rPr>
            </w:r>
            <w:r>
              <w:rPr>
                <w:sz w:val="17"/>
              </w:rPr>
              <w:t>AC-6 — Sustainability Research</w:t>
            </w:r>
          </w:p>
        </w:tc>
        <w:tc>
          <w:tcPr>
            <w:tcW w:type="dxa" w:w="2880"/>
          </w:tcPr>
          <w:p>
            <w:r>
              <w:rPr>
                <w:sz w:val="17"/>
              </w:rPr>
            </w:r>
            <w:r>
              <w:rPr>
                <w:sz w:val="17"/>
              </w:rPr>
              <w:t>10 / 10</w:t>
            </w:r>
          </w:p>
        </w:tc>
        <w:tc>
          <w:tcPr>
            <w:tcW w:type="dxa" w:w="2880"/>
          </w:tcPr>
          <w:p>
            <w:r>
              <w:rPr>
                <w:sz w:val="17"/>
              </w:rPr>
            </w:r>
            <w:r>
              <w:rPr>
                <w:sz w:val="17"/>
              </w:rPr>
              <w:t>maximal (tous les points obtenus)</w:t>
            </w:r>
          </w:p>
        </w:tc>
      </w:tr>
      <w:tr>
        <w:tc>
          <w:tcPr>
            <w:tcW w:type="dxa" w:w="2880"/>
          </w:tcPr>
          <w:p>
            <w:r>
              <w:rPr>
                <w:sz w:val="17"/>
              </w:rPr>
            </w:r>
            <w:r>
              <w:rPr>
                <w:sz w:val="17"/>
              </w:rPr>
              <w:t>AC-7 — Center for Sustainability Research</w:t>
            </w:r>
          </w:p>
        </w:tc>
        <w:tc>
          <w:tcPr>
            <w:tcW w:type="dxa" w:w="2880"/>
          </w:tcPr>
          <w:p>
            <w:r>
              <w:rPr>
                <w:sz w:val="17"/>
              </w:rPr>
            </w:r>
            <w:r>
              <w:rPr>
                <w:sz w:val="17"/>
              </w:rPr>
              <w:t>6 / 6</w:t>
            </w:r>
          </w:p>
        </w:tc>
        <w:tc>
          <w:tcPr>
            <w:tcW w:type="dxa" w:w="2880"/>
          </w:tcPr>
          <w:p>
            <w:r>
              <w:rPr>
                <w:sz w:val="17"/>
              </w:rPr>
            </w:r>
            <w:r>
              <w:rPr>
                <w:sz w:val="17"/>
              </w:rPr>
              <w:t>maximal (tous les points obtenus)</w:t>
            </w:r>
          </w:p>
        </w:tc>
      </w:tr>
      <w:tr>
        <w:tc>
          <w:tcPr>
            <w:tcW w:type="dxa" w:w="2880"/>
          </w:tcPr>
          <w:p>
            <w:r>
              <w:rPr>
                <w:sz w:val="17"/>
              </w:rPr>
            </w:r>
            <w:r>
              <w:rPr>
                <w:sz w:val="17"/>
              </w:rPr>
              <w:t>EN-1 — Outreach and Communications</w:t>
            </w:r>
          </w:p>
        </w:tc>
        <w:tc>
          <w:tcPr>
            <w:tcW w:type="dxa" w:w="2880"/>
          </w:tcPr>
          <w:p>
            <w:r>
              <w:rPr>
                <w:sz w:val="17"/>
              </w:rPr>
            </w:r>
            <w:r>
              <w:rPr>
                <w:sz w:val="17"/>
              </w:rPr>
              <w:t>5 / 5</w:t>
            </w:r>
          </w:p>
        </w:tc>
        <w:tc>
          <w:tcPr>
            <w:tcW w:type="dxa" w:w="2880"/>
          </w:tcPr>
          <w:p>
            <w:r>
              <w:rPr>
                <w:sz w:val="17"/>
              </w:rPr>
            </w:r>
            <w:r>
              <w:rPr>
                <w:sz w:val="17"/>
              </w:rPr>
              <w:t>maximal (tous les points obtenus)</w:t>
            </w:r>
          </w:p>
        </w:tc>
      </w:tr>
      <w:tr>
        <w:tc>
          <w:tcPr>
            <w:tcW w:type="dxa" w:w="2880"/>
          </w:tcPr>
          <w:p>
            <w:r>
              <w:rPr>
                <w:sz w:val="17"/>
              </w:rPr>
            </w:r>
            <w:r>
              <w:rPr>
                <w:sz w:val="17"/>
              </w:rPr>
              <w:t>EN-2 — Co-Curricular Activities</w:t>
            </w:r>
          </w:p>
        </w:tc>
        <w:tc>
          <w:tcPr>
            <w:tcW w:type="dxa" w:w="2880"/>
          </w:tcPr>
          <w:p>
            <w:r>
              <w:rPr>
                <w:sz w:val="17"/>
              </w:rPr>
            </w:r>
            <w:r>
              <w:rPr>
                <w:sz w:val="17"/>
              </w:rPr>
              <w:t>9 / 9</w:t>
            </w:r>
          </w:p>
        </w:tc>
        <w:tc>
          <w:tcPr>
            <w:tcW w:type="dxa" w:w="2880"/>
          </w:tcPr>
          <w:p>
            <w:r>
              <w:rPr>
                <w:sz w:val="17"/>
              </w:rPr>
            </w:r>
            <w:r>
              <w:rPr>
                <w:sz w:val="17"/>
              </w:rPr>
              <w:t>maximal (tous les points obtenus)</w:t>
            </w:r>
          </w:p>
        </w:tc>
      </w:tr>
      <w:tr>
        <w:tc>
          <w:tcPr>
            <w:tcW w:type="dxa" w:w="2880"/>
          </w:tcPr>
          <w:p>
            <w:r>
              <w:rPr>
                <w:sz w:val="17"/>
              </w:rPr>
            </w:r>
            <w:r>
              <w:rPr>
                <w:sz w:val="17"/>
              </w:rPr>
              <w:t>EN-3 — Staff Engagement and Training</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EN-5 — Civic Engagement</w:t>
            </w:r>
          </w:p>
        </w:tc>
        <w:tc>
          <w:tcPr>
            <w:tcW w:type="dxa" w:w="2880"/>
          </w:tcPr>
          <w:p>
            <w:r>
              <w:rPr>
                <w:sz w:val="17"/>
              </w:rPr>
            </w:r>
            <w:r>
              <w:rPr>
                <w:sz w:val="17"/>
              </w:rPr>
              <w:t>7 / 8</w:t>
            </w:r>
          </w:p>
        </w:tc>
        <w:tc>
          <w:tcPr>
            <w:tcW w:type="dxa" w:w="2880"/>
          </w:tcPr>
          <w:p>
            <w:r>
              <w:rPr>
                <w:sz w:val="17"/>
              </w:rPr>
            </w:r>
            <w:r>
              <w:rPr>
                <w:sz w:val="17"/>
              </w:rPr>
              <w:t>élevé</w:t>
            </w:r>
          </w:p>
        </w:tc>
      </w:tr>
      <w:tr>
        <w:tc>
          <w:tcPr>
            <w:tcW w:type="dxa" w:w="2880"/>
          </w:tcPr>
          <w:p>
            <w:r>
              <w:rPr>
                <w:sz w:val="17"/>
              </w:rPr>
            </w:r>
            <w:r>
              <w:rPr>
                <w:sz w:val="17"/>
              </w:rPr>
              <w:t>EN-7 — Continuing Education</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Heading2"/>
      </w:pPr>
      <w:r>
        <w:rPr>
          <w:color w:val="2F6F5E"/>
        </w:rPr>
        <w:t>Enseignement, recherche et engagement</w:t>
      </w:r>
    </w:p>
    <w:p>
      <w:r>
        <w:t>L'université obtient 14 points STARS sur 14 au crédit AC-1, niveau maximal. L'université a mis en place plusieurs initiatives pour intégrer la durabilité dans le curriculum, notamment le Centre pour l'intégration de l'enseignement et l'apprentissage, qui a apporté un soutien financier dans le cadre de l'appel « Strategic Alignment of Teaching and Learning in Higher Education ».</w:t>
      </w:r>
    </w:p>
    <w:p>
      <w:r>
        <w:t>L'université obtient 14,69 points STARS sur 15 au crédit AC-2, niveau élevé. La part des diplômes de premier cycle liés à la durabilité a été calculée à partir du nombre de diplômés des programmes classés comme axés sur la durabilité. Des ressources aident les étudiants à comprendre les attributs du diplômé (graduate attributes) de l'université, dont « Socially Responsible » et « Effective Global Citizen », définis comme axés sur la durabilité.</w:t>
      </w:r>
    </w:p>
    <w:p>
      <w:r>
        <w:t>L'université obtient 10 points STARS sur 10 au crédit AC-6, niveau maximal. L'Institut de durabilité est l'institut principal de l'université pour la recherche en durabilité. Il utilise une approche basée sur les défis mondiaux pour répondre aux défis environnementaux clés de l'action climatique, de l'économie circulaire et de l'environnement sain.</w:t>
      </w:r>
    </w:p>
    <w:p>
      <w:r>
        <w:t>L'université obtient 6 points STARS sur 6 au crédit AC-7, niveau maximal. Créé en 2000 sous le nom d'Environmental Research Institute (ERI), l'institut est devenu le Sustainability Institute en 2025.</w:t>
      </w:r>
    </w:p>
    <w:p>
      <w:r>
        <w:t>L'université obtient 5 points STARS sur 5 au crédit EN-1, niveau maximal. Les documents remis aux nouveaux étudiants et au nouveau personnel mettent en avant la durabilité, et lors de l'orientation, l'Union des étudiants et la coordination Greenshoots présentent le programme Green Campus à chaque nouvel étudiant.</w:t>
      </w:r>
    </w:p>
    <w:p>
      <w:r>
        <w:t>L'université obtient 9 points STARS sur 9 au crédit EN-2, niveau maximal. Les étudiants participent à des activités de durabilité à travers les sociétés et le programme des attributs de diplôme. Le comité Green Campus est le représentant étudiant principal pour les activités de durabilité à l'université.</w:t>
      </w:r>
    </w:p>
    <w:p>
      <w:r>
        <w:t>L'université obtient 8 points STARS sur 8 au crédit EN-3, niveau maximal. En 2024, l'université a créé, avec le Sustainability Institute and Academy, une formation au leadership climatique. Ce cours a été dispensé à tous les membres de l'équipe de direction de l'université.</w:t>
      </w:r>
    </w:p>
    <w:p>
      <w:r>
        <w:t>L'université obtient 7 points STARS sur 8 au crédit EN-5, niveau élevé. Dans le cadre du programme UNIC, l'université a créé le projet de recherche Urban Climate Collab, qui vise à renforcer les collaborations entre les universités et les municipalités pour atteindre l'action climatique dans les villes.</w:t>
      </w:r>
    </w:p>
    <w:p>
      <w:r>
        <w:t>L'université obtient 3 points STARS sur 3 au crédit EN-7, niveau maximal. Le centre pour l'éducation des adultes et la formation continue propose le diplôme en environnement, durabilité et climat.</w:t>
      </w:r>
    </w:p>
    <w:p>
      <w:pPr>
        <w:pStyle w:val="Heading3"/>
      </w:pPr>
      <w:r>
        <w:rPr>
          <w:color w:val="2F6F5E"/>
        </w:rPr>
        <w:t>Points forts et points à améliorer</w:t>
      </w:r>
    </w:p>
    <w:p>
      <w:r>
        <w:rPr>
          <w:i/>
        </w:rPr>
        <w:t>Calculé par le code à partir des scores STARS de la section, sans texte du modèle (point fort : 75 % des points ou plus ; à améliorer : moins de 40 % ; entre les deux : partiellement atteint).</w:t>
      </w:r>
    </w:p>
    <w:p>
      <w:pPr>
        <w:pStyle w:val="ListBullet"/>
      </w:pPr>
      <w:r>
        <w:rPr>
          <w:b/>
        </w:rPr>
        <w:t>Points forts</w:t>
      </w:r>
      <w:r>
        <w:t xml:space="preserve"> : AC-1 Offre de cours en durabilité (14 sur 14) ; AC-6 Recherche en durabilité (10 sur 10) ; AC-7 Centre de recherche en durabilité (6 sur 6) ; EN-1 Communication et sensibilisation (5 sur 5) ; EN-2 Activités parascolaires (9 sur 9) ; EN-3 Engagement et formation du personnel (8 sur 8) ; EN-7 Formation continue (3 sur 3) ; AC-2 Programmes de premier cycle (14,69 sur 15) ; AC-3 Programmes de cycles supérieurs (7,09 sur 8) ; EN-5 Engagement civique (7 sur 8).</w:t>
      </w:r>
    </w:p>
    <w:p>
      <w:pPr>
        <w:pStyle w:val="ListBullet"/>
      </w:pPr>
      <w:r>
        <w:rPr>
          <w:b/>
        </w:rPr>
        <w:t>Partiellement atteints</w:t>
      </w:r>
      <w:r>
        <w:t xml:space="preserve"> : aucun.</w:t>
      </w:r>
    </w:p>
    <w:p>
      <w:pPr>
        <w:pStyle w:val="ListBullet"/>
      </w:pPr>
      <w:r>
        <w:rPr>
          <w:b/>
        </w:rPr>
        <w:t>À améliorer</w:t>
      </w:r>
      <w:r>
        <w:t xml:space="preserve"> : aucun.</w:t>
      </w:r>
    </w:p>
    <w:p>
      <w:pPr>
        <w:pStyle w:val="Heading1"/>
      </w:pPr>
      <w:r>
        <w:rPr>
          <w:color w:val="2F6F5E"/>
        </w:rPr>
        <w:t>Index de contenu GRI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Rapporté</w:t>
            </w:r>
          </w:p>
        </w:tc>
        <w:tc>
          <w:tcPr>
            <w:tcW w:type="dxa" w:w="2160"/>
          </w:tcPr>
          <w:p>
            <w:r>
              <w:rPr>
                <w:b/>
                <w:sz w:val="17"/>
              </w:rPr>
            </w:r>
            <w:r>
              <w:rPr>
                <w:b/>
                <w:sz w:val="17"/>
              </w:rPr>
              <w:t>Partiellement rapporté</w:t>
            </w:r>
          </w:p>
        </w:tc>
        <w:tc>
          <w:tcPr>
            <w:tcW w:type="dxa" w:w="2160"/>
          </w:tcPr>
          <w:p>
            <w:r>
              <w:rPr>
                <w:b/>
                <w:sz w:val="17"/>
              </w:rPr>
            </w:r>
            <w:r>
              <w:rPr>
                <w:b/>
                <w:sz w:val="17"/>
              </w:rPr>
              <w:t>Non rapporté</w:t>
            </w:r>
          </w:p>
        </w:tc>
        <w:tc>
          <w:tcPr>
            <w:tcW w:type="dxa" w:w="2160"/>
          </w:tcPr>
          <w:p>
            <w:r>
              <w:rPr>
                <w:b/>
                <w:sz w:val="17"/>
              </w:rPr>
            </w:r>
            <w:r>
              <w:rPr>
                <w:b/>
                <w:sz w:val="17"/>
              </w:rPr>
              <w:t>Non évalué</w:t>
            </w:r>
          </w:p>
        </w:tc>
      </w:tr>
      <w:tr>
        <w:tc>
          <w:tcPr>
            <w:tcW w:type="dxa" w:w="2160"/>
          </w:tcPr>
          <w:p>
            <w:r>
              <w:rPr>
                <w:sz w:val="17"/>
              </w:rPr>
            </w:r>
            <w:r>
              <w:rPr>
                <w:sz w:val="17"/>
              </w:rPr>
              <w:t>0</w:t>
            </w:r>
          </w:p>
        </w:tc>
        <w:tc>
          <w:tcPr>
            <w:tcW w:type="dxa" w:w="2160"/>
          </w:tcPr>
          <w:p>
            <w:r>
              <w:rPr>
                <w:sz w:val="17"/>
              </w:rPr>
            </w:r>
            <w:r>
              <w:rPr>
                <w:sz w:val="17"/>
              </w:rPr>
              <w:t>28</w:t>
            </w:r>
          </w:p>
        </w:tc>
        <w:tc>
          <w:tcPr>
            <w:tcW w:type="dxa" w:w="2160"/>
          </w:tcPr>
          <w:p>
            <w:r>
              <w:rPr>
                <w:sz w:val="17"/>
              </w:rPr>
            </w:r>
            <w:r>
              <w:rPr>
                <w:sz w:val="17"/>
              </w:rPr>
              <w:t>44</w:t>
            </w:r>
          </w:p>
        </w:tc>
        <w:tc>
          <w:tcPr>
            <w:tcW w:type="dxa" w:w="2160"/>
          </w:tcPr>
          <w:p>
            <w:r>
              <w:rPr>
                <w:sz w:val="17"/>
              </w:rPr>
            </w:r>
            <w:r>
              <w:rPr>
                <w:sz w:val="17"/>
              </w:rPr>
              <w:t>14</w:t>
            </w:r>
          </w:p>
        </w:tc>
      </w:tr>
    </w:tbl>
    <w:p/>
    <w:p>
      <w:r>
        <w:rPr>
          <w:i/>
        </w:rPr>
        <w:t>Statuts calculés par le code à partir de la table de correspondance écrite à la main (`mapping/gri_map.yaml`). « Non évalué » : un champ STARS correspondant existe mais sa valeur n'a pas été extraite.</w:t>
      </w:r>
    </w:p>
    <w:p>
      <w:pPr>
        <w:pStyle w:val="Heading2"/>
      </w:pPr>
      <w:r>
        <w:rPr>
          <w:color w:val="2F6F5E"/>
        </w:rPr>
        <w:t>GRI 101 : Biodiversité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101-1</w:t>
            </w:r>
            <w:r>
              <w:rPr>
                <w:sz w:val="17"/>
              </w:rPr>
              <w:t xml:space="preserve"> Politiques pour enrayer et inverser la perte de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101-2</w:t>
            </w:r>
            <w:r>
              <w:rPr>
                <w:sz w:val="17"/>
              </w:rPr>
              <w:t xml:space="preserve"> Gestion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(OP-4) ; les champs structurés n'ont pas été extraits.</w:t>
            </w:r>
          </w:p>
        </w:tc>
        <w:tc>
          <w:tcPr>
            <w:tcW w:type="dxa" w:w="2160"/>
          </w:tcPr>
          <w:p>
            <w:r>
              <w:rPr>
                <w:sz w:val="17"/>
              </w:rPr>
            </w:r>
            <w:r>
              <w:rPr>
                <w:sz w:val="17"/>
              </w:rPr>
              <w:t>OP-4 décrit la gestion écologique des espaces verts du campus ; GRI 101-2 vise aussi la chaîne de valeur et la hiérarchie d'atténuation (éviter, réduire, restaurer).</w:t>
            </w:r>
          </w:p>
        </w:tc>
      </w:tr>
      <w:tr>
        <w:tc>
          <w:tcPr>
            <w:tcW w:type="dxa" w:w="2160"/>
          </w:tcPr>
          <w:p>
            <w:r>
              <w:rPr>
                <w:sz w:val="17"/>
              </w:rPr>
            </w:r>
            <w:r>
              <w:rPr>
                <w:b/>
                <w:sz w:val="17"/>
              </w:rPr>
              <w:t>101-3</w:t>
            </w:r>
            <w:r>
              <w:rPr>
                <w:sz w:val="17"/>
              </w:rPr>
              <w:t xml:space="preserve"> Accès et partage des avantages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101-4</w:t>
            </w:r>
            <w:r>
              <w:rPr>
                <w:sz w:val="17"/>
              </w:rPr>
              <w:t xml:space="preserve"> Identification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(IL-24) ; les champs structurés n'ont pas été extraits.</w:t>
            </w:r>
          </w:p>
        </w:tc>
        <w:tc>
          <w:tcPr>
            <w:tcW w:type="dxa" w:w="2160"/>
          </w:tcPr>
          <w:p>
            <w:r>
              <w:rPr>
                <w:sz w:val="17"/>
              </w:rPr>
            </w:r>
            <w:r>
              <w:rPr>
                <w:sz w:val="17"/>
              </w:rPr>
              <w:t>IL-24 (crédit bonus) : évaluation de la biodiversité des terrains de l'établissement (espèces, habitats). GRI 101-4 demande aussi les impacts indirects, dans la chaîne d'approvisionnement.</w:t>
            </w:r>
          </w:p>
        </w:tc>
      </w:tr>
      <w:tr>
        <w:tc>
          <w:tcPr>
            <w:tcW w:type="dxa" w:w="2160"/>
          </w:tcPr>
          <w:p>
            <w:r>
              <w:rPr>
                <w:sz w:val="17"/>
              </w:rPr>
            </w:r>
            <w:r>
              <w:rPr>
                <w:b/>
                <w:sz w:val="17"/>
              </w:rPr>
              <w:t>101-5</w:t>
            </w:r>
            <w:r>
              <w:rPr>
                <w:sz w:val="17"/>
              </w:rPr>
              <w:t xml:space="preserve"> Sites ayant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(IL-24) ; les champs structurés n'ont pas été extraits.</w:t>
            </w:r>
          </w:p>
        </w:tc>
        <w:tc>
          <w:tcPr>
            <w:tcW w:type="dxa" w:w="2160"/>
          </w:tcPr>
          <w:p>
            <w:r>
              <w:rPr>
                <w:sz w:val="17"/>
              </w:rPr>
            </w:r>
            <w:r>
              <w:rPr>
                <w:sz w:val="17"/>
              </w:rPr>
              <w:t>IL-24 couvre les terrains possédés ou gérés par l'établissement ; GRI 101-5 demande la liste des sites, leur superficie et leur proximité avec des zones importantes pour la biodiversité.</w:t>
            </w:r>
          </w:p>
        </w:tc>
      </w:tr>
      <w:tr>
        <w:tc>
          <w:tcPr>
            <w:tcW w:type="dxa" w:w="2160"/>
          </w:tcPr>
          <w:p>
            <w:r>
              <w:rPr>
                <w:sz w:val="17"/>
              </w:rPr>
            </w:r>
            <w:r>
              <w:rPr>
                <w:b/>
                <w:sz w:val="17"/>
              </w:rPr>
              <w:t>101-6</w:t>
            </w:r>
            <w:r>
              <w:rPr>
                <w:sz w:val="17"/>
              </w:rPr>
              <w:t xml:space="preserve"> Facteurs directs de perte de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101-7</w:t>
            </w:r>
            <w:r>
              <w:rPr>
                <w:sz w:val="17"/>
              </w:rPr>
              <w:t xml:space="preserve"> Évolution de l'état de la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101-8</w:t>
            </w:r>
            <w:r>
              <w:rPr>
                <w:sz w:val="17"/>
              </w:rPr>
              <w:t xml:space="preserve"> Services écosystémiques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2 : Éléments généraux 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2-1</w:t>
            </w:r>
            <w:r>
              <w:rPr>
                <w:sz w:val="17"/>
              </w:rPr>
              <w:t xml:space="preserve"> Détails sur l'organisation</w:t>
            </w:r>
          </w:p>
        </w:tc>
        <w:tc>
          <w:tcPr>
            <w:tcW w:type="dxa" w:w="2160"/>
          </w:tcPr>
          <w:p>
            <w:r>
              <w:rPr>
                <w:sz w:val="17"/>
              </w:rPr>
            </w:r>
            <w:r>
              <w:rPr>
                <w:sz w:val="17"/>
              </w:rPr>
              <w:t>Partiellement rapporté</w:t>
            </w:r>
          </w:p>
        </w:tc>
        <w:tc>
          <w:tcPr>
            <w:tcW w:type="dxa" w:w="2160"/>
          </w:tcPr>
          <w:p>
            <w:r>
              <w:rPr>
                <w:sz w:val="17"/>
              </w:rPr>
            </w:r>
            <w:r>
              <w:rPr>
                <w:sz w:val="17"/>
              </w:rPr>
              <w:t>Couvert par le récit de l'établissement (PRE-3) ; les champs structurés n'ont pas été extraits.</w:t>
            </w:r>
          </w:p>
        </w:tc>
        <w:tc>
          <w:tcPr>
            <w:tcW w:type="dxa" w:w="2160"/>
          </w:tcPr>
          <w:p>
            <w:r>
              <w:rPr>
                <w:sz w:val="17"/>
              </w:rPr>
            </w:r>
            <w:r>
              <w:rPr>
                <w:sz w:val="17"/>
              </w:rPr>
              <w:t>GRI 2-1 demande aussi la dénomination légale, le siège et les pays d'activité ; STARS ne les collecte pas comme champs.</w:t>
            </w:r>
          </w:p>
        </w:tc>
      </w:tr>
      <w:tr>
        <w:tc>
          <w:tcPr>
            <w:tcW w:type="dxa" w:w="2160"/>
          </w:tcPr>
          <w:p>
            <w:r>
              <w:rPr>
                <w:sz w:val="17"/>
              </w:rPr>
            </w:r>
            <w:r>
              <w:rPr>
                <w:b/>
                <w:sz w:val="17"/>
              </w:rPr>
              <w:t>2-2</w:t>
            </w:r>
            <w:r>
              <w:rPr>
                <w:sz w:val="17"/>
              </w:rPr>
              <w:t xml:space="preserve"> Entités incluses dans le reporting de durabilité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(PRE-3) ; les champs structurés n'ont pas été extraits.</w:t>
            </w:r>
          </w:p>
        </w:tc>
        <w:tc>
          <w:tcPr>
            <w:tcW w:type="dxa" w:w="2160"/>
          </w:tcPr>
          <w:p>
            <w:r>
              <w:rPr>
                <w:sz w:val="17"/>
              </w:rPr>
            </w:r>
            <w:r>
              <w:rPr>
                <w:sz w:val="17"/>
              </w:rPr>
              <w:t>STARS collecte le périmètre sous forme de récit libre, pas de liste d'entités. Les trois établissements n'ont pas le même périmètre : les ratios par personne ou par m² ne sont pas comparables tels quels.</w:t>
            </w:r>
          </w:p>
        </w:tc>
      </w:tr>
      <w:tr>
        <w:tc>
          <w:tcPr>
            <w:tcW w:type="dxa" w:w="2160"/>
          </w:tcPr>
          <w:p>
            <w:r>
              <w:rPr>
                <w:sz w:val="17"/>
              </w:rPr>
            </w:r>
            <w:r>
              <w:rPr>
                <w:b/>
                <w:sz w:val="17"/>
              </w:rPr>
              <w:t>2-3</w:t>
            </w:r>
            <w:r>
              <w:rPr>
                <w:sz w:val="17"/>
              </w:rPr>
              <w:t xml:space="preserve"> Période de reporting, fréquence et point de contact</w:t>
            </w:r>
          </w:p>
        </w:tc>
        <w:tc>
          <w:tcPr>
            <w:tcW w:type="dxa" w:w="2160"/>
          </w:tcPr>
          <w:p>
            <w:r>
              <w:rPr>
                <w:sz w:val="17"/>
              </w:rPr>
            </w:r>
            <w:r>
              <w:rPr>
                <w:sz w:val="17"/>
              </w:rPr>
              <w:t>Partiellement rapporté</w:t>
            </w:r>
          </w:p>
        </w:tc>
        <w:tc>
          <w:tcPr>
            <w:tcW w:type="dxa" w:w="2160"/>
          </w:tcPr>
          <w:p>
            <w:r>
              <w:rPr>
                <w:sz w:val="17"/>
              </w:rPr>
            </w:r>
            <w:r>
              <w:rPr>
                <w:sz w:val="17"/>
              </w:rPr>
              <w:t>Couvert par le récit de l'établissement (PRE-4, OP-6) ; les champs structurés n'ont pas été extraits.</w:t>
            </w:r>
          </w:p>
        </w:tc>
        <w:tc>
          <w:tcPr>
            <w:tcW w:type="dxa" w:w="2160"/>
          </w:tcPr>
          <w:p>
            <w:r>
              <w:rPr>
                <w:sz w:val="17"/>
              </w:rPr>
            </w:r>
            <w:r>
              <w:rPr>
                <w:sz w:val="17"/>
              </w:rPr>
              <w:t>STARS n'a pas de période de reporting unique : les années varient d'un crédit à l'autre. Ni fréquence, ni date de publication, ni point de contact ne sont collectés.</w:t>
            </w:r>
          </w:p>
        </w:tc>
      </w:tr>
      <w:tr>
        <w:tc>
          <w:tcPr>
            <w:tcW w:type="dxa" w:w="2160"/>
          </w:tcPr>
          <w:p>
            <w:r>
              <w:rPr>
                <w:sz w:val="17"/>
              </w:rPr>
            </w:r>
            <w:r>
              <w:rPr>
                <w:b/>
                <w:sz w:val="17"/>
              </w:rPr>
              <w:t>2-4</w:t>
            </w:r>
            <w:r>
              <w:rPr>
                <w:sz w:val="17"/>
              </w:rPr>
              <w:t xml:space="preserve"> Retraitements d'informations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suit pas les retraitements. De plus, les versions 2.2 et 3.0 notent différemment les crédits Opérations : une série temporelle entre versions n'est pas valide.</w:t>
            </w:r>
          </w:p>
        </w:tc>
      </w:tr>
      <w:tr>
        <w:tc>
          <w:tcPr>
            <w:tcW w:type="dxa" w:w="2160"/>
          </w:tcPr>
          <w:p>
            <w:r>
              <w:rPr>
                <w:sz w:val="17"/>
              </w:rPr>
            </w:r>
            <w:r>
              <w:rPr>
                <w:b/>
                <w:sz w:val="17"/>
              </w:rPr>
              <w:t>2-5</w:t>
            </w:r>
            <w:r>
              <w:rPr>
                <w:sz w:val="17"/>
              </w:rPr>
              <w:t xml:space="preserve"> Vérification externe</w:t>
            </w:r>
          </w:p>
        </w:tc>
        <w:tc>
          <w:tcPr>
            <w:tcW w:type="dxa" w:w="2160"/>
          </w:tcPr>
          <w:p>
            <w:r>
              <w:rPr>
                <w:sz w:val="17"/>
              </w:rPr>
            </w:r>
            <w:r>
              <w:rPr>
                <w:sz w:val="17"/>
              </w:rPr>
              <w:t>Partiellement rapporté</w:t>
            </w:r>
          </w:p>
        </w:tc>
        <w:tc>
          <w:tcPr>
            <w:tcW w:type="dxa" w:w="2160"/>
          </w:tcPr>
          <w:p>
            <w:r>
              <w:rPr>
                <w:sz w:val="17"/>
              </w:rPr>
            </w:r>
            <w:r>
              <w:rPr>
                <w:sz w:val="17"/>
              </w:rPr>
              <w:t>Couvert par le récit de l'établissement (PRE-4) ; les champs structurés n'ont pas été extraits.</w:t>
            </w:r>
          </w:p>
        </w:tc>
        <w:tc>
          <w:tcPr>
            <w:tcW w:type="dxa" w:w="2160"/>
          </w:tcPr>
          <w:p>
            <w:r>
              <w:rPr>
                <w:sz w:val="17"/>
              </w:rPr>
            </w:r>
            <w:r>
              <w:rPr>
                <w:sz w:val="17"/>
              </w:rPr>
              <w:t>GRI 2-5 demande aussi la norme d'assurance, le niveau d'assurance et la relation avec le vérificateur ; STARS ne les collecte pas. Les données STARS sont autodéclarées et non vérifiées par l'AASHE.</w:t>
            </w:r>
          </w:p>
        </w:tc>
      </w:tr>
      <w:tr>
        <w:tc>
          <w:tcPr>
            <w:tcW w:type="dxa" w:w="2160"/>
          </w:tcPr>
          <w:p>
            <w:r>
              <w:rPr>
                <w:sz w:val="17"/>
              </w:rPr>
            </w:r>
            <w:r>
              <w:rPr>
                <w:b/>
                <w:sz w:val="17"/>
              </w:rPr>
              <w:t>2-6</w:t>
            </w:r>
            <w:r>
              <w:rPr>
                <w:sz w:val="17"/>
              </w:rPr>
              <w:t xml:space="preserve"> Activités, chaîne de valeur et autres relations d'affaires</w:t>
            </w:r>
          </w:p>
        </w:tc>
        <w:tc>
          <w:tcPr>
            <w:tcW w:type="dxa" w:w="2160"/>
          </w:tcPr>
          <w:p>
            <w:r>
              <w:rPr>
                <w:sz w:val="17"/>
              </w:rPr>
            </w:r>
            <w:r>
              <w:rPr>
                <w:sz w:val="17"/>
              </w:rPr>
              <w:t>Partiellement rapporté</w:t>
            </w:r>
          </w:p>
        </w:tc>
        <w:tc>
          <w:tcPr>
            <w:tcW w:type="dxa" w:w="2160"/>
          </w:tcPr>
          <w:p>
            <w:r>
              <w:rPr>
                <w:sz w:val="17"/>
              </w:rPr>
            </w:r>
            <w:r>
              <w:rPr>
                <w:sz w:val="17"/>
              </w:rPr>
              <w:t>Couvert par le récit de l'établissement (PRE-3) ; les champs structurés n'ont pas été extraits.</w:t>
            </w:r>
          </w:p>
        </w:tc>
        <w:tc>
          <w:tcPr>
            <w:tcW w:type="dxa" w:w="2160"/>
          </w:tcPr>
          <w:p>
            <w:r>
              <w:rPr>
                <w:sz w:val="17"/>
              </w:rPr>
            </w:r>
            <w:r>
              <w:rPr>
                <w:sz w:val="17"/>
              </w:rPr>
              <w:t>STARS liste des éléments physiques du campus ; ni chaîne de valeur, ni produits et services, ni marchés desservis.</w:t>
            </w:r>
          </w:p>
        </w:tc>
      </w:tr>
      <w:tr>
        <w:tc>
          <w:tcPr>
            <w:tcW w:type="dxa" w:w="2160"/>
          </w:tcPr>
          <w:p>
            <w:r>
              <w:rPr>
                <w:sz w:val="17"/>
              </w:rPr>
            </w:r>
            <w:r>
              <w:rPr>
                <w:b/>
                <w:sz w:val="17"/>
              </w:rPr>
              <w:t>2-7</w:t>
            </w:r>
            <w:r>
              <w:rPr>
                <w:sz w:val="17"/>
              </w:rPr>
              <w:t xml:space="preserve"> Salariés</w:t>
            </w:r>
          </w:p>
        </w:tc>
        <w:tc>
          <w:tcPr>
            <w:tcW w:type="dxa" w:w="2160"/>
          </w:tcPr>
          <w:p>
            <w:r>
              <w:rPr>
                <w:sz w:val="17"/>
              </w:rPr>
            </w:r>
            <w:r>
              <w:rPr>
                <w:sz w:val="17"/>
              </w:rPr>
              <w:t>Non évalué</w:t>
            </w:r>
          </w:p>
        </w:tc>
        <w:tc>
          <w:tcPr>
            <w:tcW w:type="dxa" w:w="2160"/>
          </w:tcPr>
          <w:p>
            <w:r>
              <w:rPr>
                <w:sz w:val="17"/>
              </w:rPr>
            </w:r>
            <w:r>
              <w:rPr>
                <w:sz w:val="17"/>
              </w:rPr>
              <w:t>Champ STARS identifié (PRE-3) mais valeur non extraite : nécessite les pages STARS authentifiées.</w:t>
            </w:r>
          </w:p>
        </w:tc>
        <w:tc>
          <w:tcPr>
            <w:tcW w:type="dxa" w:w="2160"/>
          </w:tcPr>
          <w:p>
            <w:r>
              <w:rPr>
                <w:sz w:val="17"/>
              </w:rPr>
            </w:r>
            <w:r>
              <w:rPr>
                <w:sz w:val="17"/>
              </w:rPr>
              <w:t>Un équivalent temps plein n'est pas un effectif. Aucune ventilation par contrat, temps de travail, genre ou région.</w:t>
            </w:r>
          </w:p>
        </w:tc>
      </w:tr>
      <w:tr>
        <w:tc>
          <w:tcPr>
            <w:tcW w:type="dxa" w:w="2160"/>
          </w:tcPr>
          <w:p>
            <w:r>
              <w:rPr>
                <w:sz w:val="17"/>
              </w:rPr>
            </w:r>
            <w:r>
              <w:rPr>
                <w:b/>
                <w:sz w:val="17"/>
              </w:rPr>
              <w:t>2-8</w:t>
            </w:r>
            <w:r>
              <w:rPr>
                <w:sz w:val="17"/>
              </w:rPr>
              <w:t xml:space="preserve"> Travailleurs non salariés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compte pas les travailleurs des sous-traitants.</w:t>
            </w:r>
          </w:p>
        </w:tc>
      </w:tr>
      <w:tr>
        <w:tc>
          <w:tcPr>
            <w:tcW w:type="dxa" w:w="2160"/>
          </w:tcPr>
          <w:p>
            <w:r>
              <w:rPr>
                <w:sz w:val="17"/>
              </w:rPr>
            </w:r>
            <w:r>
              <w:rPr>
                <w:b/>
                <w:sz w:val="17"/>
              </w:rPr>
              <w:t>2-9</w:t>
            </w:r>
            <w:r>
              <w:rPr>
                <w:sz w:val="17"/>
              </w:rPr>
              <w:t xml:space="preserve"> Structure et composition de la gouvernance</w:t>
            </w:r>
          </w:p>
        </w:tc>
        <w:tc>
          <w:tcPr>
            <w:tcW w:type="dxa" w:w="2160"/>
          </w:tcPr>
          <w:p>
            <w:r>
              <w:rPr>
                <w:sz w:val="17"/>
              </w:rPr>
            </w:r>
            <w:r>
              <w:rPr>
                <w:sz w:val="17"/>
              </w:rPr>
              <w:t>Partiellement rapporté</w:t>
            </w:r>
          </w:p>
        </w:tc>
        <w:tc>
          <w:tcPr>
            <w:tcW w:type="dxa" w:w="2160"/>
          </w:tcPr>
          <w:p>
            <w:r>
              <w:rPr>
                <w:sz w:val="17"/>
              </w:rPr>
            </w:r>
            <w:r>
              <w:rPr>
                <w:sz w:val="17"/>
              </w:rPr>
              <w:t>Couvert par le récit de l'établissement (PA-3) ; les champs structurés n'ont pas été extraits.</w:t>
            </w:r>
          </w:p>
        </w:tc>
        <w:tc>
          <w:tcPr>
            <w:tcW w:type="dxa" w:w="2160"/>
          </w:tcPr>
          <w:p>
            <w:r>
              <w:rPr>
                <w:sz w:val="17"/>
              </w:rPr>
            </w:r>
            <w:r>
              <w:rPr>
                <w:sz w:val="17"/>
              </w:rPr>
              <w:t>STARS indique si chaque catégorie est représentée, pas la composition chiffrée (nombre de membres, indépendance, genre).</w:t>
            </w:r>
          </w:p>
        </w:tc>
      </w:tr>
      <w:tr>
        <w:tc>
          <w:tcPr>
            <w:tcW w:type="dxa" w:w="2160"/>
          </w:tcPr>
          <w:p>
            <w:r>
              <w:rPr>
                <w:sz w:val="17"/>
              </w:rPr>
            </w:r>
            <w:r>
              <w:rPr>
                <w:b/>
                <w:sz w:val="17"/>
              </w:rPr>
              <w:t>2-10</w:t>
            </w:r>
            <w:r>
              <w:rPr>
                <w:sz w:val="17"/>
              </w:rPr>
              <w:t xml:space="preserve"> Nomination et sélection de l'organe de gouvernance le plus élevé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2-11</w:t>
            </w:r>
            <w:r>
              <w:rPr>
                <w:sz w:val="17"/>
              </w:rPr>
              <w:t xml:space="preserve"> Président de l'organe de gouvernance le plus élevé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2-12</w:t>
            </w:r>
            <w:r>
              <w:rPr>
                <w:sz w:val="17"/>
              </w:rPr>
              <w:t xml:space="preserve"> Rôle de l'organe de gouvernance dans la supervision de la gestion des impacts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2-13</w:t>
            </w:r>
            <w:r>
              <w:rPr>
                <w:sz w:val="17"/>
              </w:rPr>
              <w:t xml:space="preserve"> Délégation de la responsabilité de la gestion des impacts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 ; les champs structurés n'ont pas été extraits.</w:t>
            </w:r>
          </w:p>
        </w:tc>
        <w:tc>
          <w:tcPr>
            <w:tcW w:type="dxa" w:w="2160"/>
          </w:tcPr>
          <w:p>
            <w:r>
              <w:rPr>
                <w:sz w:val="17"/>
              </w:rPr>
            </w:r>
            <w:r>
              <w:rPr>
                <w:sz w:val="17"/>
              </w:rPr>
              <w:t>GRI 2-13-b demande si et à quelle fréquence ces responsables rendent compte à l'organe de gouvernance ; STARS ne le demande pas.</w:t>
            </w:r>
          </w:p>
        </w:tc>
      </w:tr>
      <w:tr>
        <w:tc>
          <w:tcPr>
            <w:tcW w:type="dxa" w:w="2160"/>
          </w:tcPr>
          <w:p>
            <w:r>
              <w:rPr>
                <w:sz w:val="17"/>
              </w:rPr>
            </w:r>
            <w:r>
              <w:rPr>
                <w:b/>
                <w:sz w:val="17"/>
              </w:rPr>
              <w:t>2-14</w:t>
            </w:r>
            <w:r>
              <w:rPr>
                <w:sz w:val="17"/>
              </w:rPr>
              <w:t xml:space="preserve"> Rôle de l'organe de gouvernance dans le reporting de durabilité</w:t>
            </w:r>
          </w:p>
        </w:tc>
        <w:tc>
          <w:tcPr>
            <w:tcW w:type="dxa" w:w="2160"/>
          </w:tcPr>
          <w:p>
            <w:r>
              <w:rPr>
                <w:sz w:val="17"/>
              </w:rPr>
            </w:r>
            <w:r>
              <w:rPr>
                <w:sz w:val="17"/>
              </w:rPr>
              <w:t>Non rapporté</w:t>
            </w:r>
          </w:p>
        </w:tc>
        <w:tc>
          <w:tcPr>
            <w:tcW w:type="dxa" w:w="2160"/>
          </w:tcPr>
          <w:p>
            <w:r>
              <w:rPr>
                <w:sz w:val="17"/>
              </w:rPr>
            </w:r>
            <w:r>
              <w:rPr>
                <w:sz w:val="17"/>
              </w:rPr>
              <w:t>Aucune donnée : PRE-1 non renseigné par l'établissement.</w:t>
            </w:r>
          </w:p>
        </w:tc>
        <w:tc>
          <w:tcPr>
            <w:tcW w:type="dxa" w:w="2160"/>
          </w:tcPr>
          <w:p>
            <w:r>
              <w:rPr>
                <w:sz w:val="17"/>
              </w:rPr>
            </w:r>
            <w:r>
              <w:rPr>
                <w:sz w:val="17"/>
              </w:rPr>
              <w:t>Une lettre signée par la direction n'est pas une revue et une approbation par l'organe de gouvernance ; le texte de la lettre n'est pas dans les données.</w:t>
            </w:r>
          </w:p>
        </w:tc>
      </w:tr>
      <w:tr>
        <w:tc>
          <w:tcPr>
            <w:tcW w:type="dxa" w:w="2160"/>
          </w:tcPr>
          <w:p>
            <w:r>
              <w:rPr>
                <w:sz w:val="17"/>
              </w:rPr>
            </w:r>
            <w:r>
              <w:rPr>
                <w:b/>
                <w:sz w:val="17"/>
              </w:rPr>
              <w:t>2-15</w:t>
            </w:r>
            <w:r>
              <w:rPr>
                <w:sz w:val="17"/>
              </w:rPr>
              <w:t xml:space="preserve"> Conflits d'intérêts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2-16</w:t>
            </w:r>
            <w:r>
              <w:rPr>
                <w:sz w:val="17"/>
              </w:rPr>
              <w:t xml:space="preserve"> Communication des préoccupations majeures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2-17</w:t>
            </w:r>
            <w:r>
              <w:rPr>
                <w:sz w:val="17"/>
              </w:rPr>
              <w:t xml:space="preserve"> Connaissances collectives de l'organe de gouvernance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2-18</w:t>
            </w:r>
            <w:r>
              <w:rPr>
                <w:sz w:val="17"/>
              </w:rPr>
              <w:t xml:space="preserve"> Évaluation de la performance de l'organe de gouvernance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2-19</w:t>
            </w:r>
            <w:r>
              <w:rPr>
                <w:sz w:val="17"/>
              </w:rPr>
              <w:t xml:space="preserve"> Politiques de rémunération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2-20</w:t>
            </w:r>
            <w:r>
              <w:rPr>
                <w:sz w:val="17"/>
              </w:rPr>
              <w:t xml:space="preserve"> Procédure de détermination de la rémunération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2-21</w:t>
            </w:r>
            <w:r>
              <w:rPr>
                <w:sz w:val="17"/>
              </w:rPr>
              <w:t xml:space="preserve"> Ratio de rémunération totale annuelle</w:t>
            </w:r>
          </w:p>
        </w:tc>
        <w:tc>
          <w:tcPr>
            <w:tcW w:type="dxa" w:w="2160"/>
          </w:tcPr>
          <w:p>
            <w:r>
              <w:rPr>
                <w:sz w:val="17"/>
              </w:rPr>
            </w:r>
            <w:r>
              <w:rPr>
                <w:sz w:val="17"/>
              </w:rPr>
              <w:t>Non rapporté</w:t>
            </w:r>
          </w:p>
        </w:tc>
        <w:tc>
          <w:tcPr>
            <w:tcW w:type="dxa" w:w="2160"/>
          </w:tcPr>
          <w:p>
            <w:r>
              <w:rPr>
                <w:sz w:val="17"/>
              </w:rPr>
            </w:r>
            <w:r>
              <w:rPr>
                <w:sz w:val="17"/>
              </w:rPr>
              <w:t>Aucune donnée : IL-62 non renseigné par l'établissement.</w:t>
            </w:r>
          </w:p>
        </w:tc>
        <w:tc>
          <w:tcPr>
            <w:tcW w:type="dxa" w:w="2160"/>
          </w:tcPr>
          <w:p>
            <w:r>
              <w:rPr>
                <w:sz w:val="17"/>
              </w:rPr>
            </w:r>
            <w:r>
              <w:rPr>
                <w:sz w:val="17"/>
              </w:rPr>
              <w:t>Dénominateurs différents : GRI divise par la rémunération MÉDIANE, STARS (IL-62, crédit bonus facultatif) par la plus BASSE. Le chiffre STARS n'est pas comparable à un ratio GRI 2-21.</w:t>
            </w:r>
          </w:p>
        </w:tc>
      </w:tr>
      <w:tr>
        <w:tc>
          <w:tcPr>
            <w:tcW w:type="dxa" w:w="2160"/>
          </w:tcPr>
          <w:p>
            <w:r>
              <w:rPr>
                <w:sz w:val="17"/>
              </w:rPr>
            </w:r>
            <w:r>
              <w:rPr>
                <w:b/>
                <w:sz w:val="17"/>
              </w:rPr>
              <w:t>2-22</w:t>
            </w:r>
            <w:r>
              <w:rPr>
                <w:sz w:val="17"/>
              </w:rPr>
              <w:t xml:space="preserve"> Déclaration sur la stratégie de développement durable</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GRI 2-22 exige une déclaration de l'organe de gouvernance ou du dirigeant le plus élevé ; STARS n'attribue pas la vision à un signataire.</w:t>
            </w:r>
          </w:p>
        </w:tc>
      </w:tr>
      <w:tr>
        <w:tc>
          <w:tcPr>
            <w:tcW w:type="dxa" w:w="2160"/>
          </w:tcPr>
          <w:p>
            <w:r>
              <w:rPr>
                <w:sz w:val="17"/>
              </w:rPr>
            </w:r>
            <w:r>
              <w:rPr>
                <w:b/>
                <w:sz w:val="17"/>
              </w:rPr>
              <w:t>2-23</w:t>
            </w:r>
            <w:r>
              <w:rPr>
                <w:sz w:val="17"/>
              </w:rPr>
              <w:t xml:space="preserve"> Engagements politiques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GRI 2-23 vise les engagements relatifs aux droits humains et au devoir de vigilance ; un engagement de durabilité est plus large et ne les implique pas.</w:t>
            </w:r>
          </w:p>
        </w:tc>
      </w:tr>
      <w:tr>
        <w:tc>
          <w:tcPr>
            <w:tcW w:type="dxa" w:w="2160"/>
          </w:tcPr>
          <w:p>
            <w:r>
              <w:rPr>
                <w:sz w:val="17"/>
              </w:rPr>
            </w:r>
            <w:r>
              <w:rPr>
                <w:b/>
                <w:sz w:val="17"/>
              </w:rPr>
              <w:t>2-24</w:t>
            </w:r>
            <w:r>
              <w:rPr>
                <w:sz w:val="17"/>
              </w:rPr>
              <w:t xml:space="preserve"> Intégration des engagements politiques</w:t>
            </w:r>
          </w:p>
        </w:tc>
        <w:tc>
          <w:tcPr>
            <w:tcW w:type="dxa" w:w="2160"/>
          </w:tcPr>
          <w:p>
            <w:r>
              <w:rPr>
                <w:sz w:val="17"/>
              </w:rPr>
            </w:r>
            <w:r>
              <w:rPr>
                <w:sz w:val="17"/>
              </w:rPr>
              <w:t>Partiellement rapporté</w:t>
            </w:r>
          </w:p>
        </w:tc>
        <w:tc>
          <w:tcPr>
            <w:tcW w:type="dxa" w:w="2160"/>
          </w:tcPr>
          <w:p>
            <w:r>
              <w:rPr>
                <w:sz w:val="17"/>
              </w:rPr>
            </w:r>
            <w:r>
              <w:rPr>
                <w:sz w:val="17"/>
              </w:rPr>
              <w:t>Couvert par le récit de l'établissement (OP-9, EN-3, PA-1) ; les champs structurés n'ont pas été extraits.</w:t>
            </w:r>
          </w:p>
        </w:tc>
        <w:tc>
          <w:tcPr>
            <w:tcW w:type="dxa" w:w="2160"/>
          </w:tcPr>
          <w:p>
            <w:r>
              <w:rPr>
                <w:sz w:val="17"/>
              </w:rPr>
            </w:r>
            <w:r>
              <w:rPr>
                <w:sz w:val="17"/>
              </w:rPr>
              <w:t>STARS décrit des résultats (code fournisseurs, formations) mais pas l'attribution interne des responsabilités ni l'intégration dans les procédures.</w:t>
            </w:r>
          </w:p>
        </w:tc>
      </w:tr>
      <w:tr>
        <w:tc>
          <w:tcPr>
            <w:tcW w:type="dxa" w:w="2160"/>
          </w:tcPr>
          <w:p>
            <w:r>
              <w:rPr>
                <w:sz w:val="17"/>
              </w:rPr>
            </w:r>
            <w:r>
              <w:rPr>
                <w:b/>
                <w:sz w:val="17"/>
              </w:rPr>
              <w:t>2-25</w:t>
            </w:r>
            <w:r>
              <w:rPr>
                <w:sz w:val="17"/>
              </w:rPr>
              <w:t xml:space="preserve"> Processus de remédiation des impacts négatifs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STARS indique seulement que l'information est publiée, pour les salariés uniquement ; GRI vise toutes les parties prenantes affectées.</w:t>
            </w:r>
          </w:p>
        </w:tc>
      </w:tr>
      <w:tr>
        <w:tc>
          <w:tcPr>
            <w:tcW w:type="dxa" w:w="2160"/>
          </w:tcPr>
          <w:p>
            <w:r>
              <w:rPr>
                <w:sz w:val="17"/>
              </w:rPr>
            </w:r>
            <w:r>
              <w:rPr>
                <w:b/>
                <w:sz w:val="17"/>
              </w:rPr>
              <w:t>2-26</w:t>
            </w:r>
            <w:r>
              <w:rPr>
                <w:sz w:val="17"/>
              </w:rPr>
              <w:t xml:space="preserve"> Mécanismes de demande de conseil et de signalement</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Salariés uniquement ; GRI 2-26 couvre aussi les personnes en relation d'affaires.</w:t>
            </w:r>
          </w:p>
        </w:tc>
      </w:tr>
      <w:tr>
        <w:tc>
          <w:tcPr>
            <w:tcW w:type="dxa" w:w="2160"/>
          </w:tcPr>
          <w:p>
            <w:r>
              <w:rPr>
                <w:sz w:val="17"/>
              </w:rPr>
            </w:r>
            <w:r>
              <w:rPr>
                <w:b/>
                <w:sz w:val="17"/>
              </w:rPr>
              <w:t>2-27</w:t>
            </w:r>
            <w:r>
              <w:rPr>
                <w:sz w:val="17"/>
              </w:rPr>
              <w:t xml:space="preserve"> Conformité aux lois et réglementations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collecte ni non-conformités, ni amendes, ni sanctions.</w:t>
            </w:r>
          </w:p>
        </w:tc>
      </w:tr>
      <w:tr>
        <w:tc>
          <w:tcPr>
            <w:tcW w:type="dxa" w:w="2160"/>
          </w:tcPr>
          <w:p>
            <w:r>
              <w:rPr>
                <w:sz w:val="17"/>
              </w:rPr>
            </w:r>
            <w:r>
              <w:rPr>
                <w:b/>
                <w:sz w:val="17"/>
              </w:rPr>
              <w:t>2-28</w:t>
            </w:r>
            <w:r>
              <w:rPr>
                <w:sz w:val="17"/>
              </w:rPr>
              <w:t xml:space="preserve"> Adhésion à des associations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Signer une charte n'est pas adhérer à une association ; STARS restreint le champ aux engagements assortis d'une obligation de reporting.</w:t>
            </w:r>
          </w:p>
        </w:tc>
      </w:tr>
      <w:tr>
        <w:tc>
          <w:tcPr>
            <w:tcW w:type="dxa" w:w="2160"/>
          </w:tcPr>
          <w:p>
            <w:r>
              <w:rPr>
                <w:sz w:val="17"/>
              </w:rPr>
            </w:r>
            <w:r>
              <w:rPr>
                <w:b/>
                <w:sz w:val="17"/>
              </w:rPr>
              <w:t>2-29</w:t>
            </w:r>
            <w:r>
              <w:rPr>
                <w:sz w:val="17"/>
              </w:rPr>
              <w:t xml:space="preserve"> Approche de l'engagement des parties prenantes</w:t>
            </w:r>
          </w:p>
        </w:tc>
        <w:tc>
          <w:tcPr>
            <w:tcW w:type="dxa" w:w="2160"/>
          </w:tcPr>
          <w:p>
            <w:r>
              <w:rPr>
                <w:sz w:val="17"/>
              </w:rPr>
            </w:r>
            <w:r>
              <w:rPr>
                <w:sz w:val="17"/>
              </w:rPr>
              <w:t>Partiellement rapporté</w:t>
            </w:r>
          </w:p>
        </w:tc>
        <w:tc>
          <w:tcPr>
            <w:tcW w:type="dxa" w:w="2160"/>
          </w:tcPr>
          <w:p>
            <w:r>
              <w:rPr>
                <w:sz w:val="17"/>
              </w:rPr>
            </w:r>
            <w:r>
              <w:rPr>
                <w:sz w:val="17"/>
              </w:rPr>
              <w:t>Couvert par le récit de l'établissement (PA-3, EN-6) ; les champs structurés n'ont pas été extraits.</w:t>
            </w:r>
          </w:p>
        </w:tc>
        <w:tc>
          <w:tcPr>
            <w:tcW w:type="dxa" w:w="2160"/>
          </w:tcPr>
          <w:p>
            <w:r>
              <w:rPr>
                <w:sz w:val="17"/>
              </w:rPr>
            </w:r>
            <w:r>
              <w:rPr>
                <w:sz w:val="17"/>
              </w:rPr>
              <w:t>STARS couvre quatre catégories fixes (étudiants, enseignants, personnel, communauté locale) ; ni fournisseurs, ni groupes vulnérables, ni méthode d'identification des parties prenantes.</w:t>
            </w:r>
          </w:p>
        </w:tc>
      </w:tr>
      <w:tr>
        <w:tc>
          <w:tcPr>
            <w:tcW w:type="dxa" w:w="2160"/>
          </w:tcPr>
          <w:p>
            <w:r>
              <w:rPr>
                <w:sz w:val="17"/>
              </w:rPr>
            </w:r>
            <w:r>
              <w:rPr>
                <w:b/>
                <w:sz w:val="17"/>
              </w:rPr>
              <w:t>2-30</w:t>
            </w:r>
            <w:r>
              <w:rPr>
                <w:sz w:val="17"/>
              </w:rPr>
              <w:t xml:space="preserve"> Conventions collectives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collecte pas le pourcentage de salariés couverts par une convention collective.</w:t>
            </w:r>
          </w:p>
        </w:tc>
      </w:tr>
    </w:tbl>
    <w:p/>
    <w:p>
      <w:pPr>
        <w:pStyle w:val="Heading2"/>
      </w:pPr>
      <w:r>
        <w:rPr>
          <w:color w:val="2F6F5E"/>
        </w:rPr>
        <w:t>GRI 3 : Thèmes matériels 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3-1</w:t>
            </w:r>
            <w:r>
              <w:rPr>
                <w:sz w:val="17"/>
              </w:rPr>
              <w:t xml:space="preserve"> Processus de détermination des thèmes matériels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Différence structurelle entre référentiels, pas une donnée manquante : STARS impose un ensemble fixe de crédits. Ce rapport ne peut pas établir l'existence d'un processus de matérialité — il ne peut pas non plus affirmer qu'il n'en existe pas.</w:t>
            </w:r>
          </w:p>
        </w:tc>
      </w:tr>
      <w:tr>
        <w:tc>
          <w:tcPr>
            <w:tcW w:type="dxa" w:w="2160"/>
          </w:tcPr>
          <w:p>
            <w:r>
              <w:rPr>
                <w:sz w:val="17"/>
              </w:rPr>
            </w:r>
            <w:r>
              <w:rPr>
                <w:b/>
                <w:sz w:val="17"/>
              </w:rPr>
              <w:t>3-2</w:t>
            </w:r>
            <w:r>
              <w:rPr>
                <w:sz w:val="17"/>
              </w:rPr>
              <w:t xml:space="preserve"> Liste des thèmes matériels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Les cinq domaines d'objectifs sont fixés par STARS et identiques pour toutes les institutions : ils ne constituent pas une détermination de matérialité.</w:t>
            </w:r>
          </w:p>
        </w:tc>
      </w:tr>
      <w:tr>
        <w:tc>
          <w:tcPr>
            <w:tcW w:type="dxa" w:w="2160"/>
          </w:tcPr>
          <w:p>
            <w:r>
              <w:rPr>
                <w:sz w:val="17"/>
              </w:rPr>
            </w:r>
            <w:r>
              <w:rPr>
                <w:b/>
                <w:sz w:val="17"/>
              </w:rPr>
              <w:t>3-3</w:t>
            </w:r>
            <w:r>
              <w:rPr>
                <w:sz w:val="17"/>
              </w:rPr>
              <w:t xml:space="preserve"> Gestion des thèmes matériels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PA-1) ; les champs structurés n'ont pas été extraits.</w:t>
            </w:r>
          </w:p>
        </w:tc>
        <w:tc>
          <w:tcPr>
            <w:tcW w:type="dxa" w:w="2160"/>
          </w:tcPr>
          <w:p>
            <w:r>
              <w:rPr>
                <w:sz w:val="17"/>
              </w:rPr>
            </w:r>
            <w:r>
              <w:rPr>
                <w:sz w:val="17"/>
              </w:rPr>
              <w:t>Réponses à l'échelle de l'établissement à une question que GRI pose thème par thème ; ni impacts, ni distinction prévention / remédiation, ni enseignements tirés.</w:t>
            </w:r>
          </w:p>
        </w:tc>
      </w:tr>
    </w:tbl>
    <w:p/>
    <w:p>
      <w:pPr>
        <w:pStyle w:val="Heading2"/>
      </w:pPr>
      <w:r>
        <w:rPr>
          <w:color w:val="2F6F5E"/>
        </w:rPr>
        <w:t>GRI 202 : Présence sur le marché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202-1</w:t>
            </w:r>
            <w:r>
              <w:rPr>
                <w:sz w:val="17"/>
              </w:rPr>
              <w:t xml:space="preserve"> Ratio entre le salaire d'entrée et le salaire minimum local, par genre</w:t>
            </w:r>
          </w:p>
        </w:tc>
        <w:tc>
          <w:tcPr>
            <w:tcW w:type="dxa" w:w="2160"/>
          </w:tcPr>
          <w:p>
            <w:r>
              <w:rPr>
                <w:sz w:val="17"/>
              </w:rPr>
            </w:r>
            <w:r>
              <w:rPr>
                <w:sz w:val="17"/>
              </w:rPr>
              <w:t>Non évalué</w:t>
            </w:r>
          </w:p>
        </w:tc>
        <w:tc>
          <w:tcPr>
            <w:tcW w:type="dxa" w:w="2160"/>
          </w:tcPr>
          <w:p>
            <w:r>
              <w:rPr>
                <w:sz w:val="17"/>
              </w:rPr>
            </w:r>
            <w:r>
              <w:rPr>
                <w:sz w:val="17"/>
              </w:rPr>
              <w:t>Champ STARS identifié (PA-13, PA-9) mais valeur non extraite : nécessite les pages STARS authentifiées.</w:t>
            </w:r>
          </w:p>
        </w:tc>
        <w:tc>
          <w:tcPr>
            <w:tcW w:type="dxa" w:w="2160"/>
          </w:tcPr>
          <w:p>
            <w:r>
              <w:rPr>
                <w:sz w:val="17"/>
              </w:rPr>
            </w:r>
            <w:r>
              <w:rPr>
                <w:sz w:val="17"/>
              </w:rPr>
              <w:t>Le ratio est calculable (plancher salarial / salaire minimum local) mais pas par genre, que STARS ne collecte pas. Le salaire minimum figure dans un crédit sur l'emploi étudiant. Montants sans devise : USD pour Berkeley, EUR pour Cork et TU Dublin.</w:t>
            </w:r>
          </w:p>
        </w:tc>
      </w:tr>
      <w:tr>
        <w:tc>
          <w:tcPr>
            <w:tcW w:type="dxa" w:w="2160"/>
          </w:tcPr>
          <w:p>
            <w:r>
              <w:rPr>
                <w:sz w:val="17"/>
              </w:rPr>
            </w:r>
            <w:r>
              <w:rPr>
                <w:b/>
                <w:sz w:val="17"/>
              </w:rPr>
              <w:t>202-2</w:t>
            </w:r>
            <w:r>
              <w:rPr>
                <w:sz w:val="17"/>
              </w:rPr>
              <w:t xml:space="preserve"> Part des cadres dirigeants recrutés dans la communauté locale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204 : Pratiques d'achat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204-1</w:t>
            </w:r>
            <w:r>
              <w:rPr>
                <w:sz w:val="17"/>
              </w:rPr>
              <w:t xml:space="preserve"> Part des dépenses auprès de fournisseurs locaux</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301 : Matières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301-1</w:t>
            </w:r>
            <w:r>
              <w:rPr>
                <w:sz w:val="17"/>
              </w:rPr>
              <w:t xml:space="preserve"> Matières utilisées par poids ou par volume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Une université ne fabrique pas de produits physiques : écart d'adéquation entre le référentiel et le secteur.</w:t>
            </w:r>
          </w:p>
        </w:tc>
      </w:tr>
      <w:tr>
        <w:tc>
          <w:tcPr>
            <w:tcW w:type="dxa" w:w="2160"/>
          </w:tcPr>
          <w:p>
            <w:r>
              <w:rPr>
                <w:sz w:val="17"/>
              </w:rPr>
            </w:r>
            <w:r>
              <w:rPr>
                <w:b/>
                <w:sz w:val="17"/>
              </w:rPr>
              <w:t>301-2</w:t>
            </w:r>
            <w:r>
              <w:rPr>
                <w:sz w:val="17"/>
              </w:rPr>
              <w:t xml:space="preserve"> Matières recyclées utilisées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301-3</w:t>
            </w:r>
            <w:r>
              <w:rPr>
                <w:sz w:val="17"/>
              </w:rPr>
              <w:t xml:space="preserve"> Produits et emballages récupérés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302 : Énergie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302-1</w:t>
            </w:r>
            <w:r>
              <w:rPr>
                <w:sz w:val="17"/>
              </w:rPr>
              <w:t xml:space="preserve"> Consommation d'énergie au sein de l'organisation</w:t>
            </w:r>
          </w:p>
        </w:tc>
        <w:tc>
          <w:tcPr>
            <w:tcW w:type="dxa" w:w="2160"/>
          </w:tcPr>
          <w:p>
            <w:r>
              <w:rPr>
                <w:sz w:val="17"/>
              </w:rPr>
            </w:r>
            <w:r>
              <w:rPr>
                <w:sz w:val="17"/>
              </w:rPr>
              <w:t>Non évalué</w:t>
            </w:r>
          </w:p>
        </w:tc>
        <w:tc>
          <w:tcPr>
            <w:tcW w:type="dxa" w:w="2160"/>
          </w:tcPr>
          <w:p>
            <w:r>
              <w:rPr>
                <w:sz w:val="17"/>
              </w:rPr>
            </w:r>
            <w:r>
              <w:rPr>
                <w:sz w:val="17"/>
              </w:rPr>
              <w:t>Champ STARS identifié (OP-5) mais valeur non extraite : nécessite les pages STARS authentifiées.</w:t>
            </w:r>
          </w:p>
        </w:tc>
        <w:tc>
          <w:tcPr>
            <w:tcW w:type="dxa" w:w="2160"/>
          </w:tcPr>
          <w:p>
            <w:r>
              <w:rPr>
                <w:sz w:val="17"/>
              </w:rPr>
            </w:r>
            <w:r>
              <w:rPr>
                <w:sz w:val="17"/>
              </w:rPr>
              <w:t>STARS exprime l'énergie en MWh, GRI en joules : aucune conversion n'est faite dans le texte. Le champ « énergie renouvelable » de STARS inclut l'électricité et dépasse le périmètre de GRI 302-1-b.</w:t>
            </w:r>
          </w:p>
        </w:tc>
      </w:tr>
      <w:tr>
        <w:tc>
          <w:tcPr>
            <w:tcW w:type="dxa" w:w="2160"/>
          </w:tcPr>
          <w:p>
            <w:r>
              <w:rPr>
                <w:sz w:val="17"/>
              </w:rPr>
            </w:r>
            <w:r>
              <w:rPr>
                <w:b/>
                <w:sz w:val="17"/>
              </w:rPr>
              <w:t>302-2</w:t>
            </w:r>
            <w:r>
              <w:rPr>
                <w:sz w:val="17"/>
              </w:rPr>
              <w:t xml:space="preserve"> Consommation d'énergie en dehors de l'organisation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302-3</w:t>
            </w:r>
            <w:r>
              <w:rPr>
                <w:sz w:val="17"/>
              </w:rPr>
              <w:t xml:space="preserve"> Intensité énergétique</w:t>
            </w:r>
          </w:p>
        </w:tc>
        <w:tc>
          <w:tcPr>
            <w:tcW w:type="dxa" w:w="2160"/>
          </w:tcPr>
          <w:p>
            <w:r>
              <w:rPr>
                <w:sz w:val="17"/>
              </w:rPr>
            </w:r>
            <w:r>
              <w:rPr>
                <w:sz w:val="17"/>
              </w:rPr>
              <w:t>Non évalué</w:t>
            </w:r>
          </w:p>
        </w:tc>
        <w:tc>
          <w:tcPr>
            <w:tcW w:type="dxa" w:w="2160"/>
          </w:tcPr>
          <w:p>
            <w:r>
              <w:rPr>
                <w:sz w:val="17"/>
              </w:rPr>
            </w:r>
            <w:r>
              <w:rPr>
                <w:sz w:val="17"/>
              </w:rPr>
              <w:t>Champ STARS identifié (OP-5) mais valeur non extraite : nécessite les pages STARS authentifiées.</w:t>
            </w:r>
          </w:p>
        </w:tc>
        <w:tc>
          <w:tcPr>
            <w:tcW w:type="dxa" w:w="2160"/>
          </w:tcPr>
          <w:p>
            <w:r>
              <w:rPr>
                <w:sz w:val="17"/>
              </w:rPr>
            </w:r>
            <w:r>
              <w:rPr>
                <w:sz w:val="17"/>
              </w:rPr>
              <w:t>Périmètres différents entre établissements : comparer ces ratios exige de nommer la différence de périmètre.</w:t>
            </w:r>
          </w:p>
        </w:tc>
      </w:tr>
      <w:tr>
        <w:tc>
          <w:tcPr>
            <w:tcW w:type="dxa" w:w="2160"/>
          </w:tcPr>
          <w:p>
            <w:r>
              <w:rPr>
                <w:sz w:val="17"/>
              </w:rPr>
            </w:r>
            <w:r>
              <w:rPr>
                <w:b/>
                <w:sz w:val="17"/>
              </w:rPr>
              <w:t>302-4</w:t>
            </w:r>
            <w:r>
              <w:rPr>
                <w:sz w:val="17"/>
              </w:rPr>
              <w:t xml:space="preserve"> Réduction de la consommation énergétique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302-5</w:t>
            </w:r>
            <w:r>
              <w:rPr>
                <w:sz w:val="17"/>
              </w:rPr>
              <w:t xml:space="preserve"> Réduction des besoins énergétiques des produits et services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303 : Eau et effluents 2018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303-1</w:t>
            </w:r>
            <w:r>
              <w:rPr>
                <w:sz w:val="17"/>
              </w:rPr>
              <w:t xml:space="preserve"> Interactions avec l'eau en tant que ressource partagée</w:t>
            </w:r>
          </w:p>
        </w:tc>
        <w:tc>
          <w:tcPr>
            <w:tcW w:type="dxa" w:w="2160"/>
          </w:tcPr>
          <w:p>
            <w:r>
              <w:rPr>
                <w:sz w:val="17"/>
              </w:rPr>
            </w:r>
            <w:r>
              <w:rPr>
                <w:sz w:val="17"/>
              </w:rPr>
              <w:t>Partiellement rapporté</w:t>
            </w:r>
          </w:p>
        </w:tc>
        <w:tc>
          <w:tcPr>
            <w:tcW w:type="dxa" w:w="2160"/>
          </w:tcPr>
          <w:p>
            <w:r>
              <w:rPr>
                <w:sz w:val="17"/>
              </w:rPr>
            </w:r>
            <w:r>
              <w:rPr>
                <w:sz w:val="17"/>
              </w:rPr>
              <w:t>Couvert par le récit de l'établissement (OP-3) ; les champs structurés n'ont pas été extraits.</w:t>
            </w:r>
          </w:p>
        </w:tc>
        <w:tc>
          <w:tcPr>
            <w:tcW w:type="dxa" w:w="2160"/>
          </w:tcPr>
          <w:p>
            <w:r>
              <w:rPr>
                <w:sz w:val="17"/>
              </w:rPr>
            </w:r>
            <w:r>
              <w:rPr>
                <w:sz w:val="17"/>
              </w:rPr>
              <w:t>Un niveau de risque n'est pas la description demandée par GRI 303-1 (prélèvement, consommation, rejets, dialogue avec les parties prenantes). Statut abaissé à « partiel » par rapport au rapport de référence.</w:t>
            </w:r>
          </w:p>
        </w:tc>
      </w:tr>
      <w:tr>
        <w:tc>
          <w:tcPr>
            <w:tcW w:type="dxa" w:w="2160"/>
          </w:tcPr>
          <w:p>
            <w:r>
              <w:rPr>
                <w:sz w:val="17"/>
              </w:rPr>
            </w:r>
            <w:r>
              <w:rPr>
                <w:b/>
                <w:sz w:val="17"/>
              </w:rPr>
              <w:t>303-2</w:t>
            </w:r>
            <w:r>
              <w:rPr>
                <w:sz w:val="17"/>
              </w:rPr>
              <w:t xml:space="preserve"> Gestion des impacts liés aux rejets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303-3</w:t>
            </w:r>
            <w:r>
              <w:rPr>
                <w:sz w:val="17"/>
              </w:rPr>
              <w:t xml:space="preserve"> Prélèvement d'eau</w:t>
            </w:r>
          </w:p>
        </w:tc>
        <w:tc>
          <w:tcPr>
            <w:tcW w:type="dxa" w:w="2160"/>
          </w:tcPr>
          <w:p>
            <w:r>
              <w:rPr>
                <w:sz w:val="17"/>
              </w:rPr>
            </w:r>
            <w:r>
              <w:rPr>
                <w:sz w:val="17"/>
              </w:rPr>
              <w:t>Non évalué</w:t>
            </w:r>
          </w:p>
        </w:tc>
        <w:tc>
          <w:tcPr>
            <w:tcW w:type="dxa" w:w="2160"/>
          </w:tcPr>
          <w:p>
            <w:r>
              <w:rPr>
                <w:sz w:val="17"/>
              </w:rPr>
            </w:r>
            <w:r>
              <w:rPr>
                <w:sz w:val="17"/>
              </w:rPr>
              <w:t>Champ STARS identifié (OP-3) mais valeur non extraite : nécessite les pages STARS authentifiées.</w:t>
            </w:r>
          </w:p>
        </w:tc>
        <w:tc>
          <w:tcPr>
            <w:tcW w:type="dxa" w:w="2160"/>
          </w:tcPr>
          <w:p>
            <w:r>
              <w:rPr>
                <w:sz w:val="17"/>
              </w:rPr>
            </w:r>
            <w:r>
              <w:rPr>
                <w:sz w:val="17"/>
              </w:rPr>
              <w:t>STARS en m³, GRI en mégalitres : aucune conversion dans le texte. Pas de ventilation des zones de stress hydrique.</w:t>
            </w:r>
          </w:p>
        </w:tc>
      </w:tr>
      <w:tr>
        <w:tc>
          <w:tcPr>
            <w:tcW w:type="dxa" w:w="2160"/>
          </w:tcPr>
          <w:p>
            <w:r>
              <w:rPr>
                <w:sz w:val="17"/>
              </w:rPr>
            </w:r>
            <w:r>
              <w:rPr>
                <w:b/>
                <w:sz w:val="17"/>
              </w:rPr>
              <w:t>303-4</w:t>
            </w:r>
            <w:r>
              <w:rPr>
                <w:sz w:val="17"/>
              </w:rPr>
              <w:t xml:space="preserve"> Rejets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Champ STARS le plus proche (eau récupérée ou restituée) examiné et rejeté : GRI demande destination, type d'eau et niveau de traitement.</w:t>
            </w:r>
          </w:p>
        </w:tc>
      </w:tr>
      <w:tr>
        <w:tc>
          <w:tcPr>
            <w:tcW w:type="dxa" w:w="2160"/>
          </w:tcPr>
          <w:p>
            <w:r>
              <w:rPr>
                <w:sz w:val="17"/>
              </w:rPr>
            </w:r>
            <w:r>
              <w:rPr>
                <w:b/>
                <w:sz w:val="17"/>
              </w:rPr>
              <w:t>303-5</w:t>
            </w:r>
            <w:r>
              <w:rPr>
                <w:sz w:val="17"/>
              </w:rPr>
              <w:t xml:space="preserve"> Consommation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Définitions différentes : GRI = prélèvement moins rejets ; STARS = eau potable consommée.</w:t>
            </w:r>
          </w:p>
        </w:tc>
      </w:tr>
    </w:tbl>
    <w:p/>
    <w:p>
      <w:pPr>
        <w:pStyle w:val="Heading2"/>
      </w:pPr>
      <w:r>
        <w:rPr>
          <w:color w:val="2F6F5E"/>
        </w:rPr>
        <w:t>GRI 305 : Émissions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305-1</w:t>
            </w:r>
            <w:r>
              <w:rPr>
                <w:sz w:val="17"/>
              </w:rPr>
              <w:t xml:space="preserve"> Émissions directes de GES (champ d'application 1)</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Une seule année de référence pour les champs 1 et 2 réunis ; ni source des facteurs d'émission, ni approche de consolidation.</w:t>
            </w:r>
          </w:p>
        </w:tc>
      </w:tr>
      <w:tr>
        <w:tc>
          <w:tcPr>
            <w:tcW w:type="dxa" w:w="2160"/>
          </w:tcPr>
          <w:p>
            <w:r>
              <w:rPr>
                <w:sz w:val="17"/>
              </w:rPr>
            </w:r>
            <w:r>
              <w:rPr>
                <w:b/>
                <w:sz w:val="17"/>
              </w:rPr>
              <w:t>305-2</w:t>
            </w:r>
            <w:r>
              <w:rPr>
                <w:sz w:val="17"/>
              </w:rPr>
              <w:t xml:space="preserve"> Émissions indirectes de GES liées à l'énergie (champ d'application 2)</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GRI demande les méthodes fondées sur la localisation et sur le marché ; toujours préciser la méthode du chiffre cité.</w:t>
            </w:r>
          </w:p>
        </w:tc>
      </w:tr>
      <w:tr>
        <w:tc>
          <w:tcPr>
            <w:tcW w:type="dxa" w:w="2160"/>
          </w:tcPr>
          <w:p>
            <w:r>
              <w:rPr>
                <w:sz w:val="17"/>
              </w:rPr>
            </w:r>
            <w:r>
              <w:rPr>
                <w:b/>
                <w:sz w:val="17"/>
              </w:rPr>
              <w:t>305-3</w:t>
            </w:r>
            <w:r>
              <w:rPr>
                <w:sz w:val="17"/>
              </w:rPr>
              <w:t xml:space="preserve"> Autres émissions indirectes de GES (champ d'application 3)</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p>
        </w:tc>
      </w:tr>
      <w:tr>
        <w:tc>
          <w:tcPr>
            <w:tcW w:type="dxa" w:w="2160"/>
          </w:tcPr>
          <w:p>
            <w:r>
              <w:rPr>
                <w:sz w:val="17"/>
              </w:rPr>
            </w:r>
            <w:r>
              <w:rPr>
                <w:b/>
                <w:sz w:val="17"/>
              </w:rPr>
              <w:t>305-4</w:t>
            </w:r>
            <w:r>
              <w:rPr>
                <w:sz w:val="17"/>
              </w:rPr>
              <w:t xml:space="preserve"> Intensité des émissions de GES</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Périmètres différents entre établissements : ne jamais présenter l'écart comme une seule différence de performance.</w:t>
            </w:r>
          </w:p>
        </w:tc>
      </w:tr>
      <w:tr>
        <w:tc>
          <w:tcPr>
            <w:tcW w:type="dxa" w:w="2160"/>
          </w:tcPr>
          <w:p>
            <w:r>
              <w:rPr>
                <w:sz w:val="17"/>
              </w:rPr>
            </w:r>
            <w:r>
              <w:rPr>
                <w:b/>
                <w:sz w:val="17"/>
              </w:rPr>
              <w:t>305-5</w:t>
            </w:r>
            <w:r>
              <w:rPr>
                <w:sz w:val="17"/>
              </w:rPr>
              <w:t xml:space="preserve"> Réduction des émissions de GES</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Le pourcentage STARS est NET des compensations carbone achetées : toujours préciser la base (brute ou nette) et citer les compensations séparément.</w:t>
            </w:r>
          </w:p>
        </w:tc>
      </w:tr>
      <w:tr>
        <w:tc>
          <w:tcPr>
            <w:tcW w:type="dxa" w:w="2160"/>
          </w:tcPr>
          <w:p>
            <w:r>
              <w:rPr>
                <w:sz w:val="17"/>
              </w:rPr>
            </w:r>
            <w:r>
              <w:rPr>
                <w:b/>
                <w:sz w:val="17"/>
              </w:rPr>
              <w:t>305-6</w:t>
            </w:r>
            <w:r>
              <w:rPr>
                <w:sz w:val="17"/>
              </w:rPr>
              <w:t xml:space="preserve"> Émissions de substances appauvrissant la couche d'ozone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305-7</w:t>
            </w:r>
            <w:r>
              <w:rPr>
                <w:sz w:val="17"/>
              </w:rPr>
              <w:t xml:space="preserve"> NOx, SOx et autres émissions atmosphériques significatives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306 : Déchets 2020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306-1</w:t>
            </w:r>
            <w:r>
              <w:rPr>
                <w:sz w:val="17"/>
              </w:rPr>
              <w:t xml:space="preserve"> Production de déchets et impacts significatifs liés aux déchets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306-2</w:t>
            </w:r>
            <w:r>
              <w:rPr>
                <w:sz w:val="17"/>
              </w:rPr>
              <w:t xml:space="preserve"> Gestion des impacts significatifs liés aux déchets</w:t>
            </w:r>
          </w:p>
        </w:tc>
        <w:tc>
          <w:tcPr>
            <w:tcW w:type="dxa" w:w="2160"/>
          </w:tcPr>
          <w:p>
            <w:r>
              <w:rPr>
                <w:sz w:val="17"/>
              </w:rPr>
            </w:r>
            <w:r>
              <w:rPr>
                <w:sz w:val="17"/>
              </w:rPr>
              <w:t>Partiellement rapporté</w:t>
            </w:r>
          </w:p>
        </w:tc>
        <w:tc>
          <w:tcPr>
            <w:tcW w:type="dxa" w:w="2160"/>
          </w:tcPr>
          <w:p>
            <w:r>
              <w:rPr>
                <w:sz w:val="17"/>
              </w:rPr>
            </w:r>
            <w:r>
              <w:rPr>
                <w:sz w:val="17"/>
              </w:rPr>
              <w:t>Couvert par le récit de l'établissement (OP-11, OP-12) ; les champs structurés n'ont pas été extraits.</w:t>
            </w:r>
          </w:p>
        </w:tc>
        <w:tc>
          <w:tcPr>
            <w:tcW w:type="dxa" w:w="2160"/>
          </w:tcPr>
          <w:p>
            <w:r>
              <w:rPr>
                <w:sz w:val="17"/>
              </w:rPr>
            </w:r>
          </w:p>
        </w:tc>
      </w:tr>
      <w:tr>
        <w:tc>
          <w:tcPr>
            <w:tcW w:type="dxa" w:w="2160"/>
          </w:tcPr>
          <w:p>
            <w:r>
              <w:rPr>
                <w:sz w:val="17"/>
              </w:rPr>
            </w:r>
            <w:r>
              <w:rPr>
                <w:b/>
                <w:sz w:val="17"/>
              </w:rPr>
              <w:t>306-3</w:t>
            </w:r>
            <w:r>
              <w:rPr>
                <w:sz w:val="17"/>
              </w:rPr>
              <w:t xml:space="preserve"> Déchets générés</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Sous-ensemble seulement : STARS ne pèse aucun déchet dangereux. Ne jamais présenter les déchets non dangereux comme le total. Statut abaissé à « partiel » par rapport au rapport de référence.</w:t>
            </w:r>
          </w:p>
        </w:tc>
      </w:tr>
      <w:tr>
        <w:tc>
          <w:tcPr>
            <w:tcW w:type="dxa" w:w="2160"/>
          </w:tcPr>
          <w:p>
            <w:r>
              <w:rPr>
                <w:sz w:val="17"/>
              </w:rPr>
            </w:r>
            <w:r>
              <w:rPr>
                <w:b/>
                <w:sz w:val="17"/>
              </w:rPr>
              <w:t>306-4</w:t>
            </w:r>
            <w:r>
              <w:rPr>
                <w:sz w:val="17"/>
              </w:rPr>
              <w:t xml:space="preserve"> Déchets détournés de l'élimination</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Partie non dangereuse uniquement ; pas de distinction sur site / hors site.</w:t>
            </w:r>
          </w:p>
        </w:tc>
      </w:tr>
      <w:tr>
        <w:tc>
          <w:tcPr>
            <w:tcW w:type="dxa" w:w="2160"/>
          </w:tcPr>
          <w:p>
            <w:r>
              <w:rPr>
                <w:sz w:val="17"/>
              </w:rPr>
            </w:r>
            <w:r>
              <w:rPr>
                <w:b/>
                <w:sz w:val="17"/>
              </w:rPr>
              <w:t>306-5</w:t>
            </w:r>
            <w:r>
              <w:rPr>
                <w:sz w:val="17"/>
              </w:rPr>
              <w:t xml:space="preserve"> Déchets destinés à l'élimination</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STARS regroupe enfouissement et incinération en un seul chiffre.</w:t>
            </w:r>
          </w:p>
        </w:tc>
      </w:tr>
    </w:tbl>
    <w:p/>
    <w:p>
      <w:pPr>
        <w:pStyle w:val="Heading2"/>
      </w:pPr>
      <w:r>
        <w:rPr>
          <w:color w:val="2F6F5E"/>
        </w:rPr>
        <w:t>GRI 308 : Évaluation environnementale des fournisseurs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308-1</w:t>
            </w:r>
            <w:r>
              <w:rPr>
                <w:sz w:val="17"/>
              </w:rPr>
              <w:t xml:space="preserve"> Nouveaux fournisseurs évalués selon des critères environnementaux</w:t>
            </w:r>
          </w:p>
        </w:tc>
        <w:tc>
          <w:tcPr>
            <w:tcW w:type="dxa" w:w="2160"/>
          </w:tcPr>
          <w:p>
            <w:r>
              <w:rPr>
                <w:sz w:val="17"/>
              </w:rPr>
            </w:r>
            <w:r>
              <w:rPr>
                <w:sz w:val="17"/>
              </w:rPr>
              <w:t>Partiellement rapporté</w:t>
            </w:r>
          </w:p>
        </w:tc>
        <w:tc>
          <w:tcPr>
            <w:tcW w:type="dxa" w:w="2160"/>
          </w:tcPr>
          <w:p>
            <w:r>
              <w:rPr>
                <w:sz w:val="17"/>
              </w:rPr>
            </w:r>
            <w:r>
              <w:rPr>
                <w:sz w:val="17"/>
              </w:rPr>
              <w:t>Couvert par le récit de l'établissement (OP-9) ; les champs structurés n'ont pas été extraits.</w:t>
            </w:r>
          </w:p>
        </w:tc>
        <w:tc>
          <w:tcPr>
            <w:tcW w:type="dxa" w:w="2160"/>
          </w:tcPr>
          <w:p>
            <w:r>
              <w:rPr>
                <w:sz w:val="17"/>
              </w:rPr>
            </w:r>
            <w:r>
              <w:rPr>
                <w:sz w:val="17"/>
              </w:rPr>
              <w:t>Le dénominateur STARS est l'appel d'offres, pas le nouveau fournisseur ; aucun pourcentage de fournisseurs évalués n'est calculable.</w:t>
            </w:r>
          </w:p>
        </w:tc>
      </w:tr>
      <w:tr>
        <w:tc>
          <w:tcPr>
            <w:tcW w:type="dxa" w:w="2160"/>
          </w:tcPr>
          <w:p>
            <w:r>
              <w:rPr>
                <w:sz w:val="17"/>
              </w:rPr>
            </w:r>
            <w:r>
              <w:rPr>
                <w:b/>
                <w:sz w:val="17"/>
              </w:rPr>
              <w:t>308-2</w:t>
            </w:r>
            <w:r>
              <w:rPr>
                <w:sz w:val="17"/>
              </w:rPr>
              <w:t xml:space="preserve"> Impacts environnementaux négatifs dans la chaîne d'approvisionnement</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401 : Emploi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401-1</w:t>
            </w:r>
            <w:r>
              <w:rPr>
                <w:sz w:val="17"/>
              </w:rPr>
              <w:t xml:space="preserve"> Recrutements et rotation du personnel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401-2</w:t>
            </w:r>
            <w:r>
              <w:rPr>
                <w:sz w:val="17"/>
              </w:rPr>
              <w:t xml:space="preserve"> Avantages accordés aux salariés à temps plein et non aux temporaires ou temps partiels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Un taux d'éligibilité global, sans la comparaison temps plein / temps partiel qui est l'objet de la publication.</w:t>
            </w:r>
          </w:p>
        </w:tc>
      </w:tr>
      <w:tr>
        <w:tc>
          <w:tcPr>
            <w:tcW w:type="dxa" w:w="2160"/>
          </w:tcPr>
          <w:p>
            <w:r>
              <w:rPr>
                <w:sz w:val="17"/>
              </w:rPr>
            </w:r>
            <w:r>
              <w:rPr>
                <w:b/>
                <w:sz w:val="17"/>
              </w:rPr>
              <w:t>401-3</w:t>
            </w:r>
            <w:r>
              <w:rPr>
                <w:sz w:val="17"/>
              </w:rPr>
              <w:t xml:space="preserve"> Congé parental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STARS décrit la politique, pas son utilisation : ni effectifs, ni taux de retour, ni taux de rétention. « Maternité » est plus étroit que « parental ».</w:t>
            </w:r>
          </w:p>
        </w:tc>
      </w:tr>
    </w:tbl>
    <w:p/>
    <w:p>
      <w:pPr>
        <w:pStyle w:val="Heading2"/>
      </w:pPr>
      <w:r>
        <w:rPr>
          <w:color w:val="2F6F5E"/>
        </w:rPr>
        <w:t>GRI 403 : Santé et sécurité au travail 2018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403-1</w:t>
            </w:r>
            <w:r>
              <w:rPr>
                <w:sz w:val="17"/>
              </w:rPr>
              <w:t xml:space="preserve"> Système de management de la santé et de la sécurité au travail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Rien n'indique si le système est réglementaire, quelle norme il suit, ni qui il couvre.</w:t>
            </w:r>
          </w:p>
        </w:tc>
      </w:tr>
      <w:tr>
        <w:tc>
          <w:tcPr>
            <w:tcW w:type="dxa" w:w="2160"/>
          </w:tcPr>
          <w:p>
            <w:r>
              <w:rPr>
                <w:sz w:val="17"/>
              </w:rPr>
            </w:r>
            <w:r>
              <w:rPr>
                <w:b/>
                <w:sz w:val="17"/>
              </w:rPr>
              <w:t>403-2</w:t>
            </w:r>
            <w:r>
              <w:rPr>
                <w:sz w:val="17"/>
              </w:rPr>
              <w:t xml:space="preserve"> Identification des dangers, évaluation des risques et enquêtes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403-3</w:t>
            </w:r>
            <w:r>
              <w:rPr>
                <w:sz w:val="17"/>
              </w:rPr>
              <w:t xml:space="preserve"> Services de santé au travail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Des services de santé généraux ne sont pas des services de santé au travail au sens de GRI 403-3.</w:t>
            </w:r>
          </w:p>
        </w:tc>
      </w:tr>
      <w:tr>
        <w:tc>
          <w:tcPr>
            <w:tcW w:type="dxa" w:w="2160"/>
          </w:tcPr>
          <w:p>
            <w:r>
              <w:rPr>
                <w:sz w:val="17"/>
              </w:rPr>
            </w:r>
            <w:r>
              <w:rPr>
                <w:b/>
                <w:sz w:val="17"/>
              </w:rPr>
              <w:t>403-4</w:t>
            </w:r>
            <w:r>
              <w:rPr>
                <w:sz w:val="17"/>
              </w:rPr>
              <w:t xml:space="preserve"> Participation et consultation des travailleurs en santé et sécurité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Existence du comité seulement : ni fréquence des réunions, ni pouvoir de décision.</w:t>
            </w:r>
          </w:p>
        </w:tc>
      </w:tr>
      <w:tr>
        <w:tc>
          <w:tcPr>
            <w:tcW w:type="dxa" w:w="2160"/>
          </w:tcPr>
          <w:p>
            <w:r>
              <w:rPr>
                <w:sz w:val="17"/>
              </w:rPr>
            </w:r>
            <w:r>
              <w:rPr>
                <w:b/>
                <w:sz w:val="17"/>
              </w:rPr>
              <w:t>403-5</w:t>
            </w:r>
            <w:r>
              <w:rPr>
                <w:sz w:val="17"/>
              </w:rPr>
              <w:t xml:space="preserve"> Formation des travailleurs à la santé et sécurité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403-6</w:t>
            </w:r>
            <w:r>
              <w:rPr>
                <w:sz w:val="17"/>
              </w:rPr>
              <w:t xml:space="preserve"> Promotion de la santé des travailleurs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p>
        </w:tc>
      </w:tr>
      <w:tr>
        <w:tc>
          <w:tcPr>
            <w:tcW w:type="dxa" w:w="2160"/>
          </w:tcPr>
          <w:p>
            <w:r>
              <w:rPr>
                <w:sz w:val="17"/>
              </w:rPr>
            </w:r>
            <w:r>
              <w:rPr>
                <w:b/>
                <w:sz w:val="17"/>
              </w:rPr>
              <w:t>403-7</w:t>
            </w:r>
            <w:r>
              <w:rPr>
                <w:sz w:val="17"/>
              </w:rPr>
              <w:t xml:space="preserve"> Prévention des impacts liés aux relations d'affaires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403-8</w:t>
            </w:r>
            <w:r>
              <w:rPr>
                <w:sz w:val="17"/>
              </w:rPr>
              <w:t xml:space="preserve"> Travailleurs couverts par un système de management</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403-9</w:t>
            </w:r>
            <w:r>
              <w:rPr>
                <w:sz w:val="17"/>
              </w:rPr>
              <w:t xml:space="preserve"> Accidents du travail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PA-11 ne contient aucun chiffre d'accident.</w:t>
            </w:r>
          </w:p>
        </w:tc>
      </w:tr>
      <w:tr>
        <w:tc>
          <w:tcPr>
            <w:tcW w:type="dxa" w:w="2160"/>
          </w:tcPr>
          <w:p>
            <w:r>
              <w:rPr>
                <w:sz w:val="17"/>
              </w:rPr>
            </w:r>
            <w:r>
              <w:rPr>
                <w:b/>
                <w:sz w:val="17"/>
              </w:rPr>
              <w:t>403-10</w:t>
            </w:r>
            <w:r>
              <w:rPr>
                <w:sz w:val="17"/>
              </w:rPr>
              <w:t xml:space="preserve"> Problèmes de santé liés au travail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405 : Diversité et égalité des chances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405-1</w:t>
            </w:r>
            <w:r>
              <w:rPr>
                <w:sz w:val="17"/>
              </w:rPr>
              <w:t xml:space="preserve"> Diversité des organes de gouvernance et des salariés</w:t>
            </w:r>
          </w:p>
        </w:tc>
        <w:tc>
          <w:tcPr>
            <w:tcW w:type="dxa" w:w="2160"/>
          </w:tcPr>
          <w:p>
            <w:r>
              <w:rPr>
                <w:sz w:val="17"/>
              </w:rPr>
            </w:r>
            <w:r>
              <w:rPr>
                <w:sz w:val="17"/>
              </w:rPr>
              <w:t>Non évalué</w:t>
            </w:r>
          </w:p>
        </w:tc>
        <w:tc>
          <w:tcPr>
            <w:tcW w:type="dxa" w:w="2160"/>
          </w:tcPr>
          <w:p>
            <w:r>
              <w:rPr>
                <w:sz w:val="17"/>
              </w:rPr>
            </w:r>
            <w:r>
              <w:rPr>
                <w:sz w:val="17"/>
              </w:rPr>
              <w:t>Champ STARS identifié (PA-7, PA-8) mais valeur non extraite : nécessite les pages STARS authentifiées.</w:t>
            </w:r>
          </w:p>
        </w:tc>
        <w:tc>
          <w:tcPr>
            <w:tcW w:type="dxa" w:w="2160"/>
          </w:tcPr>
          <w:p>
            <w:r>
              <w:rPr>
                <w:sz w:val="17"/>
              </w:rPr>
            </w:r>
            <w:r>
              <w:rPr>
                <w:sz w:val="17"/>
              </w:rPr>
              <w:t>Un indice de diversité (score de 0 à 1) n'est pas la ventilation en pourcentages demandée ; deux catégories de genre au lieu de trois ; aucune donnée d'âge.</w:t>
            </w:r>
          </w:p>
        </w:tc>
      </w:tr>
      <w:tr>
        <w:tc>
          <w:tcPr>
            <w:tcW w:type="dxa" w:w="2160"/>
          </w:tcPr>
          <w:p>
            <w:r>
              <w:rPr>
                <w:sz w:val="17"/>
              </w:rPr>
            </w:r>
            <w:r>
              <w:rPr>
                <w:b/>
                <w:sz w:val="17"/>
              </w:rPr>
              <w:t>405-2</w:t>
            </w:r>
            <w:r>
              <w:rPr>
                <w:sz w:val="17"/>
              </w:rPr>
              <w:t xml:space="preserve"> Ratio du salaire de base et de la rémunération des femmes par rapport aux hommes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PA-13 couvre le salaire décent, pas l'écart de rémunération femmes-hommes, malgré son intitulé « Pay Equity ».</w:t>
            </w:r>
          </w:p>
        </w:tc>
      </w:tr>
    </w:tbl>
    <w:p/>
    <w:p>
      <w:pPr>
        <w:pStyle w:val="Heading1"/>
      </w:pPr>
      <w:r>
        <w:rPr>
          <w:color w:val="2F6F5E"/>
        </w:rPr>
        <w:t>Annexe — Correspondance STARS → GRI, TCFD, ESRS</w:t>
      </w:r>
    </w:p>
    <w:p>
      <w:r>
        <w:t xml:space="preserve">Correspondance </w:t>
      </w:r>
      <w:r>
        <w:rPr>
          <w:b/>
        </w:rPr>
        <w:t>thématique</w:t>
      </w:r>
      <w:r>
        <w:t xml:space="preserve"> écrite à la main (</w:t>
      </w:r>
      <w:r>
        <w:rPr>
          <w:rFonts w:ascii="Consolas" w:hAnsi="Consolas"/>
        </w:rPr>
        <w:t>mapping/frameworks.yaml</w:t>
      </w:r>
      <w:r>
        <w:t xml:space="preserve">, </w:t>
      </w:r>
      <w:r>
        <w:rPr>
          <w:rFonts w:ascii="Consolas" w:hAnsi="Consolas"/>
        </w:rPr>
        <w:t>mapping/gri_map.yaml</w:t>
      </w:r>
      <w:r>
        <w:t>), jamais générée par le modèle. Un crédit sans équivalent est marqué « Aucune correspondance » plutôt que forcé. Correspondance STARS -&gt; GRI : 22/50 crédits reliés, 28 sans correspondance | TCFD : 7/50 crédits reliés, 43 sans correspondance | ESRS : 32/50 crédits reliés, 18 sans correspondance.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Crédit STARS</w:t>
            </w:r>
          </w:p>
        </w:tc>
        <w:tc>
          <w:tcPr>
            <w:tcW w:type="dxa" w:w="2160"/>
          </w:tcPr>
          <w:p>
            <w:r>
              <w:rPr>
                <w:b/>
                <w:sz w:val="17"/>
              </w:rPr>
            </w:r>
            <w:r>
              <w:rPr>
                <w:b/>
                <w:sz w:val="17"/>
              </w:rPr>
              <w:t>GRI</w:t>
            </w:r>
          </w:p>
        </w:tc>
        <w:tc>
          <w:tcPr>
            <w:tcW w:type="dxa" w:w="2160"/>
          </w:tcPr>
          <w:p>
            <w:r>
              <w:rPr>
                <w:b/>
                <w:sz w:val="17"/>
              </w:rPr>
            </w:r>
            <w:r>
              <w:rPr>
                <w:b/>
                <w:sz w:val="17"/>
              </w:rPr>
              <w:t>TCFD</w:t>
            </w:r>
          </w:p>
        </w:tc>
        <w:tc>
          <w:tcPr>
            <w:tcW w:type="dxa" w:w="2160"/>
          </w:tcPr>
          <w:p>
            <w:r>
              <w:rPr>
                <w:b/>
                <w:sz w:val="17"/>
              </w:rPr>
            </w:r>
            <w:r>
              <w:rPr>
                <w:b/>
                <w:sz w:val="17"/>
              </w:rPr>
              <w:t>ESRS</w:t>
            </w:r>
          </w:p>
        </w:tc>
      </w:tr>
      <w:tr>
        <w:tc>
          <w:tcPr>
            <w:tcW w:type="dxa" w:w="2160"/>
          </w:tcPr>
          <w:p>
            <w:r>
              <w:rPr>
                <w:sz w:val="17"/>
              </w:rPr>
            </w:r>
            <w:r>
              <w:rPr>
                <w:b/>
                <w:sz w:val="17"/>
              </w:rPr>
              <w:t>PRE-1</w:t>
            </w:r>
            <w:r>
              <w:rPr>
                <w:sz w:val="17"/>
              </w:rPr>
              <w:t xml:space="preserve"> Executive Letter</w:t>
            </w:r>
          </w:p>
        </w:tc>
        <w:tc>
          <w:tcPr>
            <w:tcW w:type="dxa" w:w="2160"/>
          </w:tcPr>
          <w:p>
            <w:r>
              <w:rPr>
                <w:sz w:val="17"/>
              </w:rPr>
            </w:r>
            <w:r>
              <w:rPr>
                <w:sz w:val="17"/>
              </w:rPr>
              <w:t>GRI 2-14</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PRE-2</w:t>
            </w:r>
            <w:r>
              <w:rPr>
                <w:sz w:val="17"/>
              </w:rPr>
              <w:t xml:space="preserve"> Points of Distinction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PRE-3</w:t>
            </w:r>
            <w:r>
              <w:rPr>
                <w:sz w:val="17"/>
              </w:rPr>
              <w:t xml:space="preserve"> Institutional Characteristics</w:t>
            </w:r>
          </w:p>
        </w:tc>
        <w:tc>
          <w:tcPr>
            <w:tcW w:type="dxa" w:w="2160"/>
          </w:tcPr>
          <w:p>
            <w:r>
              <w:rPr>
                <w:sz w:val="17"/>
              </w:rPr>
            </w:r>
            <w:r>
              <w:rPr>
                <w:sz w:val="17"/>
              </w:rPr>
              <w:t>GRI 2-1, GRI 2-2, GRI 2-6, GRI 2-7</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PRE-4</w:t>
            </w:r>
            <w:r>
              <w:rPr>
                <w:sz w:val="17"/>
              </w:rPr>
              <w:t xml:space="preserve"> Reporting Methodologies</w:t>
            </w:r>
          </w:p>
        </w:tc>
        <w:tc>
          <w:tcPr>
            <w:tcW w:type="dxa" w:w="2160"/>
          </w:tcPr>
          <w:p>
            <w:r>
              <w:rPr>
                <w:sz w:val="17"/>
              </w:rPr>
            </w:r>
            <w:r>
              <w:rPr>
                <w:sz w:val="17"/>
              </w:rPr>
              <w:t>GRI 2-3, GRI 2-5</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AC-1</w:t>
            </w:r>
            <w:r>
              <w:rPr>
                <w:sz w:val="17"/>
              </w:rPr>
              <w:t xml:space="preserve"> Sustainability Course Offerings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AC-2</w:t>
            </w:r>
            <w:r>
              <w:rPr>
                <w:sz w:val="17"/>
              </w:rPr>
              <w:t xml:space="preserve"> Undergraduate Programs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AC-3</w:t>
            </w:r>
            <w:r>
              <w:rPr>
                <w:sz w:val="17"/>
              </w:rPr>
              <w:t xml:space="preserve"> Graduate Programs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AC-4</w:t>
            </w:r>
            <w:r>
              <w:rPr>
                <w:sz w:val="17"/>
              </w:rPr>
              <w:t xml:space="preserve"> Applied Learning</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AC-5</w:t>
            </w:r>
            <w:r>
              <w:rPr>
                <w:sz w:val="17"/>
              </w:rPr>
              <w:t xml:space="preserve"> Sustainability Literacy Assessment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AC-6</w:t>
            </w:r>
            <w:r>
              <w:rPr>
                <w:sz w:val="17"/>
              </w:rPr>
              <w:t xml:space="preserve"> Sustainability Research</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AC-7</w:t>
            </w:r>
            <w:r>
              <w:rPr>
                <w:sz w:val="17"/>
              </w:rPr>
              <w:t xml:space="preserve"> Center for Sustainability Research</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AC-8</w:t>
            </w:r>
            <w:r>
              <w:rPr>
                <w:sz w:val="17"/>
              </w:rPr>
              <w:t xml:space="preserve"> Responsible Research and Innovation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EN-1</w:t>
            </w:r>
            <w:r>
              <w:rPr>
                <w:sz w:val="17"/>
              </w:rPr>
              <w:t xml:space="preserve"> Outreach and Communications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EN-2</w:t>
            </w:r>
            <w:r>
              <w:rPr>
                <w:sz w:val="17"/>
              </w:rPr>
              <w:t xml:space="preserve"> Co-Curricular Activities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EN-3</w:t>
            </w:r>
            <w:r>
              <w:rPr>
                <w:sz w:val="17"/>
              </w:rPr>
              <w:t xml:space="preserve"> Staff Engagement and Training</w:t>
            </w:r>
          </w:p>
        </w:tc>
        <w:tc>
          <w:tcPr>
            <w:tcW w:type="dxa" w:w="2160"/>
          </w:tcPr>
          <w:p>
            <w:r>
              <w:rPr>
                <w:sz w:val="17"/>
              </w:rPr>
            </w:r>
            <w:r>
              <w:rPr>
                <w:sz w:val="17"/>
              </w:rPr>
              <w:t>GRI 2-24</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EN-4</w:t>
            </w:r>
            <w:r>
              <w:rPr>
                <w:sz w:val="17"/>
              </w:rPr>
              <w:t xml:space="preserve"> Sustainability Culture Assessment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EN-5</w:t>
            </w:r>
            <w:r>
              <w:rPr>
                <w:sz w:val="17"/>
              </w:rPr>
              <w:t xml:space="preserve"> Civic Engagement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S3</w:t>
            </w:r>
          </w:p>
        </w:tc>
      </w:tr>
      <w:tr>
        <w:tc>
          <w:tcPr>
            <w:tcW w:type="dxa" w:w="2160"/>
          </w:tcPr>
          <w:p>
            <w:r>
              <w:rPr>
                <w:sz w:val="17"/>
              </w:rPr>
            </w:r>
            <w:r>
              <w:rPr>
                <w:b/>
                <w:sz w:val="17"/>
              </w:rPr>
              <w:t>EN-6</w:t>
            </w:r>
            <w:r>
              <w:rPr>
                <w:sz w:val="17"/>
              </w:rPr>
              <w:t xml:space="preserve"> Community Partnerships</w:t>
            </w:r>
          </w:p>
        </w:tc>
        <w:tc>
          <w:tcPr>
            <w:tcW w:type="dxa" w:w="2160"/>
          </w:tcPr>
          <w:p>
            <w:r>
              <w:rPr>
                <w:sz w:val="17"/>
              </w:rPr>
            </w:r>
            <w:r>
              <w:rPr>
                <w:sz w:val="17"/>
              </w:rPr>
              <w:t>GRI 2-29</w:t>
            </w:r>
          </w:p>
        </w:tc>
        <w:tc>
          <w:tcPr>
            <w:tcW w:type="dxa" w:w="2160"/>
          </w:tcPr>
          <w:p>
            <w:r>
              <w:rPr>
                <w:sz w:val="17"/>
              </w:rPr>
            </w:r>
            <w:r>
              <w:rPr>
                <w:sz w:val="17"/>
              </w:rPr>
              <w:t>Aucune correspondance</w:t>
            </w:r>
          </w:p>
        </w:tc>
        <w:tc>
          <w:tcPr>
            <w:tcW w:type="dxa" w:w="2160"/>
          </w:tcPr>
          <w:p>
            <w:r>
              <w:rPr>
                <w:sz w:val="17"/>
              </w:rPr>
            </w:r>
            <w:r>
              <w:rPr>
                <w:sz w:val="17"/>
              </w:rPr>
              <w:t>S3</w:t>
            </w:r>
          </w:p>
        </w:tc>
      </w:tr>
      <w:tr>
        <w:tc>
          <w:tcPr>
            <w:tcW w:type="dxa" w:w="2160"/>
          </w:tcPr>
          <w:p>
            <w:r>
              <w:rPr>
                <w:sz w:val="17"/>
              </w:rPr>
            </w:r>
            <w:r>
              <w:rPr>
                <w:b/>
                <w:sz w:val="17"/>
              </w:rPr>
              <w:t>EN-7</w:t>
            </w:r>
            <w:r>
              <w:rPr>
                <w:sz w:val="17"/>
              </w:rPr>
              <w:t xml:space="preserve"> Continuing Education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EN-8</w:t>
            </w:r>
            <w:r>
              <w:rPr>
                <w:sz w:val="17"/>
              </w:rPr>
              <w:t xml:space="preserve"> Shared Facilities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EN-9</w:t>
            </w:r>
            <w:r>
              <w:rPr>
                <w:sz w:val="17"/>
              </w:rPr>
              <w:t xml:space="preserve"> Inter-Campus Collaboration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OP-1</w:t>
            </w:r>
            <w:r>
              <w:rPr>
                <w:sz w:val="17"/>
              </w:rPr>
              <w:t xml:space="preserve"> Building Design and Construction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E1</w:t>
            </w:r>
          </w:p>
        </w:tc>
      </w:tr>
      <w:tr>
        <w:tc>
          <w:tcPr>
            <w:tcW w:type="dxa" w:w="2160"/>
          </w:tcPr>
          <w:p>
            <w:r>
              <w:rPr>
                <w:sz w:val="17"/>
              </w:rPr>
            </w:r>
            <w:r>
              <w:rPr>
                <w:b/>
                <w:sz w:val="17"/>
              </w:rPr>
              <w:t>OP-2</w:t>
            </w:r>
            <w:r>
              <w:rPr>
                <w:sz w:val="17"/>
              </w:rPr>
              <w:t xml:space="preserve"> Building Operations and Maintenance</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E1</w:t>
            </w:r>
          </w:p>
        </w:tc>
      </w:tr>
      <w:tr>
        <w:tc>
          <w:tcPr>
            <w:tcW w:type="dxa" w:w="2160"/>
          </w:tcPr>
          <w:p>
            <w:r>
              <w:rPr>
                <w:sz w:val="17"/>
              </w:rPr>
            </w:r>
            <w:r>
              <w:rPr>
                <w:b/>
                <w:sz w:val="17"/>
              </w:rPr>
              <w:t>OP-3</w:t>
            </w:r>
            <w:r>
              <w:rPr>
                <w:sz w:val="17"/>
              </w:rPr>
              <w:t xml:space="preserve"> Water Use</w:t>
            </w:r>
          </w:p>
        </w:tc>
        <w:tc>
          <w:tcPr>
            <w:tcW w:type="dxa" w:w="2160"/>
          </w:tcPr>
          <w:p>
            <w:r>
              <w:rPr>
                <w:sz w:val="17"/>
              </w:rPr>
            </w:r>
            <w:r>
              <w:rPr>
                <w:sz w:val="17"/>
              </w:rPr>
              <w:t>GRI 303-1, GRI 303-3</w:t>
            </w:r>
          </w:p>
        </w:tc>
        <w:tc>
          <w:tcPr>
            <w:tcW w:type="dxa" w:w="2160"/>
          </w:tcPr>
          <w:p>
            <w:r>
              <w:rPr>
                <w:sz w:val="17"/>
              </w:rPr>
            </w:r>
            <w:r>
              <w:rPr>
                <w:sz w:val="17"/>
              </w:rPr>
              <w:t>Aucune correspondance</w:t>
            </w:r>
          </w:p>
        </w:tc>
        <w:tc>
          <w:tcPr>
            <w:tcW w:type="dxa" w:w="2160"/>
          </w:tcPr>
          <w:p>
            <w:r>
              <w:rPr>
                <w:sz w:val="17"/>
              </w:rPr>
            </w:r>
            <w:r>
              <w:rPr>
                <w:sz w:val="17"/>
              </w:rPr>
              <w:t>E3</w:t>
            </w:r>
          </w:p>
        </w:tc>
      </w:tr>
      <w:tr>
        <w:tc>
          <w:tcPr>
            <w:tcW w:type="dxa" w:w="2160"/>
          </w:tcPr>
          <w:p>
            <w:r>
              <w:rPr>
                <w:sz w:val="17"/>
              </w:rPr>
            </w:r>
            <w:r>
              <w:rPr>
                <w:b/>
                <w:sz w:val="17"/>
              </w:rPr>
              <w:t>OP-4</w:t>
            </w:r>
            <w:r>
              <w:rPr>
                <w:sz w:val="17"/>
              </w:rPr>
              <w:t xml:space="preserve"> Ecologically Managed Grounds</w:t>
            </w:r>
          </w:p>
        </w:tc>
        <w:tc>
          <w:tcPr>
            <w:tcW w:type="dxa" w:w="2160"/>
          </w:tcPr>
          <w:p>
            <w:r>
              <w:rPr>
                <w:sz w:val="17"/>
              </w:rPr>
            </w:r>
            <w:r>
              <w:rPr>
                <w:sz w:val="17"/>
              </w:rPr>
              <w:t>GRI 101-2</w:t>
            </w:r>
          </w:p>
        </w:tc>
        <w:tc>
          <w:tcPr>
            <w:tcW w:type="dxa" w:w="2160"/>
          </w:tcPr>
          <w:p>
            <w:r>
              <w:rPr>
                <w:sz w:val="17"/>
              </w:rPr>
            </w:r>
            <w:r>
              <w:rPr>
                <w:sz w:val="17"/>
              </w:rPr>
              <w:t>Aucune correspondance</w:t>
            </w:r>
          </w:p>
        </w:tc>
        <w:tc>
          <w:tcPr>
            <w:tcW w:type="dxa" w:w="2160"/>
          </w:tcPr>
          <w:p>
            <w:r>
              <w:rPr>
                <w:sz w:val="17"/>
              </w:rPr>
            </w:r>
            <w:r>
              <w:rPr>
                <w:sz w:val="17"/>
              </w:rPr>
              <w:t>E4, E2</w:t>
            </w:r>
          </w:p>
        </w:tc>
      </w:tr>
      <w:tr>
        <w:tc>
          <w:tcPr>
            <w:tcW w:type="dxa" w:w="2160"/>
          </w:tcPr>
          <w:p>
            <w:r>
              <w:rPr>
                <w:sz w:val="17"/>
              </w:rPr>
            </w:r>
            <w:r>
              <w:rPr>
                <w:b/>
                <w:sz w:val="17"/>
              </w:rPr>
              <w:t>OP-5</w:t>
            </w:r>
            <w:r>
              <w:rPr>
                <w:sz w:val="17"/>
              </w:rPr>
              <w:t xml:space="preserve"> Energy Use</w:t>
            </w:r>
          </w:p>
        </w:tc>
        <w:tc>
          <w:tcPr>
            <w:tcW w:type="dxa" w:w="2160"/>
          </w:tcPr>
          <w:p>
            <w:r>
              <w:rPr>
                <w:sz w:val="17"/>
              </w:rPr>
            </w:r>
            <w:r>
              <w:rPr>
                <w:sz w:val="17"/>
              </w:rPr>
              <w:t>GRI 302-1, GRI 302-3</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OP-6</w:t>
            </w:r>
            <w:r>
              <w:rPr>
                <w:sz w:val="17"/>
              </w:rPr>
              <w:t xml:space="preserve"> Greenhouse Gas Emissions</w:t>
            </w:r>
          </w:p>
        </w:tc>
        <w:tc>
          <w:tcPr>
            <w:tcW w:type="dxa" w:w="2160"/>
          </w:tcPr>
          <w:p>
            <w:r>
              <w:rPr>
                <w:sz w:val="17"/>
              </w:rPr>
            </w:r>
            <w:r>
              <w:rPr>
                <w:sz w:val="17"/>
              </w:rPr>
              <w:t>GRI 2-3, GRI 305-1, GRI 305-2, GRI 305-3, GRI 305-4, GRI 305-5</w:t>
            </w:r>
          </w:p>
        </w:tc>
        <w:tc>
          <w:tcPr>
            <w:tcW w:type="dxa" w:w="2160"/>
          </w:tcPr>
          <w:p>
            <w:r>
              <w:rPr>
                <w:sz w:val="17"/>
              </w:rPr>
            </w:r>
            <w:r>
              <w:rPr>
                <w:sz w:val="17"/>
              </w:rPr>
              <w:t>MT-b, MT-c</w:t>
            </w:r>
          </w:p>
        </w:tc>
        <w:tc>
          <w:tcPr>
            <w:tcW w:type="dxa" w:w="2160"/>
          </w:tcPr>
          <w:p>
            <w:r>
              <w:rPr>
                <w:sz w:val="17"/>
              </w:rPr>
            </w:r>
            <w:r>
              <w:rPr>
                <w:sz w:val="17"/>
              </w:rPr>
              <w:t>E1</w:t>
            </w:r>
          </w:p>
        </w:tc>
      </w:tr>
      <w:tr>
        <w:tc>
          <w:tcPr>
            <w:tcW w:type="dxa" w:w="2160"/>
          </w:tcPr>
          <w:p>
            <w:r>
              <w:rPr>
                <w:sz w:val="17"/>
              </w:rPr>
            </w:r>
            <w:r>
              <w:rPr>
                <w:b/>
                <w:sz w:val="17"/>
              </w:rPr>
              <w:t>OP-7</w:t>
            </w:r>
            <w:r>
              <w:rPr>
                <w:sz w:val="17"/>
              </w:rPr>
              <w:t xml:space="preserve"> Dining Service Procurement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G1</w:t>
            </w:r>
          </w:p>
        </w:tc>
      </w:tr>
      <w:tr>
        <w:tc>
          <w:tcPr>
            <w:tcW w:type="dxa" w:w="2160"/>
          </w:tcPr>
          <w:p>
            <w:r>
              <w:rPr>
                <w:sz w:val="17"/>
              </w:rPr>
            </w:r>
            <w:r>
              <w:rPr>
                <w:b/>
                <w:sz w:val="17"/>
              </w:rPr>
              <w:t>OP-8</w:t>
            </w:r>
            <w:r>
              <w:rPr>
                <w:sz w:val="17"/>
              </w:rPr>
              <w:t xml:space="preserve"> Food Recovery</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OP-9</w:t>
            </w:r>
            <w:r>
              <w:rPr>
                <w:sz w:val="17"/>
              </w:rPr>
              <w:t xml:space="preserve"> Sustainable Procurement System</w:t>
            </w:r>
          </w:p>
        </w:tc>
        <w:tc>
          <w:tcPr>
            <w:tcW w:type="dxa" w:w="2160"/>
          </w:tcPr>
          <w:p>
            <w:r>
              <w:rPr>
                <w:sz w:val="17"/>
              </w:rPr>
            </w:r>
            <w:r>
              <w:rPr>
                <w:sz w:val="17"/>
              </w:rPr>
              <w:t>GRI 2-24, GRI 308-1</w:t>
            </w:r>
          </w:p>
        </w:tc>
        <w:tc>
          <w:tcPr>
            <w:tcW w:type="dxa" w:w="2160"/>
          </w:tcPr>
          <w:p>
            <w:r>
              <w:rPr>
                <w:sz w:val="17"/>
              </w:rPr>
            </w:r>
            <w:r>
              <w:rPr>
                <w:sz w:val="17"/>
              </w:rPr>
              <w:t>Aucune correspondance</w:t>
            </w:r>
          </w:p>
        </w:tc>
        <w:tc>
          <w:tcPr>
            <w:tcW w:type="dxa" w:w="2160"/>
          </w:tcPr>
          <w:p>
            <w:r>
              <w:rPr>
                <w:sz w:val="17"/>
              </w:rPr>
            </w:r>
            <w:r>
              <w:rPr>
                <w:sz w:val="17"/>
              </w:rPr>
              <w:t>G1, S2</w:t>
            </w:r>
          </w:p>
        </w:tc>
      </w:tr>
      <w:tr>
        <w:tc>
          <w:tcPr>
            <w:tcW w:type="dxa" w:w="2160"/>
          </w:tcPr>
          <w:p>
            <w:r>
              <w:rPr>
                <w:sz w:val="17"/>
              </w:rPr>
            </w:r>
            <w:r>
              <w:rPr>
                <w:b/>
                <w:sz w:val="17"/>
              </w:rPr>
              <w:t>OP-10</w:t>
            </w:r>
            <w:r>
              <w:rPr>
                <w:sz w:val="17"/>
              </w:rPr>
              <w:t xml:space="preserve"> Purchased Goods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OP-11</w:t>
            </w:r>
            <w:r>
              <w:rPr>
                <w:sz w:val="17"/>
              </w:rPr>
              <w:t xml:space="preserve"> Materials Management</w:t>
            </w:r>
          </w:p>
        </w:tc>
        <w:tc>
          <w:tcPr>
            <w:tcW w:type="dxa" w:w="2160"/>
          </w:tcPr>
          <w:p>
            <w:r>
              <w:rPr>
                <w:sz w:val="17"/>
              </w:rPr>
            </w:r>
            <w:r>
              <w:rPr>
                <w:sz w:val="17"/>
              </w:rPr>
              <w:t>GRI 306-2</w:t>
            </w:r>
          </w:p>
        </w:tc>
        <w:tc>
          <w:tcPr>
            <w:tcW w:type="dxa" w:w="2160"/>
          </w:tcPr>
          <w:p>
            <w:r>
              <w:rPr>
                <w:sz w:val="17"/>
              </w:rPr>
            </w:r>
            <w:r>
              <w:rPr>
                <w:sz w:val="17"/>
              </w:rPr>
              <w:t>Aucune correspondance</w:t>
            </w:r>
          </w:p>
        </w:tc>
        <w:tc>
          <w:tcPr>
            <w:tcW w:type="dxa" w:w="2160"/>
          </w:tcPr>
          <w:p>
            <w:r>
              <w:rPr>
                <w:sz w:val="17"/>
              </w:rPr>
            </w:r>
            <w:r>
              <w:rPr>
                <w:sz w:val="17"/>
              </w:rPr>
              <w:t>E5, E2</w:t>
            </w:r>
          </w:p>
        </w:tc>
      </w:tr>
      <w:tr>
        <w:tc>
          <w:tcPr>
            <w:tcW w:type="dxa" w:w="2160"/>
          </w:tcPr>
          <w:p>
            <w:r>
              <w:rPr>
                <w:sz w:val="17"/>
              </w:rPr>
            </w:r>
            <w:r>
              <w:rPr>
                <w:b/>
                <w:sz w:val="17"/>
              </w:rPr>
              <w:t>OP-12</w:t>
            </w:r>
            <w:r>
              <w:rPr>
                <w:sz w:val="17"/>
              </w:rPr>
              <w:t xml:space="preserve"> Waste Generation and Recovery</w:t>
            </w:r>
          </w:p>
        </w:tc>
        <w:tc>
          <w:tcPr>
            <w:tcW w:type="dxa" w:w="2160"/>
          </w:tcPr>
          <w:p>
            <w:r>
              <w:rPr>
                <w:sz w:val="17"/>
              </w:rPr>
            </w:r>
            <w:r>
              <w:rPr>
                <w:sz w:val="17"/>
              </w:rPr>
              <w:t>GRI 306-2, GRI 306-3, GRI 306-4, GRI 306-5</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OP-13</w:t>
            </w:r>
            <w:r>
              <w:rPr>
                <w:sz w:val="17"/>
              </w:rPr>
              <w:t xml:space="preserve"> Vehicle Fleet</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OP-14</w:t>
            </w:r>
            <w:r>
              <w:rPr>
                <w:sz w:val="17"/>
              </w:rPr>
              <w:t xml:space="preserve"> Commute Modal Split</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OP-15</w:t>
            </w:r>
            <w:r>
              <w:rPr>
                <w:sz w:val="17"/>
              </w:rPr>
              <w:t xml:space="preserve"> Air Travel</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PA-1</w:t>
            </w:r>
            <w:r>
              <w:rPr>
                <w:sz w:val="17"/>
              </w:rPr>
              <w:t xml:space="preserve"> Sustainability Coordination</w:t>
            </w:r>
          </w:p>
        </w:tc>
        <w:tc>
          <w:tcPr>
            <w:tcW w:type="dxa" w:w="2160"/>
          </w:tcPr>
          <w:p>
            <w:r>
              <w:rPr>
                <w:sz w:val="17"/>
              </w:rPr>
            </w:r>
            <w:r>
              <w:rPr>
                <w:sz w:val="17"/>
              </w:rPr>
              <w:t>GRI 2-13, GRI 2-24, GRI 3-3</w:t>
            </w:r>
          </w:p>
        </w:tc>
        <w:tc>
          <w:tcPr>
            <w:tcW w:type="dxa" w:w="2160"/>
          </w:tcPr>
          <w:p>
            <w:r>
              <w:rPr>
                <w:sz w:val="17"/>
              </w:rPr>
            </w:r>
            <w:r>
              <w:rPr>
                <w:sz w:val="17"/>
              </w:rPr>
              <w:t>GOV-b</w:t>
            </w:r>
          </w:p>
        </w:tc>
        <w:tc>
          <w:tcPr>
            <w:tcW w:type="dxa" w:w="2160"/>
          </w:tcPr>
          <w:p>
            <w:r>
              <w:rPr>
                <w:sz w:val="17"/>
              </w:rPr>
            </w:r>
            <w:r>
              <w:rPr>
                <w:sz w:val="17"/>
              </w:rPr>
              <w:t>ESRS 2</w:t>
            </w:r>
          </w:p>
        </w:tc>
      </w:tr>
      <w:tr>
        <w:tc>
          <w:tcPr>
            <w:tcW w:type="dxa" w:w="2160"/>
          </w:tcPr>
          <w:p>
            <w:r>
              <w:rPr>
                <w:sz w:val="17"/>
              </w:rPr>
            </w:r>
            <w:r>
              <w:rPr>
                <w:b/>
                <w:sz w:val="17"/>
              </w:rPr>
              <w:t>PA-2</w:t>
            </w:r>
            <w:r>
              <w:rPr>
                <w:sz w:val="17"/>
              </w:rPr>
              <w:t xml:space="preserve"> Commitments and Planning</w:t>
            </w:r>
          </w:p>
        </w:tc>
        <w:tc>
          <w:tcPr>
            <w:tcW w:type="dxa" w:w="2160"/>
          </w:tcPr>
          <w:p>
            <w:r>
              <w:rPr>
                <w:sz w:val="17"/>
              </w:rPr>
            </w:r>
            <w:r>
              <w:rPr>
                <w:sz w:val="17"/>
              </w:rPr>
              <w:t>GRI 2-22, GRI 2-23, GRI 2-28, GRI 3-2, GRI 3-3</w:t>
            </w:r>
          </w:p>
        </w:tc>
        <w:tc>
          <w:tcPr>
            <w:tcW w:type="dxa" w:w="2160"/>
          </w:tcPr>
          <w:p>
            <w:r>
              <w:rPr>
                <w:sz w:val="17"/>
              </w:rPr>
            </w:r>
            <w:r>
              <w:rPr>
                <w:sz w:val="17"/>
              </w:rPr>
              <w:t>STR-a, MT-c</w:t>
            </w:r>
          </w:p>
        </w:tc>
        <w:tc>
          <w:tcPr>
            <w:tcW w:type="dxa" w:w="2160"/>
          </w:tcPr>
          <w:p>
            <w:r>
              <w:rPr>
                <w:sz w:val="17"/>
              </w:rPr>
            </w:r>
            <w:r>
              <w:rPr>
                <w:sz w:val="17"/>
              </w:rPr>
              <w:t>ESRS 2, E1</w:t>
            </w:r>
          </w:p>
        </w:tc>
      </w:tr>
      <w:tr>
        <w:tc>
          <w:tcPr>
            <w:tcW w:type="dxa" w:w="2160"/>
          </w:tcPr>
          <w:p>
            <w:r>
              <w:rPr>
                <w:sz w:val="17"/>
              </w:rPr>
            </w:r>
            <w:r>
              <w:rPr>
                <w:b/>
                <w:sz w:val="17"/>
              </w:rPr>
              <w:t>PA-3</w:t>
            </w:r>
            <w:r>
              <w:rPr>
                <w:sz w:val="17"/>
              </w:rPr>
              <w:t xml:space="preserve"> Institutional Governance</w:t>
            </w:r>
          </w:p>
        </w:tc>
        <w:tc>
          <w:tcPr>
            <w:tcW w:type="dxa" w:w="2160"/>
          </w:tcPr>
          <w:p>
            <w:r>
              <w:rPr>
                <w:sz w:val="17"/>
              </w:rPr>
            </w:r>
            <w:r>
              <w:rPr>
                <w:sz w:val="17"/>
              </w:rPr>
              <w:t>GRI 2-9, GRI 2-29</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PA-4</w:t>
            </w:r>
            <w:r>
              <w:rPr>
                <w:sz w:val="17"/>
              </w:rPr>
              <w:t xml:space="preserve"> Sustainable Investment Program</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PA-5</w:t>
            </w:r>
            <w:r>
              <w:rPr>
                <w:sz w:val="17"/>
              </w:rPr>
              <w:t xml:space="preserve"> Investment Holdings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PA-6</w:t>
            </w:r>
            <w:r>
              <w:rPr>
                <w:sz w:val="17"/>
              </w:rPr>
              <w:t xml:space="preserve"> Institutional Climate</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PA-7</w:t>
            </w:r>
            <w:r>
              <w:rPr>
                <w:sz w:val="17"/>
              </w:rPr>
              <w:t xml:space="preserve"> Racial and Ethnic Representation</w:t>
            </w:r>
          </w:p>
        </w:tc>
        <w:tc>
          <w:tcPr>
            <w:tcW w:type="dxa" w:w="2160"/>
          </w:tcPr>
          <w:p>
            <w:r>
              <w:rPr>
                <w:sz w:val="17"/>
              </w:rPr>
            </w:r>
            <w:r>
              <w:rPr>
                <w:sz w:val="17"/>
              </w:rPr>
              <w:t>GRI 405-1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PA-8</w:t>
            </w:r>
            <w:r>
              <w:rPr>
                <w:sz w:val="17"/>
              </w:rPr>
              <w:t xml:space="preserve"> Gender Parity</w:t>
            </w:r>
          </w:p>
        </w:tc>
        <w:tc>
          <w:tcPr>
            <w:tcW w:type="dxa" w:w="2160"/>
          </w:tcPr>
          <w:p>
            <w:r>
              <w:rPr>
                <w:sz w:val="17"/>
              </w:rPr>
            </w:r>
            <w:r>
              <w:rPr>
                <w:sz w:val="17"/>
              </w:rPr>
              <w:t>GRI 405-1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PA-9</w:t>
            </w:r>
            <w:r>
              <w:rPr>
                <w:sz w:val="17"/>
              </w:rPr>
              <w:t xml:space="preserve"> Affordability and Access</w:t>
            </w:r>
          </w:p>
        </w:tc>
        <w:tc>
          <w:tcPr>
            <w:tcW w:type="dxa" w:w="2160"/>
          </w:tcPr>
          <w:p>
            <w:r>
              <w:rPr>
                <w:sz w:val="17"/>
              </w:rPr>
            </w:r>
            <w:r>
              <w:rPr>
                <w:sz w:val="17"/>
              </w:rPr>
              <w:t>GRI 202-1</w:t>
            </w:r>
          </w:p>
        </w:tc>
        <w:tc>
          <w:tcPr>
            <w:tcW w:type="dxa" w:w="2160"/>
          </w:tcPr>
          <w:p>
            <w:r>
              <w:rPr>
                <w:sz w:val="17"/>
              </w:rPr>
            </w:r>
            <w:r>
              <w:rPr>
                <w:sz w:val="17"/>
              </w:rPr>
              <w:t>Aucune correspondance</w:t>
            </w:r>
          </w:p>
        </w:tc>
        <w:tc>
          <w:tcPr>
            <w:tcW w:type="dxa" w:w="2160"/>
          </w:tcPr>
          <w:p>
            <w:r>
              <w:rPr>
                <w:sz w:val="17"/>
              </w:rPr>
            </w:r>
            <w:r>
              <w:rPr>
                <w:sz w:val="17"/>
              </w:rPr>
              <w:t>S4</w:t>
            </w:r>
          </w:p>
        </w:tc>
      </w:tr>
      <w:tr>
        <w:tc>
          <w:tcPr>
            <w:tcW w:type="dxa" w:w="2160"/>
          </w:tcPr>
          <w:p>
            <w:r>
              <w:rPr>
                <w:sz w:val="17"/>
              </w:rPr>
            </w:r>
            <w:r>
              <w:rPr>
                <w:b/>
                <w:sz w:val="17"/>
              </w:rPr>
              <w:t>PA-10</w:t>
            </w:r>
            <w:r>
              <w:rPr>
                <w:sz w:val="17"/>
              </w:rPr>
              <w:t xml:space="preserve"> Student Success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S4</w:t>
            </w:r>
          </w:p>
        </w:tc>
      </w:tr>
      <w:tr>
        <w:tc>
          <w:tcPr>
            <w:tcW w:type="dxa" w:w="2160"/>
          </w:tcPr>
          <w:p>
            <w:r>
              <w:rPr>
                <w:sz w:val="17"/>
              </w:rPr>
            </w:r>
            <w:r>
              <w:rPr>
                <w:b/>
                <w:sz w:val="17"/>
              </w:rPr>
              <w:t>PA-11</w:t>
            </w:r>
            <w:r>
              <w:rPr>
                <w:sz w:val="17"/>
              </w:rPr>
              <w:t xml:space="preserve"> Health, Safety and Wellbeing</w:t>
            </w:r>
          </w:p>
        </w:tc>
        <w:tc>
          <w:tcPr>
            <w:tcW w:type="dxa" w:w="2160"/>
          </w:tcPr>
          <w:p>
            <w:r>
              <w:rPr>
                <w:sz w:val="17"/>
              </w:rPr>
            </w:r>
            <w:r>
              <w:rPr>
                <w:sz w:val="17"/>
              </w:rPr>
              <w:t>GRI 403-1, GRI 403-3, GRI 403-4, GRI 403-6</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PA-12</w:t>
            </w:r>
            <w:r>
              <w:rPr>
                <w:sz w:val="17"/>
              </w:rPr>
              <w:t xml:space="preserve"> Employee Rights</w:t>
            </w:r>
          </w:p>
        </w:tc>
        <w:tc>
          <w:tcPr>
            <w:tcW w:type="dxa" w:w="2160"/>
          </w:tcPr>
          <w:p>
            <w:r>
              <w:rPr>
                <w:sz w:val="17"/>
              </w:rPr>
            </w:r>
            <w:r>
              <w:rPr>
                <w:sz w:val="17"/>
              </w:rPr>
              <w:t>GRI 2-25, GRI 2-26, GRI 401-2, GRI 401-3</w:t>
            </w:r>
          </w:p>
        </w:tc>
        <w:tc>
          <w:tcPr>
            <w:tcW w:type="dxa" w:w="2160"/>
          </w:tcPr>
          <w:p>
            <w:r>
              <w:rPr>
                <w:sz w:val="17"/>
              </w:rPr>
            </w:r>
            <w:r>
              <w:rPr>
                <w:sz w:val="17"/>
              </w:rPr>
              <w:t>Aucune correspondance</w:t>
            </w:r>
          </w:p>
        </w:tc>
        <w:tc>
          <w:tcPr>
            <w:tcW w:type="dxa" w:w="2160"/>
          </w:tcPr>
          <w:p>
            <w:r>
              <w:rPr>
                <w:sz w:val="17"/>
              </w:rPr>
            </w:r>
            <w:r>
              <w:rPr>
                <w:sz w:val="17"/>
              </w:rPr>
              <w:t>S1, G1</w:t>
            </w:r>
          </w:p>
        </w:tc>
      </w:tr>
      <w:tr>
        <w:tc>
          <w:tcPr>
            <w:tcW w:type="dxa" w:w="2160"/>
          </w:tcPr>
          <w:p>
            <w:r>
              <w:rPr>
                <w:sz w:val="17"/>
              </w:rPr>
            </w:r>
            <w:r>
              <w:rPr>
                <w:b/>
                <w:sz w:val="17"/>
              </w:rPr>
              <w:t>PA-13</w:t>
            </w:r>
            <w:r>
              <w:rPr>
                <w:sz w:val="17"/>
              </w:rPr>
              <w:t xml:space="preserve"> Pay Equity and Living Wage</w:t>
            </w:r>
          </w:p>
        </w:tc>
        <w:tc>
          <w:tcPr>
            <w:tcW w:type="dxa" w:w="2160"/>
          </w:tcPr>
          <w:p>
            <w:r>
              <w:rPr>
                <w:sz w:val="17"/>
              </w:rPr>
            </w:r>
            <w:r>
              <w:rPr>
                <w:sz w:val="17"/>
              </w:rPr>
              <w:t>GRI 202-1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IL-24</w:t>
            </w:r>
            <w:r>
              <w:rPr>
                <w:sz w:val="17"/>
              </w:rPr>
              <w:t xml:space="preserve"> Biodiversity Assessment</w:t>
            </w:r>
          </w:p>
        </w:tc>
        <w:tc>
          <w:tcPr>
            <w:tcW w:type="dxa" w:w="2160"/>
          </w:tcPr>
          <w:p>
            <w:r>
              <w:rPr>
                <w:sz w:val="17"/>
              </w:rPr>
            </w:r>
            <w:r>
              <w:rPr>
                <w:sz w:val="17"/>
              </w:rPr>
              <w:t>GRI 101-4, GRI 101-5</w:t>
            </w:r>
          </w:p>
        </w:tc>
        <w:tc>
          <w:tcPr>
            <w:tcW w:type="dxa" w:w="2160"/>
          </w:tcPr>
          <w:p>
            <w:r>
              <w:rPr>
                <w:sz w:val="17"/>
              </w:rPr>
            </w:r>
            <w:r>
              <w:rPr>
                <w:sz w:val="17"/>
              </w:rPr>
              <w:t>Aucune correspondance</w:t>
            </w:r>
          </w:p>
        </w:tc>
        <w:tc>
          <w:tcPr>
            <w:tcW w:type="dxa" w:w="2160"/>
          </w:tcPr>
          <w:p>
            <w:r>
              <w:rPr>
                <w:sz w:val="17"/>
              </w:rPr>
            </w:r>
            <w:r>
              <w:rPr>
                <w:sz w:val="17"/>
              </w:rPr>
              <w:t>E4</w:t>
            </w:r>
          </w:p>
        </w:tc>
      </w:tr>
    </w:tbl>
    <w:p/>
    <w:p>
      <w:pPr>
        <w:pStyle w:val="Heading1"/>
      </w:pPr>
      <w:r>
        <w:rPr>
          <w:color w:val="2F6F5E"/>
        </w:rPr>
        <w:t>Annexe — Validation du rapport</w:t>
      </w:r>
    </w:p>
    <w:p>
      <w:r>
        <w:t>Chaque section narrative a suivi la boucle : rédaction (placeholders) → garde-fou des chiffres → substitution par le code → audit par le juge → régénération si refus (deux essais au plus ; sinon texte de repli écrit par le code).</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Section</w:t>
            </w:r>
          </w:p>
        </w:tc>
        <w:tc>
          <w:tcPr>
            <w:tcW w:type="dxa" w:w="960"/>
          </w:tcPr>
          <w:p>
            <w:r>
              <w:rPr>
                <w:b/>
                <w:sz w:val="17"/>
              </w:rPr>
            </w:r>
            <w:r>
              <w:rPr>
                <w:b/>
                <w:sz w:val="17"/>
              </w:rPr>
              <w:t>Décision</w:t>
            </w:r>
          </w:p>
        </w:tc>
        <w:tc>
          <w:tcPr>
            <w:tcW w:type="dxa" w:w="960"/>
          </w:tcPr>
          <w:p>
            <w:r>
              <w:rPr>
                <w:b/>
                <w:sz w:val="17"/>
              </w:rPr>
            </w:r>
            <w:r>
              <w:rPr>
                <w:b/>
                <w:sz w:val="17"/>
              </w:rPr>
              <w:t>Tentatives</w:t>
            </w:r>
          </w:p>
        </w:tc>
        <w:tc>
          <w:tcPr>
            <w:tcW w:type="dxa" w:w="960"/>
          </w:tcPr>
          <w:p>
            <w:r>
              <w:rPr>
                <w:b/>
                <w:sz w:val="17"/>
              </w:rPr>
            </w:r>
            <w:r>
              <w:rPr>
                <w:b/>
                <w:sz w:val="17"/>
              </w:rPr>
              <w:t>Rejets garde-fou</w:t>
            </w:r>
          </w:p>
        </w:tc>
        <w:tc>
          <w:tcPr>
            <w:tcW w:type="dxa" w:w="960"/>
          </w:tcPr>
          <w:p>
            <w:r>
              <w:rPr>
                <w:b/>
                <w:sz w:val="17"/>
              </w:rPr>
            </w:r>
            <w:r>
              <w:rPr>
                <w:b/>
                <w:sz w:val="17"/>
              </w:rPr>
              <w:t>Note du juge</w:t>
            </w:r>
          </w:p>
        </w:tc>
        <w:tc>
          <w:tcPr>
            <w:tcW w:type="dxa" w:w="960"/>
          </w:tcPr>
          <w:p>
            <w:r>
              <w:rPr>
                <w:b/>
                <w:sz w:val="17"/>
              </w:rPr>
            </w:r>
            <w:r>
              <w:rPr>
                <w:b/>
                <w:sz w:val="17"/>
              </w:rPr>
              <w:t>Fidélité</w:t>
            </w:r>
          </w:p>
        </w:tc>
        <w:tc>
          <w:tcPr>
            <w:tcW w:type="dxa" w:w="960"/>
          </w:tcPr>
          <w:p>
            <w:r>
              <w:rPr>
                <w:b/>
                <w:sz w:val="17"/>
              </w:rPr>
            </w:r>
            <w:r>
              <w:rPr>
                <w:b/>
                <w:sz w:val="17"/>
              </w:rPr>
              <w:t>Codes GRI cités dans le texte</w:t>
            </w:r>
          </w:p>
        </w:tc>
        <w:tc>
          <w:tcPr>
            <w:tcW w:type="dxa" w:w="960"/>
          </w:tcPr>
          <w:p>
            <w:r>
              <w:rPr>
                <w:b/>
                <w:sz w:val="17"/>
              </w:rPr>
            </w:r>
            <w:r>
              <w:rPr>
                <w:b/>
                <w:sz w:val="17"/>
              </w:rPr>
              <w:t>Publications GRI avec données (index)</w:t>
            </w:r>
          </w:p>
        </w:tc>
        <w:tc>
          <w:tcPr>
            <w:tcW w:type="dxa" w:w="960"/>
          </w:tcPr>
          <w:p>
            <w:r>
              <w:rPr>
                <w:b/>
                <w:sz w:val="17"/>
              </w:rPr>
            </w:r>
            <w:r>
              <w:rPr>
                <w:b/>
                <w:sz w:val="17"/>
              </w:rPr>
              <w:t>Durée</w:t>
            </w:r>
          </w:p>
        </w:tc>
      </w:tr>
      <w:tr>
        <w:tc>
          <w:tcPr>
            <w:tcW w:type="dxa" w:w="960"/>
          </w:tcPr>
          <w:p>
            <w:r>
              <w:rPr>
                <w:sz w:val="17"/>
              </w:rPr>
            </w:r>
            <w:r>
              <w:rPr>
                <w:sz w:val="17"/>
              </w:rPr>
              <w:t>L'organisation, son périmètre et ses effectifs</w:t>
            </w:r>
          </w:p>
        </w:tc>
        <w:tc>
          <w:tcPr>
            <w:tcW w:type="dxa" w:w="960"/>
          </w:tcPr>
          <w:p>
            <w:r>
              <w:rPr>
                <w:sz w:val="17"/>
              </w:rPr>
            </w:r>
            <w:r>
              <w:rPr>
                <w:sz w:val="17"/>
              </w:rPr>
              <w:t>validée</w:t>
            </w:r>
          </w:p>
        </w:tc>
        <w:tc>
          <w:tcPr>
            <w:tcW w:type="dxa" w:w="960"/>
          </w:tcPr>
          <w:p>
            <w:r>
              <w:rPr>
                <w:sz w:val="17"/>
              </w:rPr>
            </w:r>
            <w:r>
              <w:rPr>
                <w:sz w:val="17"/>
              </w:rPr>
              <w:t>1</w:t>
            </w:r>
          </w:p>
        </w:tc>
        <w:tc>
          <w:tcPr>
            <w:tcW w:type="dxa" w:w="960"/>
          </w:tcPr>
          <w:p>
            <w:r>
              <w:rPr>
                <w:sz w:val="17"/>
              </w:rPr>
            </w:r>
            <w:r>
              <w:rPr>
                <w:sz w:val="17"/>
              </w:rPr>
              <w:t>0</w:t>
            </w:r>
          </w:p>
        </w:tc>
        <w:tc>
          <w:tcPr>
            <w:tcW w:type="dxa" w:w="960"/>
          </w:tcPr>
          <w:p>
            <w:r>
              <w:rPr>
                <w:sz w:val="17"/>
              </w:rPr>
            </w:r>
            <w:r>
              <w:rPr>
                <w:sz w:val="17"/>
              </w:rPr>
              <w:t>4/5</w:t>
            </w:r>
          </w:p>
        </w:tc>
        <w:tc>
          <w:tcPr>
            <w:tcW w:type="dxa" w:w="960"/>
          </w:tcPr>
          <w:p>
            <w:r>
              <w:rPr>
                <w:sz w:val="17"/>
              </w:rPr>
            </w:r>
            <w:r>
              <w:rPr>
                <w:sz w:val="17"/>
              </w:rPr>
              <w:t>83%</w:t>
            </w:r>
          </w:p>
        </w:tc>
        <w:tc>
          <w:tcPr>
            <w:tcW w:type="dxa" w:w="960"/>
          </w:tcPr>
          <w:p>
            <w:r>
              <w:rPr>
                <w:sz w:val="17"/>
              </w:rPr>
            </w:r>
            <w:r>
              <w:rPr>
                <w:sz w:val="17"/>
              </w:rPr>
              <w:t>17%</w:t>
            </w:r>
          </w:p>
        </w:tc>
        <w:tc>
          <w:tcPr>
            <w:tcW w:type="dxa" w:w="960"/>
          </w:tcPr>
          <w:p>
            <w:r>
              <w:rPr>
                <w:sz w:val="17"/>
              </w:rPr>
            </w:r>
            <w:r>
              <w:rPr>
                <w:sz w:val="17"/>
              </w:rPr>
              <w:t>5 sur 8</w:t>
            </w:r>
          </w:p>
        </w:tc>
        <w:tc>
          <w:tcPr>
            <w:tcW w:type="dxa" w:w="960"/>
          </w:tcPr>
          <w:p>
            <w:r>
              <w:rPr>
                <w:sz w:val="17"/>
              </w:rPr>
            </w:r>
            <w:r>
              <w:rPr>
                <w:sz w:val="17"/>
              </w:rPr>
              <w:t>11.9 min</w:t>
            </w:r>
          </w:p>
        </w:tc>
      </w:tr>
      <w:tr>
        <w:tc>
          <w:tcPr>
            <w:tcW w:type="dxa" w:w="960"/>
          </w:tcPr>
          <w:p>
            <w:r>
              <w:rPr>
                <w:sz w:val="17"/>
              </w:rPr>
            </w:r>
            <w:r>
              <w:rPr>
                <w:sz w:val="17"/>
              </w:rPr>
              <w:t>Thèmes matériels</w:t>
            </w:r>
          </w:p>
        </w:tc>
        <w:tc>
          <w:tcPr>
            <w:tcW w:type="dxa" w:w="960"/>
          </w:tcPr>
          <w:p>
            <w:r>
              <w:rPr>
                <w:sz w:val="17"/>
              </w:rPr>
            </w:r>
            <w:r>
              <w:rPr>
                <w:sz w:val="17"/>
              </w:rPr>
              <w:t>validée</w:t>
            </w:r>
          </w:p>
        </w:tc>
        <w:tc>
          <w:tcPr>
            <w:tcW w:type="dxa" w:w="960"/>
          </w:tcPr>
          <w:p>
            <w:r>
              <w:rPr>
                <w:sz w:val="17"/>
              </w:rPr>
            </w:r>
            <w:r>
              <w:rPr>
                <w:sz w:val="17"/>
              </w:rPr>
              <w:t>1</w:t>
            </w:r>
          </w:p>
        </w:tc>
        <w:tc>
          <w:tcPr>
            <w:tcW w:type="dxa" w:w="960"/>
          </w:tcPr>
          <w:p>
            <w:r>
              <w:rPr>
                <w:sz w:val="17"/>
              </w:rPr>
            </w:r>
            <w:r>
              <w:rPr>
                <w:sz w:val="17"/>
              </w:rPr>
              <w:t>0</w:t>
            </w:r>
          </w:p>
        </w:tc>
        <w:tc>
          <w:tcPr>
            <w:tcW w:type="dxa" w:w="960"/>
          </w:tcPr>
          <w:p>
            <w:r>
              <w:rPr>
                <w:sz w:val="17"/>
              </w:rPr>
            </w:r>
            <w:r>
              <w:rPr>
                <w:sz w:val="17"/>
              </w:rPr>
              <w:t>2/5</w:t>
            </w:r>
          </w:p>
        </w:tc>
        <w:tc>
          <w:tcPr>
            <w:tcW w:type="dxa" w:w="960"/>
          </w:tcPr>
          <w:p>
            <w:r>
              <w:rPr>
                <w:sz w:val="17"/>
              </w:rPr>
            </w:r>
            <w:r>
              <w:rPr>
                <w:sz w:val="17"/>
              </w:rPr>
              <w:t>100%</w:t>
            </w:r>
          </w:p>
        </w:tc>
        <w:tc>
          <w:tcPr>
            <w:tcW w:type="dxa" w:w="960"/>
          </w:tcPr>
          <w:p>
            <w:r>
              <w:rPr>
                <w:sz w:val="17"/>
              </w:rPr>
            </w:r>
            <w:r>
              <w:rPr>
                <w:sz w:val="17"/>
              </w:rPr>
              <w:t>100%</w:t>
            </w:r>
          </w:p>
        </w:tc>
        <w:tc>
          <w:tcPr>
            <w:tcW w:type="dxa" w:w="960"/>
          </w:tcPr>
          <w:p>
            <w:r>
              <w:rPr>
                <w:sz w:val="17"/>
              </w:rPr>
            </w:r>
            <w:r>
              <w:rPr>
                <w:sz w:val="17"/>
              </w:rPr>
              <w:t>2 sur 3</w:t>
            </w:r>
          </w:p>
        </w:tc>
        <w:tc>
          <w:tcPr>
            <w:tcW w:type="dxa" w:w="960"/>
          </w:tcPr>
          <w:p>
            <w:r>
              <w:rPr>
                <w:sz w:val="17"/>
              </w:rPr>
            </w:r>
            <w:r>
              <w:rPr>
                <w:sz w:val="17"/>
              </w:rPr>
              <w:t>7.6 min</w:t>
            </w:r>
          </w:p>
        </w:tc>
      </w:tr>
      <w:tr>
        <w:tc>
          <w:tcPr>
            <w:tcW w:type="dxa" w:w="960"/>
          </w:tcPr>
          <w:p>
            <w:r>
              <w:rPr>
                <w:sz w:val="17"/>
              </w:rPr>
            </w:r>
            <w:r>
              <w:rPr>
                <w:sz w:val="17"/>
              </w:rPr>
              <w:t>Gouvernance</w:t>
            </w:r>
          </w:p>
        </w:tc>
        <w:tc>
          <w:tcPr>
            <w:tcW w:type="dxa" w:w="960"/>
          </w:tcPr>
          <w:p>
            <w:r>
              <w:rPr>
                <w:sz w:val="17"/>
              </w:rPr>
            </w:r>
            <w:r>
              <w:rPr>
                <w:sz w:val="17"/>
              </w:rPr>
              <w:t>à relire</w:t>
            </w:r>
          </w:p>
        </w:tc>
        <w:tc>
          <w:tcPr>
            <w:tcW w:type="dxa" w:w="960"/>
          </w:tcPr>
          <w:p>
            <w:r>
              <w:rPr>
                <w:sz w:val="17"/>
              </w:rPr>
            </w:r>
            <w:r>
              <w:rPr>
                <w:sz w:val="17"/>
              </w:rPr>
              <w:t>2</w:t>
            </w:r>
          </w:p>
        </w:tc>
        <w:tc>
          <w:tcPr>
            <w:tcW w:type="dxa" w:w="960"/>
          </w:tcPr>
          <w:p>
            <w:r>
              <w:rPr>
                <w:sz w:val="17"/>
              </w:rPr>
            </w:r>
            <w:r>
              <w:rPr>
                <w:sz w:val="17"/>
              </w:rPr>
              <w:t>1</w:t>
            </w:r>
          </w:p>
        </w:tc>
        <w:tc>
          <w:tcPr>
            <w:tcW w:type="dxa" w:w="960"/>
          </w:tcPr>
          <w:p>
            <w:r>
              <w:rPr>
                <w:sz w:val="17"/>
              </w:rPr>
            </w:r>
            <w:r>
              <w:rPr>
                <w:sz w:val="17"/>
              </w:rPr>
              <w:t>2/5</w:t>
            </w:r>
          </w:p>
        </w:tc>
        <w:tc>
          <w:tcPr>
            <w:tcW w:type="dxa" w:w="960"/>
          </w:tcPr>
          <w:p>
            <w:r>
              <w:rPr>
                <w:sz w:val="17"/>
              </w:rPr>
            </w:r>
            <w:r>
              <w:rPr>
                <w:sz w:val="17"/>
              </w:rPr>
              <w:t>83%</w:t>
            </w:r>
          </w:p>
        </w:tc>
        <w:tc>
          <w:tcPr>
            <w:tcW w:type="dxa" w:w="960"/>
          </w:tcPr>
          <w:p>
            <w:r>
              <w:rPr>
                <w:sz w:val="17"/>
              </w:rPr>
            </w:r>
            <w:r>
              <w:rPr>
                <w:sz w:val="17"/>
              </w:rPr>
              <w:t>50%</w:t>
            </w:r>
          </w:p>
        </w:tc>
        <w:tc>
          <w:tcPr>
            <w:tcW w:type="dxa" w:w="960"/>
          </w:tcPr>
          <w:p>
            <w:r>
              <w:rPr>
                <w:sz w:val="17"/>
              </w:rPr>
            </w:r>
            <w:r>
              <w:rPr>
                <w:sz w:val="17"/>
              </w:rPr>
              <w:t>2 sur 13</w:t>
            </w:r>
          </w:p>
        </w:tc>
        <w:tc>
          <w:tcPr>
            <w:tcW w:type="dxa" w:w="960"/>
          </w:tcPr>
          <w:p>
            <w:r>
              <w:rPr>
                <w:sz w:val="17"/>
              </w:rPr>
            </w:r>
            <w:r>
              <w:rPr>
                <w:sz w:val="17"/>
              </w:rPr>
              <w:t>13.1 min</w:t>
            </w:r>
          </w:p>
        </w:tc>
      </w:tr>
      <w:tr>
        <w:tc>
          <w:tcPr>
            <w:tcW w:type="dxa" w:w="960"/>
          </w:tcPr>
          <w:p>
            <w:r>
              <w:rPr>
                <w:sz w:val="17"/>
              </w:rPr>
            </w:r>
            <w:r>
              <w:rPr>
                <w:sz w:val="17"/>
              </w:rPr>
              <w:t>Stratégie, politiques et pratiques</w:t>
            </w:r>
          </w:p>
        </w:tc>
        <w:tc>
          <w:tcPr>
            <w:tcW w:type="dxa" w:w="960"/>
          </w:tcPr>
          <w:p>
            <w:r>
              <w:rPr>
                <w:sz w:val="17"/>
              </w:rPr>
            </w:r>
            <w:r>
              <w:rPr>
                <w:sz w:val="17"/>
              </w:rPr>
              <w:t>validée</w:t>
            </w:r>
          </w:p>
        </w:tc>
        <w:tc>
          <w:tcPr>
            <w:tcW w:type="dxa" w:w="960"/>
          </w:tcPr>
          <w:p>
            <w:r>
              <w:rPr>
                <w:sz w:val="17"/>
              </w:rPr>
            </w:r>
            <w:r>
              <w:rPr>
                <w:sz w:val="17"/>
              </w:rPr>
              <w:t>1</w:t>
            </w:r>
          </w:p>
        </w:tc>
        <w:tc>
          <w:tcPr>
            <w:tcW w:type="dxa" w:w="960"/>
          </w:tcPr>
          <w:p>
            <w:r>
              <w:rPr>
                <w:sz w:val="17"/>
              </w:rPr>
            </w:r>
            <w:r>
              <w:rPr>
                <w:sz w:val="17"/>
              </w:rPr>
              <w:t>0</w:t>
            </w:r>
          </w:p>
        </w:tc>
        <w:tc>
          <w:tcPr>
            <w:tcW w:type="dxa" w:w="960"/>
          </w:tcPr>
          <w:p>
            <w:r>
              <w:rPr>
                <w:sz w:val="17"/>
              </w:rPr>
            </w:r>
            <w:r>
              <w:rPr>
                <w:sz w:val="17"/>
              </w:rPr>
              <w:t>4/5</w:t>
            </w:r>
          </w:p>
        </w:tc>
        <w:tc>
          <w:tcPr>
            <w:tcW w:type="dxa" w:w="960"/>
          </w:tcPr>
          <w:p>
            <w:r>
              <w:rPr>
                <w:sz w:val="17"/>
              </w:rPr>
            </w:r>
            <w:r>
              <w:rPr>
                <w:sz w:val="17"/>
              </w:rPr>
              <w:t>100%</w:t>
            </w:r>
          </w:p>
        </w:tc>
        <w:tc>
          <w:tcPr>
            <w:tcW w:type="dxa" w:w="960"/>
          </w:tcPr>
          <w:p>
            <w:r>
              <w:rPr>
                <w:sz w:val="17"/>
              </w:rPr>
            </w:r>
            <w:r>
              <w:rPr>
                <w:sz w:val="17"/>
              </w:rPr>
              <w:t>67%</w:t>
            </w:r>
          </w:p>
        </w:tc>
        <w:tc>
          <w:tcPr>
            <w:tcW w:type="dxa" w:w="960"/>
          </w:tcPr>
          <w:p>
            <w:r>
              <w:rPr>
                <w:sz w:val="17"/>
              </w:rPr>
            </w:r>
            <w:r>
              <w:rPr>
                <w:sz w:val="17"/>
              </w:rPr>
              <w:t>6 sur 7</w:t>
            </w:r>
          </w:p>
        </w:tc>
        <w:tc>
          <w:tcPr>
            <w:tcW w:type="dxa" w:w="960"/>
          </w:tcPr>
          <w:p>
            <w:r>
              <w:rPr>
                <w:sz w:val="17"/>
              </w:rPr>
            </w:r>
            <w:r>
              <w:rPr>
                <w:sz w:val="17"/>
              </w:rPr>
              <w:t>14.8 min</w:t>
            </w:r>
          </w:p>
        </w:tc>
      </w:tr>
      <w:tr>
        <w:tc>
          <w:tcPr>
            <w:tcW w:type="dxa" w:w="960"/>
          </w:tcPr>
          <w:p>
            <w:r>
              <w:rPr>
                <w:sz w:val="17"/>
              </w:rPr>
            </w:r>
            <w:r>
              <w:rPr>
                <w:sz w:val="17"/>
              </w:rPr>
              <w:t>Engagement des parties prenantes</w:t>
            </w:r>
          </w:p>
        </w:tc>
        <w:tc>
          <w:tcPr>
            <w:tcW w:type="dxa" w:w="960"/>
          </w:tcPr>
          <w:p>
            <w:r>
              <w:rPr>
                <w:sz w:val="17"/>
              </w:rPr>
            </w:r>
            <w:r>
              <w:rPr>
                <w:sz w:val="17"/>
              </w:rPr>
              <w:t>validée</w:t>
            </w:r>
          </w:p>
        </w:tc>
        <w:tc>
          <w:tcPr>
            <w:tcW w:type="dxa" w:w="960"/>
          </w:tcPr>
          <w:p>
            <w:r>
              <w:rPr>
                <w:sz w:val="17"/>
              </w:rPr>
            </w:r>
            <w:r>
              <w:rPr>
                <w:sz w:val="17"/>
              </w:rPr>
              <w:t>1</w:t>
            </w:r>
          </w:p>
        </w:tc>
        <w:tc>
          <w:tcPr>
            <w:tcW w:type="dxa" w:w="960"/>
          </w:tcPr>
          <w:p>
            <w:r>
              <w:rPr>
                <w:sz w:val="17"/>
              </w:rPr>
            </w:r>
            <w:r>
              <w:rPr>
                <w:sz w:val="17"/>
              </w:rPr>
              <w:t>0</w:t>
            </w:r>
          </w:p>
        </w:tc>
        <w:tc>
          <w:tcPr>
            <w:tcW w:type="dxa" w:w="960"/>
          </w:tcPr>
          <w:p>
            <w:r>
              <w:rPr>
                <w:sz w:val="17"/>
              </w:rPr>
            </w:r>
            <w:r>
              <w:rPr>
                <w:sz w:val="17"/>
              </w:rPr>
              <w:t>4/5</w:t>
            </w:r>
          </w:p>
        </w:tc>
        <w:tc>
          <w:tcPr>
            <w:tcW w:type="dxa" w:w="960"/>
          </w:tcPr>
          <w:p>
            <w:r>
              <w:rPr>
                <w:sz w:val="17"/>
              </w:rPr>
            </w:r>
            <w:r>
              <w:rPr>
                <w:sz w:val="17"/>
              </w:rPr>
              <w:t>100%</w:t>
            </w:r>
          </w:p>
        </w:tc>
        <w:tc>
          <w:tcPr>
            <w:tcW w:type="dxa" w:w="960"/>
          </w:tcPr>
          <w:p>
            <w:r>
              <w:rPr>
                <w:sz w:val="17"/>
              </w:rPr>
            </w:r>
            <w:r>
              <w:rPr>
                <w:sz w:val="17"/>
              </w:rPr>
              <w:t>100%</w:t>
            </w:r>
          </w:p>
        </w:tc>
        <w:tc>
          <w:tcPr>
            <w:tcW w:type="dxa" w:w="960"/>
          </w:tcPr>
          <w:p>
            <w:r>
              <w:rPr>
                <w:sz w:val="17"/>
              </w:rPr>
            </w:r>
            <w:r>
              <w:rPr>
                <w:sz w:val="17"/>
              </w:rPr>
              <w:t>1 sur 2</w:t>
            </w:r>
          </w:p>
        </w:tc>
        <w:tc>
          <w:tcPr>
            <w:tcW w:type="dxa" w:w="960"/>
          </w:tcPr>
          <w:p>
            <w:r>
              <w:rPr>
                <w:sz w:val="17"/>
              </w:rPr>
            </w:r>
            <w:r>
              <w:rPr>
                <w:sz w:val="17"/>
              </w:rPr>
              <w:t>9.6 min</w:t>
            </w:r>
          </w:p>
        </w:tc>
      </w:tr>
      <w:tr>
        <w:tc>
          <w:tcPr>
            <w:tcW w:type="dxa" w:w="960"/>
          </w:tcPr>
          <w:p>
            <w:r>
              <w:rPr>
                <w:sz w:val="17"/>
              </w:rPr>
            </w:r>
            <w:r>
              <w:rPr>
                <w:sz w:val="17"/>
              </w:rPr>
              <w:t>Performance environnementale</w:t>
            </w:r>
          </w:p>
        </w:tc>
        <w:tc>
          <w:tcPr>
            <w:tcW w:type="dxa" w:w="960"/>
          </w:tcPr>
          <w:p>
            <w:r>
              <w:rPr>
                <w:sz w:val="17"/>
              </w:rPr>
            </w:r>
            <w:r>
              <w:rPr>
                <w:sz w:val="17"/>
              </w:rPr>
              <w:t>validée</w:t>
            </w:r>
          </w:p>
        </w:tc>
        <w:tc>
          <w:tcPr>
            <w:tcW w:type="dxa" w:w="960"/>
          </w:tcPr>
          <w:p>
            <w:r>
              <w:rPr>
                <w:sz w:val="17"/>
              </w:rPr>
            </w:r>
            <w:r>
              <w:rPr>
                <w:sz w:val="17"/>
              </w:rPr>
              <w:t>2</w:t>
            </w:r>
          </w:p>
        </w:tc>
        <w:tc>
          <w:tcPr>
            <w:tcW w:type="dxa" w:w="960"/>
          </w:tcPr>
          <w:p>
            <w:r>
              <w:rPr>
                <w:sz w:val="17"/>
              </w:rPr>
            </w:r>
            <w:r>
              <w:rPr>
                <w:sz w:val="17"/>
              </w:rPr>
              <w:t>0</w:t>
            </w:r>
          </w:p>
        </w:tc>
        <w:tc>
          <w:tcPr>
            <w:tcW w:type="dxa" w:w="960"/>
          </w:tcPr>
          <w:p>
            <w:r>
              <w:rPr>
                <w:sz w:val="17"/>
              </w:rPr>
            </w:r>
            <w:r>
              <w:rPr>
                <w:sz w:val="17"/>
              </w:rPr>
              <w:t>4/5</w:t>
            </w:r>
          </w:p>
        </w:tc>
        <w:tc>
          <w:tcPr>
            <w:tcW w:type="dxa" w:w="960"/>
          </w:tcPr>
          <w:p>
            <w:r>
              <w:rPr>
                <w:sz w:val="17"/>
              </w:rPr>
            </w:r>
            <w:r>
              <w:rPr>
                <w:sz w:val="17"/>
              </w:rPr>
              <w:t>83%</w:t>
            </w:r>
          </w:p>
        </w:tc>
        <w:tc>
          <w:tcPr>
            <w:tcW w:type="dxa" w:w="960"/>
          </w:tcPr>
          <w:p>
            <w:r>
              <w:rPr>
                <w:sz w:val="17"/>
              </w:rPr>
            </w:r>
            <w:r>
              <w:rPr>
                <w:sz w:val="17"/>
              </w:rPr>
              <w:t>59%</w:t>
            </w:r>
          </w:p>
        </w:tc>
        <w:tc>
          <w:tcPr>
            <w:tcW w:type="dxa" w:w="960"/>
          </w:tcPr>
          <w:p>
            <w:r>
              <w:rPr>
                <w:sz w:val="17"/>
              </w:rPr>
            </w:r>
            <w:r>
              <w:rPr>
                <w:sz w:val="17"/>
              </w:rPr>
              <w:t>6 sur 35</w:t>
            </w:r>
          </w:p>
        </w:tc>
        <w:tc>
          <w:tcPr>
            <w:tcW w:type="dxa" w:w="960"/>
          </w:tcPr>
          <w:p>
            <w:r>
              <w:rPr>
                <w:sz w:val="17"/>
              </w:rPr>
            </w:r>
            <w:r>
              <w:rPr>
                <w:sz w:val="17"/>
              </w:rPr>
              <w:t>30.7 min</w:t>
            </w:r>
          </w:p>
        </w:tc>
      </w:tr>
      <w:tr>
        <w:tc>
          <w:tcPr>
            <w:tcW w:type="dxa" w:w="960"/>
          </w:tcPr>
          <w:p>
            <w:r>
              <w:rPr>
                <w:sz w:val="17"/>
              </w:rPr>
            </w:r>
            <w:r>
              <w:rPr>
                <w:sz w:val="17"/>
              </w:rPr>
              <w:t>Performance sociale et économique</w:t>
            </w:r>
          </w:p>
        </w:tc>
        <w:tc>
          <w:tcPr>
            <w:tcW w:type="dxa" w:w="960"/>
          </w:tcPr>
          <w:p>
            <w:r>
              <w:rPr>
                <w:sz w:val="17"/>
              </w:rPr>
            </w:r>
            <w:r>
              <w:rPr>
                <w:sz w:val="17"/>
              </w:rPr>
              <w:t>validée</w:t>
            </w:r>
          </w:p>
        </w:tc>
        <w:tc>
          <w:tcPr>
            <w:tcW w:type="dxa" w:w="960"/>
          </w:tcPr>
          <w:p>
            <w:r>
              <w:rPr>
                <w:sz w:val="17"/>
              </w:rPr>
            </w:r>
            <w:r>
              <w:rPr>
                <w:sz w:val="17"/>
              </w:rPr>
              <w:t>1</w:t>
            </w:r>
          </w:p>
        </w:tc>
        <w:tc>
          <w:tcPr>
            <w:tcW w:type="dxa" w:w="960"/>
          </w:tcPr>
          <w:p>
            <w:r>
              <w:rPr>
                <w:sz w:val="17"/>
              </w:rPr>
            </w:r>
            <w:r>
              <w:rPr>
                <w:sz w:val="17"/>
              </w:rPr>
              <w:t>0</w:t>
            </w:r>
          </w:p>
        </w:tc>
        <w:tc>
          <w:tcPr>
            <w:tcW w:type="dxa" w:w="960"/>
          </w:tcPr>
          <w:p>
            <w:r>
              <w:rPr>
                <w:sz w:val="17"/>
              </w:rPr>
            </w:r>
            <w:r>
              <w:rPr>
                <w:sz w:val="17"/>
              </w:rPr>
              <w:t>4/5</w:t>
            </w:r>
          </w:p>
        </w:tc>
        <w:tc>
          <w:tcPr>
            <w:tcW w:type="dxa" w:w="960"/>
          </w:tcPr>
          <w:p>
            <w:r>
              <w:rPr>
                <w:sz w:val="17"/>
              </w:rPr>
            </w:r>
            <w:r>
              <w:rPr>
                <w:sz w:val="17"/>
              </w:rPr>
              <w:t>100%</w:t>
            </w:r>
          </w:p>
        </w:tc>
        <w:tc>
          <w:tcPr>
            <w:tcW w:type="dxa" w:w="960"/>
          </w:tcPr>
          <w:p>
            <w:r>
              <w:rPr>
                <w:sz w:val="17"/>
              </w:rPr>
            </w:r>
            <w:r>
              <w:rPr>
                <w:sz w:val="17"/>
              </w:rPr>
              <w:t>0%</w:t>
            </w:r>
          </w:p>
        </w:tc>
        <w:tc>
          <w:tcPr>
            <w:tcW w:type="dxa" w:w="960"/>
          </w:tcPr>
          <w:p>
            <w:r>
              <w:rPr>
                <w:sz w:val="17"/>
              </w:rPr>
            </w:r>
            <w:r>
              <w:rPr>
                <w:sz w:val="17"/>
              </w:rPr>
              <w:t>6 sur 18</w:t>
            </w:r>
          </w:p>
        </w:tc>
        <w:tc>
          <w:tcPr>
            <w:tcW w:type="dxa" w:w="960"/>
          </w:tcPr>
          <w:p>
            <w:r>
              <w:rPr>
                <w:sz w:val="17"/>
              </w:rPr>
            </w:r>
            <w:r>
              <w:rPr>
                <w:sz w:val="17"/>
              </w:rPr>
              <w:t>18.6 min</w:t>
            </w:r>
          </w:p>
        </w:tc>
      </w:tr>
      <w:tr>
        <w:tc>
          <w:tcPr>
            <w:tcW w:type="dxa" w:w="960"/>
          </w:tcPr>
          <w:p>
            <w:r>
              <w:rPr>
                <w:sz w:val="17"/>
              </w:rPr>
            </w:r>
            <w:r>
              <w:rPr>
                <w:sz w:val="17"/>
              </w:rPr>
              <w:t>Enseignement, recherche et engagement (hors GRI)</w:t>
            </w:r>
          </w:p>
        </w:tc>
        <w:tc>
          <w:tcPr>
            <w:tcW w:type="dxa" w:w="960"/>
          </w:tcPr>
          <w:p>
            <w:r>
              <w:rPr>
                <w:sz w:val="17"/>
              </w:rPr>
            </w:r>
            <w:r>
              <w:rPr>
                <w:sz w:val="17"/>
              </w:rPr>
              <w:t>à relire</w:t>
            </w:r>
          </w:p>
        </w:tc>
        <w:tc>
          <w:tcPr>
            <w:tcW w:type="dxa" w:w="960"/>
          </w:tcPr>
          <w:p>
            <w:r>
              <w:rPr>
                <w:sz w:val="17"/>
              </w:rPr>
            </w:r>
            <w:r>
              <w:rPr>
                <w:sz w:val="17"/>
              </w:rPr>
              <w:t>2</w:t>
            </w:r>
          </w:p>
        </w:tc>
        <w:tc>
          <w:tcPr>
            <w:tcW w:type="dxa" w:w="960"/>
          </w:tcPr>
          <w:p>
            <w:r>
              <w:rPr>
                <w:sz w:val="17"/>
              </w:rPr>
            </w:r>
            <w:r>
              <w:rPr>
                <w:sz w:val="17"/>
              </w:rPr>
              <w:t>1</w:t>
            </w:r>
          </w:p>
        </w:tc>
        <w:tc>
          <w:tcPr>
            <w:tcW w:type="dxa" w:w="960"/>
          </w:tcPr>
          <w:p>
            <w:r>
              <w:rPr>
                <w:sz w:val="17"/>
              </w:rPr>
            </w:r>
            <w:r>
              <w:rPr>
                <w:sz w:val="17"/>
              </w:rPr>
              <w:t>3/5</w:t>
            </w:r>
          </w:p>
        </w:tc>
        <w:tc>
          <w:tcPr>
            <w:tcW w:type="dxa" w:w="960"/>
          </w:tcPr>
          <w:p>
            <w:r>
              <w:rPr>
                <w:sz w:val="17"/>
              </w:rPr>
            </w:r>
            <w:r>
              <w:rPr>
                <w:sz w:val="17"/>
              </w:rPr>
              <w:t>67%</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21.6 min</w:t>
            </w:r>
          </w:p>
        </w:tc>
      </w:tr>
    </w:tbl>
    <w:p/>
    <w:p>
      <w:r>
        <w:rPr>
          <w:i/>
        </w:rPr>
        <w:t>« Codes GRI cités dans le texte » : part des publications GRI de la section dont le code (par exemple GRI 305-1) est cité dans le texte rédigé ; c'est une mesure de citation, pas de couverture des données. « Publications GRI avec données » : publications de la section rapportées ou partiellement rapportées dans l'index de contenu GRI, sur le total de la section.</w:t>
      </w:r>
    </w:p>
    <w:p>
      <w:r>
        <w:rPr>
          <w:b/>
        </w:rPr>
        <w:t>Bilan :</w:t>
      </w:r>
      <w:r>
        <w:t xml:space="preserve"> 6 section(s) validée(s) sur 8 ; fidélité moyenne 90% ; 2 version(s) rejetée(s) par le garde-fou avant le juge. Aucun nombre du texte final n'a été écrit par le modèle.</w:t>
      </w:r>
    </w:p>
    <w:p>
      <w:r>
        <w:t>3 violation(s) signalée(s) par le juge ont été écartées car contredites par le contrôle déterministe (par exemple une « revendication de conformité GRI » absente du texte) : le juge 8B se trompe parfois, le code tranche sur ce qu'il sait vérifier.</w:t>
      </w:r>
    </w:p>
    <w:p>
      <w:r>
        <w:rPr>
          <w:b/>
        </w:rPr>
        <w:t>Relecture hors pipeline</w:t>
      </w:r>
      <w:r>
        <w:t xml:space="preserve"> (6 octobre 2026) : 40 correction(s) dans 8 section(s). Phrases supprimées ou reformulées à partir des textes STARS uniquement, sans chiffre tapé à la main. Les corrections ont été proposées par l'assistant Claude Code (IA) à la demande de Wiem Ben Hassine, chacune avec sa source STARS ; elles deviennent une relecture humaine une fois validées par elle. Liste détaillée : </w:t>
      </w:r>
      <w:r>
        <w:rPr>
          <w:rFonts w:ascii="Consolas" w:hAnsi="Consolas"/>
        </w:rPr>
        <w:t>relecture/cork.yaml</w:t>
      </w:r>
      <w:r>
        <w:t xml:space="preserve"> et </w:t>
      </w:r>
      <w:r>
        <w:rPr>
          <w:rFonts w:ascii="Consolas" w:hAnsi="Consolas"/>
        </w:rPr>
        <w:t>outputs/relecture_humaine.md</w:t>
      </w:r>
      <w:r>
        <w:t xml:space="preserve">. Le texte écrit par le modèle reste consultable dans </w:t>
      </w:r>
      <w:r>
        <w:rPr>
          <w:rFonts w:ascii="Consolas" w:hAnsi="Consolas"/>
        </w:rPr>
        <w:t>outputs/cache/</w:t>
      </w:r>
      <w:r>
        <w:t>.</w:t>
      </w:r>
    </w:p>
    <w:p>
      <w:r>
        <w:rPr>
          <w:b/>
        </w:rPr>
        <w:t>À relire par un humain</w:t>
      </w:r>
      <w:r>
        <w:t xml:space="preserve"> — affirmations que le juge n'a pas trouvées dans les sources :</w:t>
      </w:r>
    </w:p>
    <w:p>
      <w:pPr>
        <w:pStyle w:val="ListBullet"/>
      </w:pPr>
      <w:r>
        <w:rPr>
          <w:i/>
        </w:rPr>
        <w:t>Gouvernance</w:t>
      </w:r>
      <w:r>
        <w:t xml:space="preserve"> : « L'université est gérée par un organe de gouvernance composé de membres du Students Union et d'organisations externes. »</w:t>
      </w:r>
    </w:p>
    <w:p>
      <w:pPr>
        <w:pStyle w:val="ListBullet"/>
      </w:pPr>
      <w:r>
        <w:rPr>
          <w:i/>
        </w:rPr>
        <w:t>Enseignement, recherche et engagement (hors GRI)</w:t>
      </w:r>
      <w:r>
        <w:t xml:space="preserve"> : « L'université a mis en place plusieurs initiatives pour intégrer la durabilité dans le curriculum, notamment le Centre pour l'intégration de  »</w:t>
      </w:r>
    </w:p>
    <w:p>
      <w:pPr>
        <w:pStyle w:val="ListBullet"/>
      </w:pPr>
      <w:r>
        <w:rPr>
          <w:i/>
        </w:rPr>
        <w:t>Enseignement, recherche et engagement (hors GRI)</w:t>
      </w:r>
      <w:r>
        <w:t xml:space="preserve"> : « Les qualifications d'enseignement supérieur ont été déterminées en fonction du nombre d'étudiants qui ont obtenu des qualifications axées »</w:t>
      </w:r>
    </w:p>
    <w:p>
      <w:pPr>
        <w:pStyle w:val="Heading1"/>
      </w:pPr>
      <w:r>
        <w:rPr>
          <w:color w:val="2F6F5E"/>
        </w:rPr>
        <w:t>Vérifier ce rapport</w:t>
      </w:r>
    </w:p>
    <w:p>
      <w:r>
        <w:t xml:space="preserve">Chaque chiffre de ce rapport est listé dans </w:t>
      </w:r>
      <w:r>
        <w:rPr>
          <w:rFonts w:ascii="Consolas" w:hAnsi="Consolas"/>
        </w:rPr>
        <w:t>provenance.csv</w:t>
      </w:r>
      <w:r>
        <w:t xml:space="preserve"> avec le crédit STARS, le champ et l'URL dont il provient. </w:t>
      </w:r>
      <w:r>
        <w:rPr>
          <w:rFonts w:ascii="Consolas" w:hAnsi="Consolas"/>
        </w:rPr>
        <w:t>pytest</w:t>
      </w:r>
      <w:r>
        <w:t xml:space="preserve"> recalcule ces chiffres à partir des fichiers bruts, indépendamment du code qui les a produits, et vérifie qu'aucun nombre des sections narratives n'est absent de la table des faits.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durabilité — University College Cork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