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Technological University Dublin</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Technological University Dublin (2 décembre 2024),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Technological University Dublin STARS Report (https://reports.aashe.org/institutions/technological-university-dublin-dublin/report/2024-12-02/)</w:t>
      </w:r>
      <w:r>
        <w:t>, AASHE, note « Gold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Gold</w:t>
      </w:r>
      <w:r>
        <w:t xml:space="preserve"> — score global </w:t>
      </w:r>
      <w:r>
        <w:rPr>
          <w:b/>
        </w:rPr>
        <w:t>83,35</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50,77</w:t>
            </w:r>
          </w:p>
        </w:tc>
        <w:tc>
          <w:tcPr>
            <w:tcW w:type="dxa" w:w="1728"/>
          </w:tcPr>
          <w:p>
            <w:r>
              <w:rPr>
                <w:sz w:val="17"/>
              </w:rPr>
            </w:r>
            <w:r>
              <w:rPr>
                <w:sz w:val="17"/>
              </w:rPr>
              <w:t>85</w:t>
            </w:r>
          </w:p>
        </w:tc>
        <w:tc>
          <w:tcPr>
            <w:tcW w:type="dxa" w:w="1728"/>
          </w:tcPr>
          <w:p>
            <w:r>
              <w:rPr>
                <w:sz w:val="17"/>
              </w:rPr>
            </w:r>
            <w:r>
              <w:rPr>
                <w:sz w:val="17"/>
              </w:rPr>
              <w:t>59,7 %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20,40</w:t>
            </w:r>
          </w:p>
        </w:tc>
        <w:tc>
          <w:tcPr>
            <w:tcW w:type="dxa" w:w="1728"/>
          </w:tcPr>
          <w:p>
            <w:r>
              <w:rPr>
                <w:sz w:val="17"/>
              </w:rPr>
            </w:r>
            <w:r>
              <w:rPr>
                <w:sz w:val="17"/>
              </w:rPr>
              <w:t>25</w:t>
            </w:r>
          </w:p>
        </w:tc>
        <w:tc>
          <w:tcPr>
            <w:tcW w:type="dxa" w:w="1728"/>
          </w:tcPr>
          <w:p>
            <w:r>
              <w:rPr>
                <w:sz w:val="17"/>
              </w:rPr>
            </w:r>
            <w:r>
              <w:rPr>
                <w:sz w:val="17"/>
              </w:rPr>
              <w:t>81,6 %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10,67</w:t>
            </w:r>
          </w:p>
        </w:tc>
        <w:tc>
          <w:tcPr>
            <w:tcW w:type="dxa" w:w="1728"/>
          </w:tcPr>
          <w:p>
            <w:r>
              <w:rPr>
                <w:sz w:val="17"/>
              </w:rPr>
            </w:r>
            <w:r>
              <w:rPr>
                <w:sz w:val="17"/>
              </w:rPr>
              <w:t>11</w:t>
            </w:r>
          </w:p>
        </w:tc>
        <w:tc>
          <w:tcPr>
            <w:tcW w:type="dxa" w:w="1728"/>
          </w:tcPr>
          <w:p>
            <w:r>
              <w:rPr>
                <w:sz w:val="17"/>
              </w:rPr>
            </w:r>
            <w:r>
              <w:rPr>
                <w:sz w:val="17"/>
              </w:rPr>
              <w:t>97,0 %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107,36</w:t>
            </w:r>
          </w:p>
        </w:tc>
        <w:tc>
          <w:tcPr>
            <w:tcW w:type="dxa" w:w="1728"/>
          </w:tcPr>
          <w:p>
            <w:r>
              <w:rPr>
                <w:sz w:val="17"/>
              </w:rPr>
            </w:r>
            <w:r>
              <w:rPr>
                <w:sz w:val="17"/>
              </w:rPr>
              <w:t>118</w:t>
            </w:r>
          </w:p>
        </w:tc>
        <w:tc>
          <w:tcPr>
            <w:tcW w:type="dxa" w:w="1728"/>
          </w:tcPr>
          <w:p>
            <w:r>
              <w:rPr>
                <w:sz w:val="17"/>
              </w:rPr>
            </w:r>
            <w:r>
              <w:rPr>
                <w:sz w:val="17"/>
              </w:rPr>
              <w:t>91,0 %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Organisation, périmètre et effectifs</w:t>
      </w:r>
    </w:p>
    <w:p>
      <w:r>
        <w:t>Technological University Dublin (TU Dublin) est une université irlandaise ; elle a soumis son rapport STARS 3.0. Le rapport a obtenu un score STARS global de 83,35.</w:t>
      </w:r>
    </w:p>
    <w:p>
      <w:r>
        <w:t>L'université a mené une vaste étude de cartographie pour identifier les personnes chargées de collecter, de traiter et de valider les informations nécessaires à la réponse aux questions STARS. Cette étude a permis de suivre la chaîne d'information de la collecte des informations. Un deuxième exercice de cartographie a identifié les systèmes informatiques qui détiennent les informations requises.</w:t>
      </w:r>
    </w:p>
    <w:p>
      <w:r>
        <w:t>Les représentants de l'Union des étudiants membres du Conseil de durabilité de l'université ont contribué à répondre aux questions liées aux étudiants.</w:t>
      </w:r>
    </w:p>
    <w:p>
      <w:pPr>
        <w:pStyle w:val="Heading2"/>
      </w:pPr>
      <w:r>
        <w:rPr>
          <w:color w:val="2F6F5E"/>
        </w:rPr>
        <w:t>Limites et omissions</w:t>
      </w:r>
    </w:p>
    <w:p>
      <w:r>
        <w:t>Ce rapport ne peut pas établir la fréquence de publication, la date de publication ou le point de contact de l'université. Les données STARS sont autodéclarées et non vérifiées par l'AASHE.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fixés par STARS et sont identiques pour toutes les institutions : STARS ne demande pas à l'université de déclarer ses propres thèmes matériels.</w:t>
      </w:r>
    </w:p>
    <w:p>
      <w:pPr>
        <w:pStyle w:val="Heading3"/>
      </w:pPr>
      <w:r>
        <w:rPr>
          <w:color w:val="2F6F5E"/>
        </w:rPr>
        <w:t>Engagement et planification</w:t>
      </w:r>
    </w:p>
    <w:p>
      <w:r>
        <w:t>Le plan stratégique de l'université (2024-2028) fixe des objectifs de durabilité mesurables pour le campus : réduire les émissions de gaz à effet de serre de 46,5 % et améliorer l'efficacité énergétique de 45 % d'ici 2028, dans la ligne du Climate Action Plan 2021.</w:t>
      </w:r>
    </w:p>
    <w:p>
      <w:pPr>
        <w:pStyle w:val="Heading3"/>
      </w:pPr>
      <w:r>
        <w:rPr>
          <w:color w:val="2F6F5E"/>
        </w:rPr>
        <w:t>Égalité, diversité et inclusion</w:t>
      </w:r>
    </w:p>
    <w:p>
      <w:r>
        <w:t>Le même plan comprend un indicateur clé de performance sur la mise en œuvre des plans d'action EDI, avec pour cibles la certification Athena Swan, le plan pour l'égalité raciale (Race Equality Plan) et la fin des violences et du harcèlement sexuels (ESVH). Le plan d'action Athena Swan vise au moins 40 % de femmes et 40 % d'hommes à tous les niveaux de décision de la direction.</w:t>
      </w:r>
    </w:p>
    <w:p>
      <w:pPr>
        <w:pStyle w:val="Heading2"/>
      </w:pPr>
      <w:r>
        <w:rPr>
          <w:color w:val="2F6F5E"/>
        </w:rPr>
        <w:t>Limites et omissions</w:t>
      </w:r>
    </w:p>
    <w:p>
      <w:r>
        <w:t>Ce rapport ne peut pas établir, pour chaque thème, les impacts, les actions engagées et le suivi de leur efficacité : STARS ne les décrit qu'en partie (GRI 3-3).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(5,67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Les crédits PA-4 (programme d'investissement durable) et PA-5 (portefeuille d'investissements) sont « Non applicables » : TU Dublin est une université publique sans fonds de dotation. C'est un constat sur l'adéquation des référentiels au secteur, pas une défaillance.</w:t>
      </w:r>
    </w:p>
    <w:p>
      <w:r>
        <w:t>La gouvernance de l'université est encadrée par le Technological Universities Act 2018, qui impose la représentation des étudiants dans l'organe de gouvernance (Governing Body) ; la présidence de l'Union des étudiants y siège d'office, comme au conseil académique. Le site web de la Students' Union (SU) liste diverses instances où les étudiants sont représentés.</w:t>
      </w:r>
    </w:p>
    <w:p>
      <w:r>
        <w:t>Un siège de l'organe de gouvernance est réservé à un membre du personnel non académique (services professionnels), en vertu de la même loi ; la liste des membres du personnel académique et non académique de l'organe en février 2025 figure dans le rapport STARS.</w:t>
      </w:r>
    </w:p>
    <w:p>
      <w:r>
        <w:t>L'université obtient 4 points STARS sur 4 au crédit PA-3, niveau maximal. (GRI 2-9)</w:t>
      </w:r>
    </w:p>
    <w:p>
      <w:pPr>
        <w:pStyle w:val="Heading2"/>
      </w:pPr>
      <w:r>
        <w:rPr>
          <w:color w:val="2F6F5E"/>
        </w:rPr>
        <w:t>Limites et omissions</w:t>
      </w:r>
    </w:p>
    <w:p>
      <w:r>
        <w:t>Ce rapport ne peut pas établir la composition chiffrée de l'organe de gouvernance, ni la fréquence des rapports des responsables de la gestion des impacts.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PA-3 Gouvernance de l'établissement (4 sur 4).</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Technological University Dublin (TU Dublin) a inscrit sa stratégie de durabilité dans son plan stratégique 2024 – 2028. Ce plan comprend des objectifs mesurables de durabilité, dont la réduction des émissions de gaz à effet de serre (GHG) de 46,5 % et l'augmentation de l'efficacité énergétique de 45 % d'ici 2028.</w:t>
      </w:r>
    </w:p>
    <w:p>
      <w:r>
        <w:t>Des membres de l'Office de la durabilité participent aussi à des communautés énergétiques durables (SEC) soutenues par la SEAI et voisines du campus de Grangegorman, et mènent avec elles des activités de résilience climatique. Ces activités incluent la décarbonisation de l'environnement bâti (par exemple, amélioration des façades, intégration de sources renouvelables et pompes à chaleur) et le développement de projets de transport durable (par exemple, interpellations sur les transports publics, demandes de pistes cyclables, réparation gratuite de vélos).</w:t>
      </w:r>
    </w:p>
    <w:p>
      <w:r>
        <w:t>L'équipe de l'éducation à la durabilité propose des formations continues sur la durabilité, ainsi que le symposium d'éducation à la durabilité, qui met l'accent sur l'intégration des compétences définies dans le cadre EU GreenComp dans la conception de l'apprentissage, de l'évaluation et de l'enseignement.</w:t>
      </w:r>
    </w:p>
    <w:p>
      <w:pPr>
        <w:pStyle w:val="Heading2"/>
      </w:pPr>
      <w:r>
        <w:rPr>
          <w:color w:val="2F6F5E"/>
        </w:rPr>
        <w:t>Engagement et formation du personnel</w:t>
      </w:r>
    </w:p>
    <w:p>
      <w:r>
        <w:t>Parmi les réseaux et programmes d'engagement du personnel « pour l'intégrité écologique », l'école d'architecture de TU Dublin a formé avec toutes les autres écoles d'architecture d'Irlande le partenariat national Building Change, consacré à un enseignement de l'architecture tourné vers un avenir résilient.</w:t>
      </w:r>
    </w:p>
    <w:p>
      <w:pPr>
        <w:pStyle w:val="Heading2"/>
      </w:pPr>
      <w:r>
        <w:rPr>
          <w:color w:val="2F6F5E"/>
        </w:rPr>
        <w:t>Limites et omissions</w:t>
      </w:r>
    </w:p>
    <w:p>
      <w:r>
        <w:t>Ce rapport ne peut pas établir si TU Dublin a mis en place des mécanismes de demande de conseil et de signalement pour les parties prenantes affectées, au-delà des salariés.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PA-12 Droits des salariés (3 sur 3) ; EN-3 Engagement et formation du personnel (8 sur 8) ; PA-2 Engagements et planification (5,67 sur 6).</w:t>
      </w:r>
    </w:p>
    <w:p>
      <w:pPr>
        <w:pStyle w:val="ListBullet"/>
      </w:pPr>
      <w:r>
        <w:rPr>
          <w:b/>
        </w:rPr>
        <w:t>Partiellement atteints</w:t>
      </w:r>
      <w:r>
        <w:t xml:space="preserve"> : aucun.</w:t>
      </w:r>
    </w:p>
    <w:p>
      <w:pPr>
        <w:pStyle w:val="ListBullet"/>
      </w:pPr>
      <w:r>
        <w:rPr>
          <w:b/>
        </w:rPr>
        <w:t>À améliorer</w:t>
      </w:r>
      <w:r>
        <w:t xml:space="preserve"> : OP-9 Système d'achats durables (2,4 sur 7).</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EN-6 — Community Partnerships</w:t>
            </w:r>
          </w:p>
        </w:tc>
        <w:tc>
          <w:tcPr>
            <w:tcW w:type="dxa" w:w="2880"/>
          </w:tcPr>
          <w:p>
            <w:r>
              <w:rPr>
                <w:sz w:val="17"/>
              </w:rPr>
            </w:r>
            <w:r>
              <w:rPr>
                <w:sz w:val="17"/>
              </w:rPr>
              <w:t>7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Comme l'impose le Technological Universities Act 2018, les étudiants sont représentés dans l'organe de gouvernance de l'université. Le site web de la Students' Union (SU) liste diverses instances où les étudiants sont représentés. De plus, un siège de l'organe de gouvernance est réservé à un membre du personnel non académique (services professionnels), comme le prévoit la même loi.</w:t>
      </w:r>
    </w:p>
    <w:p>
      <w:r>
        <w:t>(GRI 2-29)</w:t>
      </w:r>
    </w:p>
    <w:p>
      <w:r>
        <w:t>L'université encourage également l'engagement civique. Par exemple, les étudiants peuvent participer à des programmes de bénévolat, siéger dans les comités des clubs et sociétés, être des mentors pairs ou des représentants de classe. Des opportunités de service communautaire sont proposées, telles que la participation à des comités de clubs et sociétés qui organisent des activités pour le bénéfice des autres étudiants, ou la participation à des sociétés qui se concentrent sur le bénévolat et l'entrepreneuriat social, comme la TU Dublin St. Vincent de Paul (SVP) Society, la TU Dublin Environmental Planning Society ou la TU Dublin Enactus Society, soutenue par le GrowthHub de l'université.</w:t>
      </w:r>
    </w:p>
    <w:p>
      <w:pPr>
        <w:pStyle w:val="Heading2"/>
      </w:pPr>
      <w:r>
        <w:rPr>
          <w:color w:val="2F6F5E"/>
        </w:rPr>
        <w:t>Limites et omissions</w:t>
      </w:r>
    </w:p>
    <w:p>
      <w:r>
        <w:t>Ce rapport ne peut pas établir la liste complète des partenariats de l'université avec la communauté pour la durabilité.</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PA-3 Gouvernance de l'établissement (4 sur 4) ; PA-12 Droits des salariés (3 sur 3) ; EN-6 Partenariats avec la communauté (7 sur 9).</w:t>
      </w:r>
    </w:p>
    <w:p>
      <w:pPr>
        <w:pStyle w:val="ListBullet"/>
      </w:pPr>
      <w:r>
        <w:rPr>
          <w:b/>
        </w:rPr>
        <w:t>Partiellement atteints</w:t>
      </w:r>
      <w:r>
        <w:t xml:space="preserve"> : EN-5 Engagement civique (4,5 sur 8).</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6,34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10,79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4,33 / 6</w:t>
            </w:r>
          </w:p>
        </w:tc>
        <w:tc>
          <w:tcPr>
            <w:tcW w:type="dxa" w:w="2880"/>
          </w:tcPr>
          <w:p>
            <w:r>
              <w:rPr>
                <w:sz w:val="17"/>
              </w:rPr>
            </w:r>
            <w:r>
              <w:rPr>
                <w:sz w:val="17"/>
              </w:rPr>
              <w:t>intermédiaire</w:t>
            </w:r>
          </w:p>
        </w:tc>
      </w:tr>
      <w:tr>
        <w:tc>
          <w:tcPr>
            <w:tcW w:type="dxa" w:w="2880"/>
          </w:tcPr>
          <w:p>
            <w:r>
              <w:rPr>
                <w:sz w:val="17"/>
              </w:rPr>
            </w:r>
            <w:r>
              <w:rPr>
                <w:sz w:val="17"/>
              </w:rPr>
              <w:t>OP-12 — Waste Generation and Recovery</w:t>
            </w:r>
          </w:p>
        </w:tc>
        <w:tc>
          <w:tcPr>
            <w:tcW w:type="dxa" w:w="2880"/>
          </w:tcPr>
          <w:p>
            <w:r>
              <w:rPr>
                <w:sz w:val="17"/>
              </w:rPr>
            </w:r>
            <w:r>
              <w:rPr>
                <w:sz w:val="17"/>
              </w:rPr>
              <w:t>3,94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2,25 / 4</w:t>
            </w:r>
          </w:p>
        </w:tc>
        <w:tc>
          <w:tcPr>
            <w:tcW w:type="dxa" w:w="2880"/>
          </w:tcPr>
          <w:p>
            <w:r>
              <w:rPr>
                <w:sz w:val="17"/>
              </w:rPr>
            </w:r>
            <w:r>
              <w:rPr>
                <w:sz w:val="17"/>
              </w:rPr>
              <w:t>intermédiaire</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2,75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1,38 / 3</w:t>
            </w:r>
          </w:p>
        </w:tc>
        <w:tc>
          <w:tcPr>
            <w:tcW w:type="dxa" w:w="2880"/>
          </w:tcPr>
          <w:p>
            <w:r>
              <w:rPr>
                <w:sz w:val="17"/>
              </w:rPr>
            </w:r>
            <w:r>
              <w:rPr>
                <w:sz w:val="17"/>
              </w:rPr>
              <w:t>intermédiaire</w:t>
            </w:r>
          </w:p>
        </w:tc>
      </w:tr>
      <w:tr>
        <w:tc>
          <w:tcPr>
            <w:tcW w:type="dxa" w:w="2880"/>
          </w:tcPr>
          <w:p>
            <w:r>
              <w:rPr>
                <w:sz w:val="17"/>
              </w:rPr>
            </w:r>
            <w:r>
              <w:rPr>
                <w:sz w:val="17"/>
              </w:rPr>
              <w:t>OP-2 — Building Operations and Maintenance</w:t>
            </w:r>
          </w:p>
        </w:tc>
        <w:tc>
          <w:tcPr>
            <w:tcW w:type="dxa" w:w="2880"/>
          </w:tcPr>
          <w:p>
            <w:r>
              <w:rPr>
                <w:sz w:val="17"/>
              </w:rPr>
            </w:r>
            <w:r>
              <w:rPr>
                <w:sz w:val="17"/>
              </w:rPr>
              <w:t>1,97 / 5</w:t>
            </w:r>
          </w:p>
        </w:tc>
        <w:tc>
          <w:tcPr>
            <w:tcW w:type="dxa" w:w="2880"/>
          </w:tcPr>
          <w:p>
            <w:r>
              <w:rPr>
                <w:sz w:val="17"/>
              </w:rPr>
            </w:r>
            <w:r>
              <w:rPr>
                <w:sz w:val="17"/>
              </w:rPr>
              <w:t>faible</w:t>
            </w:r>
          </w:p>
        </w:tc>
      </w:tr>
      <w:tr>
        <w:tc>
          <w:tcPr>
            <w:tcW w:type="dxa" w:w="2880"/>
          </w:tcPr>
          <w:p>
            <w:r>
              <w:rPr>
                <w:sz w:val="17"/>
              </w:rPr>
            </w:r>
            <w:r>
              <w:rPr>
                <w:sz w:val="17"/>
              </w:rPr>
              <w:t>OP-13 — Vehicle Fleet</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OP-14 — Commute Modal Split</w:t>
            </w:r>
          </w:p>
        </w:tc>
        <w:tc>
          <w:tcPr>
            <w:tcW w:type="dxa" w:w="2880"/>
          </w:tcPr>
          <w:p>
            <w:r>
              <w:rPr>
                <w:sz w:val="17"/>
              </w:rPr>
            </w:r>
            <w:r>
              <w:rPr>
                <w:sz w:val="17"/>
              </w:rPr>
              <w:t>5,39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0,69 / 5</w:t>
            </w:r>
          </w:p>
        </w:tc>
        <w:tc>
          <w:tcPr>
            <w:tcW w:type="dxa" w:w="2880"/>
          </w:tcPr>
          <w:p>
            <w:r>
              <w:rPr>
                <w:sz w:val="17"/>
              </w:rPr>
            </w:r>
            <w:r>
              <w:rPr>
                <w:sz w:val="17"/>
              </w:rPr>
              <w:t>faible</w:t>
            </w:r>
          </w:p>
        </w:tc>
      </w:tr>
    </w:tbl>
    <w:p/>
    <w:p>
      <w:r>
        <w:rPr>
          <w:i/>
        </w:rPr>
        <w:t>Valeurs insérées par le code depuis la table des faits ; le texte ci-dessous est rédigé par le modèle puis validé.</w:t>
      </w:r>
    </w:p>
    <w:p>
      <w:r>
        <w:t>Des panneaux photovoltaïques sont installés sur le toit de l'atelier de gravure (Printmaking Workshop) ; leur production reste faible, et un projet de géothermie est en cours de développement (GRI 302-1). Les jardins communautaires de Grangegorman et GLAS @ TU Dublin sont entretenus selon des pratiques biologiques (GRI 101-2).</w:t>
      </w:r>
    </w:p>
    <w:p>
      <w:r>
        <w:t>L'eau de pluie est récupérée sur le toit du Greenway Hub, dans les jardins du campus et sur les sites d'horticulture ; au Greenway Hub, elle est filtrée puis utilisée pour les chasses d'eau (GRI 303-1). Dans les achats, les produits de nettoyage portant le label FSC Recycled sont classés comme préférables (OP-10).</w:t>
      </w:r>
    </w:p>
    <w:p>
      <w:r>
        <w:t>En Irlande, tout bâtiment nouveau ou rénové reçoit un certificat de performance énergétique (Building Energy Rating, BER) délivré sous l'autorité de la SEAI (OP-1). Les bâtiments construits de 2019 à 2024 qui ont un BER de classe A sont considérés comme des bâtiments à consommation d'énergie quasi nulle (NZEB).</w:t>
      </w:r>
    </w:p>
    <w:p>
      <w:r>
        <w:t>Tous les véhicules de l'université sont électriques : ses véhicules diesel ont été remplacés, comme l'indique sa feuille de route climat (Climate Action Roadmap, juin 2024).</w:t>
      </w:r>
    </w:p>
    <w:p>
      <w:pPr>
        <w:pStyle w:val="Heading2"/>
      </w:pPr>
      <w:r>
        <w:rPr>
          <w:color w:val="2F6F5E"/>
        </w:rPr>
        <w:t>Limites et omissions</w:t>
      </w:r>
    </w:p>
    <w:p>
      <w:r>
        <w:t>Ce rapport ne peut pas établir les émissions de gaz à effet de serre des scopes 1 et 2, celles du scope 3 ni leur intensité (GRI 305-1 à GRI 305-4) : les valeurs détaillées de STARS n'ont pas été extraites.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OP-13 Flotte de véhicules (2 sur 2) ; OP-14 Modes de déplacement domicile-campus (5,39 sur 6) ; OP-12 Production et valorisation des déchets (3,94 sur 5).</w:t>
      </w:r>
    </w:p>
    <w:p>
      <w:pPr>
        <w:pStyle w:val="ListBullet"/>
      </w:pPr>
      <w:r>
        <w:rPr>
          <w:b/>
        </w:rPr>
        <w:t>Partiellement atteints</w:t>
      </w:r>
      <w:r>
        <w:t xml:space="preserve"> : OP-3 Consommation d'eau (4,33 sur 6) ; OP-10 Biens achetés (2,75 sur 4) ; OP-6 Émissions de gaz à effet de serre (10,79 sur 16) ; OP-5 Consommation d'énergie (6,34 sur 10) ; OP-11 Gestion des matériaux (2,25 sur 4) ; OP-1 Conception et construction des bâtiments (1,38 sur 3).</w:t>
      </w:r>
    </w:p>
    <w:p>
      <w:pPr>
        <w:pStyle w:val="ListBullet"/>
      </w:pPr>
      <w:r>
        <w:rPr>
          <w:b/>
        </w:rPr>
        <w:t>À améliorer</w:t>
      </w:r>
      <w:r>
        <w:t xml:space="preserve"> : OP-15 Voyages en avion (0 sur 2) ; OP-4 Gestion écologique des espaces verts (0,69 sur 5) ; OP-9 Système d'achats durables (2,4 sur 7) ; OP-2 Exploitation et maintenance des bâtiments (1,97 sur 5).</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0,33 / 2</w:t>
            </w:r>
          </w:p>
        </w:tc>
        <w:tc>
          <w:tcPr>
            <w:tcW w:type="dxa" w:w="2880"/>
          </w:tcPr>
          <w:p>
            <w:r>
              <w:rPr>
                <w:sz w:val="17"/>
              </w:rPr>
            </w:r>
            <w:r>
              <w:rPr>
                <w:sz w:val="17"/>
              </w:rPr>
              <w:t>faible</w:t>
            </w:r>
          </w:p>
        </w:tc>
      </w:tr>
      <w:tr>
        <w:tc>
          <w:tcPr>
            <w:tcW w:type="dxa" w:w="2880"/>
          </w:tcPr>
          <w:p>
            <w:r>
              <w:rPr>
                <w:sz w:val="17"/>
              </w:rPr>
            </w:r>
            <w:r>
              <w:rPr>
                <w:sz w:val="17"/>
              </w:rPr>
              <w:t>PA-7 — Racial and Ethnic Representation</w:t>
            </w:r>
          </w:p>
        </w:tc>
        <w:tc>
          <w:tcPr>
            <w:tcW w:type="dxa" w:w="2880"/>
          </w:tcPr>
          <w:p>
            <w:r>
              <w:rPr>
                <w:sz w:val="17"/>
              </w:rPr>
            </w:r>
            <w:r>
              <w:rPr>
                <w:sz w:val="17"/>
              </w:rPr>
              <w:t>0,86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2,91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Équité salariale et salaire décent</w:t>
      </w:r>
    </w:p>
    <w:p>
      <w:r>
        <w:t>TU Dublin vérifie que ses sous-traitants respectent la National Minimum Wage Act 2000 et la Payment of Wages Act 1991, et attend de tous ses fournisseurs qu'ils versent au moins le salaire minimum, ou une juste représentation du salaire en vigueur dans le secteur si elle est plus élevée. Elle a identifié des sous-traitants importants (restauration, nettoyage, maintenance, entretien des espaces verts, services techniques, transport et vente), qui versent tous un salaire décent à leurs employés (GRI 202-1).</w:t>
      </w:r>
    </w:p>
    <w:p>
      <w:pPr>
        <w:pStyle w:val="Heading3"/>
      </w:pPr>
      <w:r>
        <w:rPr>
          <w:color w:val="2F6F5E"/>
        </w:rPr>
        <w:t>Santé, sécurité et bien-être</w:t>
      </w:r>
    </w:p>
    <w:p>
      <w:r>
        <w:t>En conformité avec la Politique Tobacco Free Ireland du Département de la Santé, qui vise à promouvoir des campus sans tabac pour tous les établissements d'enseignement supérieur, le campus de TU Dublin a introduit une zone sans tabac sur le campus à partir de septembre 2020.</w:t>
      </w:r>
    </w:p>
    <w:p>
      <w:pPr>
        <w:pStyle w:val="Heading3"/>
      </w:pPr>
      <w:r>
        <w:rPr>
          <w:color w:val="2F6F5E"/>
        </w:rPr>
        <w:t>Parité femmes-hommes</w:t>
      </w:r>
    </w:p>
    <w:p>
      <w:r>
        <w:t>Le plan d'action Athena Swan de l'université vise au moins 40 % de femmes et 40 % d'hommes à tous les niveaux de décision de la direction (GRI 405-1).</w:t>
      </w:r>
    </w:p>
    <w:p>
      <w:pPr>
        <w:pStyle w:val="Heading3"/>
      </w:pPr>
      <w:r>
        <w:rPr>
          <w:color w:val="2F6F5E"/>
        </w:rPr>
        <w:t>Accessibilité financière et accès</w:t>
      </w:r>
    </w:p>
    <w:p>
      <w:r>
        <w:t>Le Fonds d'aide aux étudiants (SAF) et le Fonds de bourse, qui visent les étudiants issus de milieux sociaux défavorisés ou sous-représentés, sont des dispositifs d'aide financière.</w:t>
      </w:r>
    </w:p>
    <w:p>
      <w:pPr>
        <w:pStyle w:val="Heading3"/>
      </w:pPr>
      <w:r>
        <w:rPr>
          <w:color w:val="2F6F5E"/>
        </w:rPr>
        <w:t>Climat institutionnel (inclusion)</w:t>
      </w:r>
    </w:p>
    <w:p>
      <w:r>
        <w:t>L'office de l'égalité, de la diversité et de l'inclusion (EDI) mène plusieurs initiatives pour les employés issus de groupes raciaux, ethniques ou autochtones marginalisés : la direction EDI intègre l'antiracisme dans tous les programmes, avec des ressources, des formations et un accompagnement ; le programme Community Development and Youth Work propose au personnel des ateliers sur l'antiracisme ; des groupes de lecture antiracistes sont ouverts au personnel et aux étudiants ; l'université est partenaire de l'Open Doors Initiative, qui ouvre l'accès à l'emploi aux personnes marginalisées. Un indicateur de satisfaction des étudiants (« Supportive Environment ») porte notamment sur le soutien à la réussite et sur les contacts entre étudiants de milieux différents.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 ; PA-11 Santé, sécurité et bien-être (3 sur 3) ; PA-6 Climat institutionnel (3 sur 3) ; PA-10 Réussite étudiante (2,91 sur 3) ; PA-13 Équité salariale et salaire décent (4,8 sur 5) ; PA-9 Accessibilité financière et accès (2,5 sur 3).</w:t>
      </w:r>
    </w:p>
    <w:p>
      <w:pPr>
        <w:pStyle w:val="ListBullet"/>
      </w:pPr>
      <w:r>
        <w:rPr>
          <w:b/>
        </w:rPr>
        <w:t>Partiellement atteints</w:t>
      </w:r>
      <w:r>
        <w:t xml:space="preserve"> : aucun.</w:t>
      </w:r>
    </w:p>
    <w:p>
      <w:pPr>
        <w:pStyle w:val="ListBullet"/>
      </w:pPr>
      <w:r>
        <w:rPr>
          <w:b/>
        </w:rPr>
        <w:t>À améliorer</w:t>
      </w:r>
      <w:r>
        <w:t xml:space="preserve"> : PA-8 Parité femmes-hommes (0,33 sur 2) ; PA-7 Représentation ethnique et raciale (0,86 sur 3).</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13,28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rPr>
          <w:i/>
        </w:rPr>
        <w:t>Section de repli générée par le code : aucune version rédigée par le modèle n'a passé la validation.</w:t>
      </w:r>
    </w:p>
    <w:p>
      <w:pPr>
        <w:pStyle w:val="Heading2"/>
      </w:pPr>
      <w:r>
        <w:rPr>
          <w:color w:val="2F6F5E"/>
        </w:rPr>
        <w:t>Résultats STARS des crédits concernés</w:t>
      </w:r>
    </w:p>
    <w:p>
      <w:pPr>
        <w:pStyle w:val="ListBullet"/>
      </w:pPr>
      <w:r>
        <w:t>AC-1 — Sustainability Course Offerings : 14 / 14 points</w:t>
      </w:r>
    </w:p>
    <w:p>
      <w:pPr>
        <w:pStyle w:val="ListBullet"/>
      </w:pPr>
      <w:r>
        <w:t>AC-2 — Undergraduate Programs : 13,28 / 15 points</w:t>
      </w:r>
    </w:p>
    <w:p>
      <w:pPr>
        <w:pStyle w:val="ListBullet"/>
      </w:pPr>
      <w:r>
        <w:t>AC-3 — Graduate Programs : 8 / 8 points</w:t>
      </w:r>
    </w:p>
    <w:p>
      <w:pPr>
        <w:pStyle w:val="ListBullet"/>
      </w:pPr>
      <w:r>
        <w:t>AC-6 — Sustainability Research : 10 / 10 points</w:t>
      </w:r>
    </w:p>
    <w:p>
      <w:pPr>
        <w:pStyle w:val="ListBullet"/>
      </w:pPr>
      <w:r>
        <w:t>AC-7 — Center for Sustainability Research : 6 / 6 points</w:t>
      </w:r>
    </w:p>
    <w:p>
      <w:pPr>
        <w:pStyle w:val="ListBullet"/>
      </w:pPr>
      <w:r>
        <w:t>EN-1 — Outreach and Communications : 5 / 5 points</w:t>
      </w:r>
    </w:p>
    <w:p>
      <w:pPr>
        <w:pStyle w:val="ListBullet"/>
      </w:pPr>
      <w:r>
        <w:t>EN-2 — Co-Curricular Activities : 9 / 9 points</w:t>
      </w:r>
    </w:p>
    <w:p>
      <w:pPr>
        <w:pStyle w:val="ListBullet"/>
      </w:pPr>
      <w:r>
        <w:t>EN-3 — Staff Engagement and Training : 8 / 8 points</w:t>
      </w:r>
    </w:p>
    <w:p>
      <w:pPr>
        <w:pStyle w:val="ListBullet"/>
      </w:pPr>
      <w:r>
        <w:t>EN-5 — Civic Engagement : 4,5 / 8 points</w:t>
      </w:r>
    </w:p>
    <w:p>
      <w:pPr>
        <w:pStyle w:val="ListBullet"/>
      </w:pPr>
      <w:r>
        <w:t>EN-7 — Continuing Education : 3 / 3 points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AC-1 Offre de cours en durabilité (14 sur 14) ; AC-3 Programmes de cycles supérieurs (8 sur 8) ; AC-6 Recherche en durabilité (10 sur 10) ; AC-7 Centre de recherche en durabilité (6 sur 6) ; EN-1 Communication et sensibilisation (5 sur 5) ; EN-2 Activités parascolaires (9 sur 9) ; EN-3 Engagement et formation du personnel (8 sur 8) ; EN-7 Formation continue (3 sur 3) ; AC-2 Programmes de premier cycle (13,28 sur 15).</w:t>
      </w:r>
    </w:p>
    <w:p>
      <w:pPr>
        <w:pStyle w:val="ListBullet"/>
      </w:pPr>
      <w:r>
        <w:rPr>
          <w:b/>
        </w:rPr>
        <w:t>Partiellement atteints</w:t>
      </w:r>
      <w:r>
        <w:t xml:space="preserve"> : EN-5 Engagement civique (4,5 sur 8).</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17</w:t>
            </w:r>
          </w:p>
        </w:tc>
        <w:tc>
          <w:tcPr>
            <w:tcW w:type="dxa" w:w="2160"/>
          </w:tcPr>
          <w:p>
            <w:r>
              <w:rPr>
                <w:sz w:val="17"/>
              </w:rPr>
            </w:r>
            <w:r>
              <w:rPr>
                <w:sz w:val="17"/>
              </w:rPr>
              <w:t>49</w:t>
            </w:r>
          </w:p>
        </w:tc>
        <w:tc>
          <w:tcPr>
            <w:tcW w:type="dxa" w:w="2160"/>
          </w:tcPr>
          <w:p>
            <w:r>
              <w:rPr>
                <w:sz w:val="17"/>
              </w:rPr>
            </w:r>
            <w:r>
              <w:rPr>
                <w:sz w:val="17"/>
              </w:rPr>
              <w:t>20</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Non évalué</w:t>
            </w:r>
          </w:p>
        </w:tc>
        <w:tc>
          <w:tcPr>
            <w:tcW w:type="dxa" w:w="2160"/>
          </w:tcPr>
          <w:p>
            <w:r>
              <w:rPr>
                <w:sz w:val="17"/>
              </w:rPr>
            </w:r>
            <w:r>
              <w:rPr>
                <w:sz w:val="17"/>
              </w:rPr>
              <w:t>Champ STARS identifié (PA-1) mais valeur non extraite : nécessite les pages STARS authentifiées.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évalué</w:t>
            </w:r>
          </w:p>
        </w:tc>
        <w:tc>
          <w:tcPr>
            <w:tcW w:type="dxa" w:w="2160"/>
          </w:tcPr>
          <w:p>
            <w:r>
              <w:rPr>
                <w:sz w:val="17"/>
              </w:rPr>
            </w:r>
            <w:r>
              <w:rPr>
                <w:sz w:val="17"/>
              </w:rPr>
              <w:t>Champ STARS identifié (IL-62) mais valeur non extraite : nécessite les pages STARS authentifiées.</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(EN-3)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Non évalué</w:t>
            </w:r>
          </w:p>
        </w:tc>
        <w:tc>
          <w:tcPr>
            <w:tcW w:type="dxa" w:w="2160"/>
          </w:tcPr>
          <w:p>
            <w:r>
              <w:rPr>
                <w:sz w:val="17"/>
              </w:rPr>
            </w:r>
            <w:r>
              <w:rPr>
                <w:sz w:val="17"/>
              </w:rPr>
              <w:t>Champ STARS identifié (OP-9) mais valeur non extraite : nécessite les pages STARS authentifiées.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2 sur 8</w:t>
            </w:r>
          </w:p>
        </w:tc>
        <w:tc>
          <w:tcPr>
            <w:tcW w:type="dxa" w:w="960"/>
          </w:tcPr>
          <w:p>
            <w:r>
              <w:rPr>
                <w:sz w:val="17"/>
              </w:rPr>
            </w:r>
            <w:r>
              <w:rPr>
                <w:sz w:val="17"/>
              </w:rPr>
              <w:t>7.5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2 sur 3</w:t>
            </w:r>
          </w:p>
        </w:tc>
        <w:tc>
          <w:tcPr>
            <w:tcW w:type="dxa" w:w="960"/>
          </w:tcPr>
          <w:p>
            <w:r>
              <w:rPr>
                <w:sz w:val="17"/>
              </w:rPr>
            </w:r>
            <w:r>
              <w:rPr>
                <w:sz w:val="17"/>
              </w:rPr>
              <w:t>9.6 min</w:t>
            </w:r>
          </w:p>
        </w:tc>
      </w:tr>
      <w:tr>
        <w:tc>
          <w:tcPr>
            <w:tcW w:type="dxa" w:w="960"/>
          </w:tcPr>
          <w:p>
            <w:r>
              <w:rPr>
                <w:sz w:val="17"/>
              </w:rPr>
            </w:r>
            <w:r>
              <w:rPr>
                <w:sz w:val="17"/>
              </w:rPr>
              <w:t>Gouvernance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0</w:t>
            </w:r>
          </w:p>
        </w:tc>
        <w:tc>
          <w:tcPr>
            <w:tcW w:type="dxa" w:w="960"/>
          </w:tcPr>
          <w:p>
            <w:r>
              <w:rPr>
                <w:sz w:val="17"/>
              </w:rPr>
            </w:r>
            <w:r>
              <w:rPr>
                <w:sz w:val="17"/>
              </w:rPr>
              <w:t>5/5</w:t>
            </w:r>
          </w:p>
        </w:tc>
        <w:tc>
          <w:tcPr>
            <w:tcW w:type="dxa" w:w="960"/>
          </w:tcPr>
          <w:p>
            <w:r>
              <w:rPr>
                <w:sz w:val="17"/>
              </w:rPr>
            </w:r>
            <w:r>
              <w:rPr>
                <w:sz w:val="17"/>
              </w:rPr>
              <w:t>100%</w:t>
            </w:r>
          </w:p>
        </w:tc>
        <w:tc>
          <w:tcPr>
            <w:tcW w:type="dxa" w:w="960"/>
          </w:tcPr>
          <w:p>
            <w:r>
              <w:rPr>
                <w:sz w:val="17"/>
              </w:rPr>
            </w:r>
            <w:r>
              <w:rPr>
                <w:sz w:val="17"/>
              </w:rPr>
              <w:t>33%</w:t>
            </w:r>
          </w:p>
        </w:tc>
        <w:tc>
          <w:tcPr>
            <w:tcW w:type="dxa" w:w="960"/>
          </w:tcPr>
          <w:p>
            <w:r>
              <w:rPr>
                <w:sz w:val="17"/>
              </w:rPr>
            </w:r>
            <w:r>
              <w:rPr>
                <w:sz w:val="17"/>
              </w:rPr>
              <w:t>1 sur 13</w:t>
            </w:r>
          </w:p>
        </w:tc>
        <w:tc>
          <w:tcPr>
            <w:tcW w:type="dxa" w:w="960"/>
          </w:tcPr>
          <w:p>
            <w:r>
              <w:rPr>
                <w:sz w:val="17"/>
              </w:rPr>
            </w:r>
            <w:r>
              <w:rPr>
                <w:sz w:val="17"/>
              </w:rPr>
              <w:t>9.5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4 sur 7</w:t>
            </w:r>
          </w:p>
        </w:tc>
        <w:tc>
          <w:tcPr>
            <w:tcW w:type="dxa" w:w="960"/>
          </w:tcPr>
          <w:p>
            <w:r>
              <w:rPr>
                <w:sz w:val="17"/>
              </w:rPr>
            </w:r>
            <w:r>
              <w:rPr>
                <w:sz w:val="17"/>
              </w:rPr>
              <w:t>8.8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1 sur 2</w:t>
            </w:r>
          </w:p>
        </w:tc>
        <w:tc>
          <w:tcPr>
            <w:tcW w:type="dxa" w:w="960"/>
          </w:tcPr>
          <w:p>
            <w:r>
              <w:rPr>
                <w:sz w:val="17"/>
              </w:rPr>
            </w:r>
            <w:r>
              <w:rPr>
                <w:sz w:val="17"/>
              </w:rPr>
              <w:t>7.7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7%</w:t>
            </w:r>
          </w:p>
        </w:tc>
        <w:tc>
          <w:tcPr>
            <w:tcW w:type="dxa" w:w="960"/>
          </w:tcPr>
          <w:p>
            <w:r>
              <w:rPr>
                <w:sz w:val="17"/>
              </w:rPr>
            </w:r>
            <w:r>
              <w:rPr>
                <w:sz w:val="17"/>
              </w:rPr>
              <w:t>3 sur 35</w:t>
            </w:r>
          </w:p>
        </w:tc>
        <w:tc>
          <w:tcPr>
            <w:tcW w:type="dxa" w:w="960"/>
          </w:tcPr>
          <w:p>
            <w:r>
              <w:rPr>
                <w:sz w:val="17"/>
              </w:rPr>
            </w:r>
            <w:r>
              <w:rPr>
                <w:sz w:val="17"/>
              </w:rPr>
              <w:t>24.1 min</w:t>
            </w:r>
          </w:p>
        </w:tc>
      </w:tr>
      <w:tr>
        <w:tc>
          <w:tcPr>
            <w:tcW w:type="dxa" w:w="960"/>
          </w:tcPr>
          <w:p>
            <w:r>
              <w:rPr>
                <w:sz w:val="17"/>
              </w:rPr>
            </w:r>
            <w:r>
              <w:rPr>
                <w:sz w:val="17"/>
              </w:rPr>
              <w:t>Performance sociale et économique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3/5</w:t>
            </w:r>
          </w:p>
        </w:tc>
        <w:tc>
          <w:tcPr>
            <w:tcW w:type="dxa" w:w="960"/>
          </w:tcPr>
          <w:p>
            <w:r>
              <w:rPr>
                <w:sz w:val="17"/>
              </w:rPr>
            </w:r>
            <w:r>
              <w:rPr>
                <w:sz w:val="17"/>
              </w:rPr>
              <w:t>83%</w:t>
            </w:r>
          </w:p>
        </w:tc>
        <w:tc>
          <w:tcPr>
            <w:tcW w:type="dxa" w:w="960"/>
          </w:tcPr>
          <w:p>
            <w:r>
              <w:rPr>
                <w:sz w:val="17"/>
              </w:rPr>
            </w:r>
            <w:r>
              <w:rPr>
                <w:sz w:val="17"/>
              </w:rPr>
              <w:t>25%</w:t>
            </w:r>
          </w:p>
        </w:tc>
        <w:tc>
          <w:tcPr>
            <w:tcW w:type="dxa" w:w="960"/>
          </w:tcPr>
          <w:p>
            <w:r>
              <w:rPr>
                <w:sz w:val="17"/>
              </w:rPr>
            </w:r>
            <w:r>
              <w:rPr>
                <w:sz w:val="17"/>
              </w:rPr>
              <w:t>4 sur 18</w:t>
            </w:r>
          </w:p>
        </w:tc>
        <w:tc>
          <w:tcPr>
            <w:tcW w:type="dxa" w:w="960"/>
          </w:tcPr>
          <w:p>
            <w:r>
              <w:rPr>
                <w:sz w:val="17"/>
              </w:rPr>
            </w:r>
            <w:r>
              <w:rPr>
                <w:sz w:val="17"/>
              </w:rPr>
              <w:t>13.2 min</w:t>
            </w:r>
          </w:p>
        </w:tc>
      </w:tr>
      <w:tr>
        <w:tc>
          <w:tcPr>
            <w:tcW w:type="dxa" w:w="960"/>
          </w:tcPr>
          <w:p>
            <w:r>
              <w:rPr>
                <w:sz w:val="17"/>
              </w:rPr>
            </w:r>
            <w:r>
              <w:rPr>
                <w:sz w:val="17"/>
              </w:rPr>
              <w:t>Enseignement, recherche et engagement (hors GRI)</w:t>
            </w:r>
          </w:p>
        </w:tc>
        <w:tc>
          <w:tcPr>
            <w:tcW w:type="dxa" w:w="960"/>
          </w:tcPr>
          <w:p>
            <w:r>
              <w:rPr>
                <w:sz w:val="17"/>
              </w:rPr>
            </w:r>
            <w:r>
              <w:rPr>
                <w:sz w:val="17"/>
              </w:rPr>
              <w:t>repli</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—/5</w:t>
            </w:r>
          </w:p>
        </w:tc>
        <w:tc>
          <w:tcPr>
            <w:tcW w:type="dxa" w:w="960"/>
          </w:tcPr>
          <w:p>
            <w:r>
              <w:rPr>
                <w:sz w:val="17"/>
              </w:rPr>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25.7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7 section(s) validée(s) sur 8 ; fidélité moyenne 95%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24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relecture/tudublin.yaml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Technological University Dublin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