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CEEACA"/>
  <w:body>
    <w:p w14:paraId="058F6728">
      <w:pPr>
        <w:pStyle w:val="28"/>
        <w:rPr>
          <w:rFonts w:ascii="Times New Roman" w:hAnsi="Times New Roman" w:cs="Times New Roman"/>
          <w:sz w:val="28"/>
          <w:szCs w:val="28"/>
        </w:rPr>
      </w:pPr>
      <w:bookmarkStart w:id="0" w:name="_Toc503783494"/>
      <w:r>
        <w:rPr>
          <w:rFonts w:ascii="Times New Roman" w:hAnsi="Times New Roman" w:cs="Times New Roman"/>
          <w:sz w:val="28"/>
          <w:szCs w:val="28"/>
        </w:rPr>
        <w:t>设计说明目录</w:t>
      </w:r>
    </w:p>
    <w:p w14:paraId="26D4FDFA">
      <w:pPr>
        <w:pStyle w:val="25"/>
        <w:tabs>
          <w:tab w:val="right" w:leader="dot" w:pos="10328"/>
        </w:tabs>
        <w:ind w:firstLine="402"/>
      </w:pPr>
      <w:r>
        <w:rPr>
          <w:rFonts w:ascii="Times New Roman" w:hAnsi="Times New Roman" w:cs="Times New Roman"/>
          <w:b/>
          <w:bCs/>
          <w:caps/>
        </w:rPr>
        <w:fldChar w:fldCharType="begin"/>
      </w:r>
      <w:r>
        <w:rPr>
          <w:rFonts w:ascii="Times New Roman" w:hAnsi="Times New Roman" w:cs="Times New Roman"/>
        </w:rPr>
        <w:instrText xml:space="preserve"> TOC \o "1-1" \h \z \u \t "标题 2,2,标题 3,3" </w:instrText>
      </w:r>
      <w:r>
        <w:rPr>
          <w:rFonts w:ascii="Times New Roman" w:hAnsi="Times New Roman" w:cs="Times New Roman"/>
          <w:b/>
          <w:bCs/>
          <w:caps/>
        </w:rPr>
        <w:fldChar w:fldCharType="separate"/>
      </w:r>
      <w:r>
        <w:fldChar w:fldCharType="begin"/>
      </w:r>
      <w:r>
        <w:instrText xml:space="preserve"> HYPERLINK \l "_Toc15601" </w:instrText>
      </w:r>
      <w:r>
        <w:fldChar w:fldCharType="separate"/>
      </w:r>
      <w:r>
        <w:rPr>
          <w:rFonts w:hint="eastAsia" w:ascii="Times New Roman" w:hAnsi="Times New Roman" w:cs="Times New Roman"/>
        </w:rPr>
        <w:t xml:space="preserve">1.1 </w:t>
      </w:r>
      <w:r>
        <w:rPr>
          <w:rFonts w:ascii="Times New Roman" w:hAnsi="Times New Roman" w:cs="Times New Roman"/>
        </w:rPr>
        <w:t>项目概况</w:t>
      </w:r>
      <w:r>
        <w:tab/>
      </w:r>
      <w:r>
        <w:fldChar w:fldCharType="begin"/>
      </w:r>
      <w:r>
        <w:instrText xml:space="preserve"> PAGEREF _Toc15601 \h </w:instrText>
      </w:r>
      <w:r>
        <w:fldChar w:fldCharType="separate"/>
      </w:r>
      <w:r>
        <w:t>1</w:t>
      </w:r>
      <w:r>
        <w:fldChar w:fldCharType="end"/>
      </w:r>
      <w:r>
        <w:fldChar w:fldCharType="end"/>
      </w:r>
    </w:p>
    <w:p w14:paraId="32042667">
      <w:pPr>
        <w:pStyle w:val="25"/>
        <w:tabs>
          <w:tab w:val="right" w:leader="dot" w:pos="10328"/>
        </w:tabs>
        <w:ind w:firstLine="400"/>
      </w:pPr>
      <w:r>
        <w:fldChar w:fldCharType="begin"/>
      </w:r>
      <w:r>
        <w:instrText xml:space="preserve"> HYPERLINK \l "_Toc29205" </w:instrText>
      </w:r>
      <w:r>
        <w:fldChar w:fldCharType="separate"/>
      </w:r>
      <w:r>
        <w:rPr>
          <w:rFonts w:hint="eastAsia" w:ascii="Times New Roman" w:hAnsi="Times New Roman" w:cs="Times New Roman"/>
        </w:rPr>
        <w:t xml:space="preserve">1.2 </w:t>
      </w:r>
      <w:r>
        <w:rPr>
          <w:rFonts w:ascii="Times New Roman" w:hAnsi="Times New Roman" w:cs="Times New Roman"/>
        </w:rPr>
        <w:t>编制依据</w:t>
      </w:r>
      <w:r>
        <w:tab/>
      </w:r>
      <w:r>
        <w:fldChar w:fldCharType="begin"/>
      </w:r>
      <w:r>
        <w:instrText xml:space="preserve"> PAGEREF _Toc29205 \h </w:instrText>
      </w:r>
      <w:r>
        <w:fldChar w:fldCharType="separate"/>
      </w:r>
      <w:r>
        <w:t>1</w:t>
      </w:r>
      <w:r>
        <w:fldChar w:fldCharType="end"/>
      </w:r>
      <w:r>
        <w:fldChar w:fldCharType="end"/>
      </w:r>
    </w:p>
    <w:p w14:paraId="6F9C8336">
      <w:pPr>
        <w:pStyle w:val="15"/>
        <w:tabs>
          <w:tab w:val="right" w:leader="dot" w:pos="10328"/>
        </w:tabs>
        <w:ind w:firstLine="400"/>
      </w:pPr>
      <w:r>
        <w:fldChar w:fldCharType="begin"/>
      </w:r>
      <w:r>
        <w:instrText xml:space="preserve"> HYPERLINK \l "_Toc32081" </w:instrText>
      </w:r>
      <w:r>
        <w:fldChar w:fldCharType="separate"/>
      </w:r>
      <w:r>
        <w:rPr>
          <w:rFonts w:hint="eastAsia" w:ascii="Times New Roman" w:hAnsi="Times New Roman" w:cs="Times New Roman"/>
        </w:rPr>
        <w:t xml:space="preserve">1.2.1 </w:t>
      </w:r>
      <w:r>
        <w:rPr>
          <w:rFonts w:ascii="Times New Roman" w:hAnsi="Times New Roman" w:cs="Times New Roman"/>
        </w:rPr>
        <w:t>依据文件</w:t>
      </w:r>
      <w:r>
        <w:tab/>
      </w:r>
      <w:r>
        <w:fldChar w:fldCharType="begin"/>
      </w:r>
      <w:r>
        <w:instrText xml:space="preserve"> PAGEREF _Toc32081 \h </w:instrText>
      </w:r>
      <w:r>
        <w:fldChar w:fldCharType="separate"/>
      </w:r>
      <w:r>
        <w:t>1</w:t>
      </w:r>
      <w:r>
        <w:fldChar w:fldCharType="end"/>
      </w:r>
      <w:r>
        <w:fldChar w:fldCharType="end"/>
      </w:r>
    </w:p>
    <w:p w14:paraId="05BB8A25">
      <w:pPr>
        <w:pStyle w:val="15"/>
        <w:tabs>
          <w:tab w:val="right" w:leader="dot" w:pos="10328"/>
        </w:tabs>
        <w:ind w:firstLine="400"/>
      </w:pPr>
      <w:r>
        <w:fldChar w:fldCharType="begin"/>
      </w:r>
      <w:r>
        <w:instrText xml:space="preserve"> HYPERLINK \l "_Toc2257" </w:instrText>
      </w:r>
      <w:r>
        <w:fldChar w:fldCharType="separate"/>
      </w:r>
      <w:r>
        <w:rPr>
          <w:rFonts w:hint="eastAsia" w:ascii="Times New Roman" w:hAnsi="Times New Roman" w:cs="Times New Roman"/>
        </w:rPr>
        <w:t xml:space="preserve">1.2.2 </w:t>
      </w:r>
      <w:r>
        <w:rPr>
          <w:rFonts w:ascii="Times New Roman" w:hAnsi="Times New Roman" w:cs="Times New Roman"/>
        </w:rPr>
        <w:t>有关规划、文件</w:t>
      </w:r>
      <w:r>
        <w:tab/>
      </w:r>
      <w:r>
        <w:fldChar w:fldCharType="begin"/>
      </w:r>
      <w:r>
        <w:instrText xml:space="preserve"> PAGEREF _Toc2257 \h </w:instrText>
      </w:r>
      <w:r>
        <w:fldChar w:fldCharType="separate"/>
      </w:r>
      <w:r>
        <w:t>1</w:t>
      </w:r>
      <w:r>
        <w:fldChar w:fldCharType="end"/>
      </w:r>
      <w:r>
        <w:fldChar w:fldCharType="end"/>
      </w:r>
    </w:p>
    <w:p w14:paraId="2D8B9570">
      <w:pPr>
        <w:pStyle w:val="15"/>
        <w:tabs>
          <w:tab w:val="right" w:leader="dot" w:pos="10328"/>
        </w:tabs>
        <w:ind w:firstLine="400"/>
      </w:pPr>
      <w:r>
        <w:fldChar w:fldCharType="begin"/>
      </w:r>
      <w:r>
        <w:instrText xml:space="preserve"> HYPERLINK \l "_Toc5926" </w:instrText>
      </w:r>
      <w:r>
        <w:fldChar w:fldCharType="separate"/>
      </w:r>
      <w:r>
        <w:rPr>
          <w:rFonts w:hint="eastAsia" w:ascii="Times New Roman" w:hAnsi="Times New Roman" w:cs="Times New Roman"/>
        </w:rPr>
        <w:t xml:space="preserve">1.2.3 </w:t>
      </w:r>
      <w:r>
        <w:rPr>
          <w:rFonts w:ascii="Times New Roman" w:hAnsi="Times New Roman" w:cs="Times New Roman"/>
        </w:rPr>
        <w:t>其他必要的文件</w:t>
      </w:r>
      <w:r>
        <w:tab/>
      </w:r>
      <w:r>
        <w:fldChar w:fldCharType="begin"/>
      </w:r>
      <w:r>
        <w:instrText xml:space="preserve"> PAGEREF _Toc5926 \h </w:instrText>
      </w:r>
      <w:r>
        <w:fldChar w:fldCharType="separate"/>
      </w:r>
      <w:r>
        <w:t>1</w:t>
      </w:r>
      <w:r>
        <w:fldChar w:fldCharType="end"/>
      </w:r>
      <w:r>
        <w:fldChar w:fldCharType="end"/>
      </w:r>
    </w:p>
    <w:p w14:paraId="2FCC8E43">
      <w:pPr>
        <w:pStyle w:val="25"/>
        <w:tabs>
          <w:tab w:val="right" w:leader="dot" w:pos="10328"/>
        </w:tabs>
        <w:ind w:firstLine="400"/>
      </w:pPr>
      <w:r>
        <w:fldChar w:fldCharType="begin"/>
      </w:r>
      <w:r>
        <w:instrText xml:space="preserve"> HYPERLINK \l "_Toc28759" </w:instrText>
      </w:r>
      <w:r>
        <w:fldChar w:fldCharType="separate"/>
      </w:r>
      <w:r>
        <w:rPr>
          <w:rFonts w:hint="eastAsia" w:ascii="Times New Roman" w:hAnsi="Times New Roman" w:cs="Times New Roman"/>
        </w:rPr>
        <w:t xml:space="preserve">1.3 </w:t>
      </w:r>
      <w:r>
        <w:rPr>
          <w:rFonts w:ascii="Times New Roman" w:hAnsi="Times New Roman" w:cs="Times New Roman"/>
        </w:rPr>
        <w:t>采用的规范和标准</w:t>
      </w:r>
      <w:r>
        <w:tab/>
      </w:r>
      <w:r>
        <w:fldChar w:fldCharType="begin"/>
      </w:r>
      <w:r>
        <w:instrText xml:space="preserve"> PAGEREF _Toc28759 \h </w:instrText>
      </w:r>
      <w:r>
        <w:fldChar w:fldCharType="separate"/>
      </w:r>
      <w:r>
        <w:t>1</w:t>
      </w:r>
      <w:r>
        <w:fldChar w:fldCharType="end"/>
      </w:r>
      <w:r>
        <w:fldChar w:fldCharType="end"/>
      </w:r>
    </w:p>
    <w:p w14:paraId="6C018D35">
      <w:pPr>
        <w:pStyle w:val="15"/>
        <w:tabs>
          <w:tab w:val="right" w:leader="dot" w:pos="10328"/>
        </w:tabs>
        <w:ind w:firstLine="400"/>
      </w:pPr>
      <w:r>
        <w:fldChar w:fldCharType="begin"/>
      </w:r>
      <w:r>
        <w:instrText xml:space="preserve"> HYPERLINK \l "_Toc21545" </w:instrText>
      </w:r>
      <w:r>
        <w:fldChar w:fldCharType="separate"/>
      </w:r>
      <w:r>
        <w:rPr>
          <w:rFonts w:hint="eastAsia" w:ascii="Times New Roman" w:hAnsi="Times New Roman" w:cs="Times New Roman"/>
        </w:rPr>
        <w:t xml:space="preserve">1.3.1 </w:t>
      </w:r>
      <w:r>
        <w:rPr>
          <w:rFonts w:ascii="Times New Roman" w:hAnsi="Times New Roman" w:cs="Times New Roman"/>
        </w:rPr>
        <w:t>排水设计规范及标准</w:t>
      </w:r>
      <w:r>
        <w:tab/>
      </w:r>
      <w:r>
        <w:fldChar w:fldCharType="begin"/>
      </w:r>
      <w:r>
        <w:instrText xml:space="preserve"> PAGEREF _Toc21545 \h </w:instrText>
      </w:r>
      <w:r>
        <w:fldChar w:fldCharType="separate"/>
      </w:r>
      <w:r>
        <w:t>1</w:t>
      </w:r>
      <w:r>
        <w:fldChar w:fldCharType="end"/>
      </w:r>
      <w:r>
        <w:fldChar w:fldCharType="end"/>
      </w:r>
    </w:p>
    <w:p w14:paraId="5B549023">
      <w:pPr>
        <w:pStyle w:val="15"/>
        <w:tabs>
          <w:tab w:val="right" w:leader="dot" w:pos="10328"/>
        </w:tabs>
        <w:ind w:firstLine="400"/>
      </w:pPr>
      <w:r>
        <w:fldChar w:fldCharType="begin"/>
      </w:r>
      <w:r>
        <w:instrText xml:space="preserve"> HYPERLINK \l "_Toc9907" </w:instrText>
      </w:r>
      <w:r>
        <w:fldChar w:fldCharType="separate"/>
      </w:r>
      <w:r>
        <w:rPr>
          <w:rFonts w:hint="eastAsia" w:ascii="Times New Roman" w:hAnsi="Times New Roman" w:cs="Times New Roman"/>
        </w:rPr>
        <w:t xml:space="preserve">1.3.2 </w:t>
      </w:r>
      <w:r>
        <w:rPr>
          <w:rFonts w:ascii="Times New Roman" w:hAnsi="Times New Roman" w:cs="Times New Roman"/>
        </w:rPr>
        <w:t>结构设计规范及标准</w:t>
      </w:r>
      <w:r>
        <w:tab/>
      </w:r>
      <w:r>
        <w:fldChar w:fldCharType="begin"/>
      </w:r>
      <w:r>
        <w:instrText xml:space="preserve"> PAGEREF _Toc9907 \h </w:instrText>
      </w:r>
      <w:r>
        <w:fldChar w:fldCharType="separate"/>
      </w:r>
      <w:r>
        <w:t>2</w:t>
      </w:r>
      <w:r>
        <w:fldChar w:fldCharType="end"/>
      </w:r>
      <w:r>
        <w:fldChar w:fldCharType="end"/>
      </w:r>
    </w:p>
    <w:p w14:paraId="69C962B6">
      <w:pPr>
        <w:pStyle w:val="15"/>
        <w:tabs>
          <w:tab w:val="right" w:leader="dot" w:pos="10328"/>
        </w:tabs>
        <w:ind w:firstLine="400"/>
      </w:pPr>
      <w:r>
        <w:fldChar w:fldCharType="begin"/>
      </w:r>
      <w:r>
        <w:instrText xml:space="preserve"> HYPERLINK \l "_Toc4228" </w:instrText>
      </w:r>
      <w:r>
        <w:fldChar w:fldCharType="separate"/>
      </w:r>
      <w:r>
        <w:rPr>
          <w:rFonts w:hint="eastAsia" w:ascii="Times New Roman" w:hAnsi="Times New Roman" w:cs="Times New Roman"/>
        </w:rPr>
        <w:t xml:space="preserve">1.3.3 </w:t>
      </w:r>
      <w:r>
        <w:rPr>
          <w:rFonts w:ascii="Times New Roman" w:hAnsi="Times New Roman" w:cs="Times New Roman"/>
        </w:rPr>
        <w:t>相关维护规程</w:t>
      </w:r>
      <w:r>
        <w:tab/>
      </w:r>
      <w:r>
        <w:fldChar w:fldCharType="begin"/>
      </w:r>
      <w:r>
        <w:instrText xml:space="preserve"> PAGEREF _Toc4228 \h </w:instrText>
      </w:r>
      <w:r>
        <w:fldChar w:fldCharType="separate"/>
      </w:r>
      <w:r>
        <w:t>2</w:t>
      </w:r>
      <w:r>
        <w:fldChar w:fldCharType="end"/>
      </w:r>
      <w:r>
        <w:fldChar w:fldCharType="end"/>
      </w:r>
    </w:p>
    <w:p w14:paraId="3572603D">
      <w:pPr>
        <w:pStyle w:val="15"/>
        <w:tabs>
          <w:tab w:val="right" w:leader="dot" w:pos="10328"/>
        </w:tabs>
        <w:ind w:firstLine="400"/>
      </w:pPr>
      <w:r>
        <w:fldChar w:fldCharType="begin"/>
      </w:r>
      <w:r>
        <w:instrText xml:space="preserve"> HYPERLINK \l "_Toc23667" </w:instrText>
      </w:r>
      <w:r>
        <w:fldChar w:fldCharType="separate"/>
      </w:r>
      <w:r>
        <w:rPr>
          <w:rFonts w:hint="eastAsia" w:ascii="Times New Roman" w:hAnsi="Times New Roman" w:cs="Times New Roman"/>
        </w:rPr>
        <w:t xml:space="preserve">1.3.4 </w:t>
      </w:r>
      <w:r>
        <w:rPr>
          <w:rFonts w:ascii="Times New Roman" w:hAnsi="Times New Roman" w:cs="Times New Roman"/>
        </w:rPr>
        <w:t>其他规范和标准</w:t>
      </w:r>
      <w:r>
        <w:tab/>
      </w:r>
      <w:r>
        <w:fldChar w:fldCharType="begin"/>
      </w:r>
      <w:r>
        <w:instrText xml:space="preserve"> PAGEREF _Toc23667 \h </w:instrText>
      </w:r>
      <w:r>
        <w:fldChar w:fldCharType="separate"/>
      </w:r>
      <w:r>
        <w:t>2</w:t>
      </w:r>
      <w:r>
        <w:fldChar w:fldCharType="end"/>
      </w:r>
      <w:r>
        <w:fldChar w:fldCharType="end"/>
      </w:r>
    </w:p>
    <w:p w14:paraId="6FF1C4CD">
      <w:pPr>
        <w:pStyle w:val="15"/>
        <w:tabs>
          <w:tab w:val="right" w:leader="dot" w:pos="10328"/>
        </w:tabs>
        <w:ind w:firstLine="400"/>
      </w:pPr>
      <w:r>
        <w:fldChar w:fldCharType="begin"/>
      </w:r>
      <w:r>
        <w:instrText xml:space="preserve"> HYPERLINK \l "_Toc4978" </w:instrText>
      </w:r>
      <w:r>
        <w:fldChar w:fldCharType="separate"/>
      </w:r>
      <w:r>
        <w:rPr>
          <w:rFonts w:hint="eastAsia" w:ascii="Times New Roman" w:hAnsi="Times New Roman" w:cs="Times New Roman"/>
        </w:rPr>
        <w:t xml:space="preserve">1.3.5 </w:t>
      </w:r>
      <w:r>
        <w:rPr>
          <w:rFonts w:ascii="Times New Roman" w:hAnsi="Times New Roman" w:cs="Times New Roman"/>
        </w:rPr>
        <w:t>采用的标准图集</w:t>
      </w:r>
      <w:r>
        <w:tab/>
      </w:r>
      <w:r>
        <w:fldChar w:fldCharType="begin"/>
      </w:r>
      <w:r>
        <w:instrText xml:space="preserve"> PAGEREF _Toc4978 \h </w:instrText>
      </w:r>
      <w:r>
        <w:fldChar w:fldCharType="separate"/>
      </w:r>
      <w:r>
        <w:t>2</w:t>
      </w:r>
      <w:r>
        <w:fldChar w:fldCharType="end"/>
      </w:r>
      <w:r>
        <w:fldChar w:fldCharType="end"/>
      </w:r>
    </w:p>
    <w:p w14:paraId="1117E93D">
      <w:pPr>
        <w:pStyle w:val="15"/>
        <w:tabs>
          <w:tab w:val="right" w:leader="dot" w:pos="10328"/>
        </w:tabs>
        <w:ind w:firstLine="400"/>
      </w:pPr>
      <w:r>
        <w:fldChar w:fldCharType="begin"/>
      </w:r>
      <w:r>
        <w:instrText xml:space="preserve"> HYPERLINK \l "_Toc14654" </w:instrText>
      </w:r>
      <w:r>
        <w:fldChar w:fldCharType="separate"/>
      </w:r>
      <w:r>
        <w:rPr>
          <w:rFonts w:hint="eastAsia" w:ascii="Times New Roman" w:hAnsi="Times New Roman" w:cs="Times New Roman"/>
        </w:rPr>
        <w:t xml:space="preserve">1.3.6 </w:t>
      </w:r>
      <w:r>
        <w:rPr>
          <w:rFonts w:ascii="Times New Roman" w:hAnsi="Times New Roman" w:cs="Times New Roman"/>
        </w:rPr>
        <w:t>施工验收规范</w:t>
      </w:r>
      <w:r>
        <w:tab/>
      </w:r>
      <w:r>
        <w:fldChar w:fldCharType="begin"/>
      </w:r>
      <w:r>
        <w:instrText xml:space="preserve"> PAGEREF _Toc14654 \h </w:instrText>
      </w:r>
      <w:r>
        <w:fldChar w:fldCharType="separate"/>
      </w:r>
      <w:r>
        <w:t>3</w:t>
      </w:r>
      <w:r>
        <w:fldChar w:fldCharType="end"/>
      </w:r>
      <w:r>
        <w:fldChar w:fldCharType="end"/>
      </w:r>
    </w:p>
    <w:p w14:paraId="3E6482A0">
      <w:pPr>
        <w:pStyle w:val="25"/>
        <w:tabs>
          <w:tab w:val="right" w:leader="dot" w:pos="10328"/>
        </w:tabs>
        <w:ind w:firstLine="400"/>
      </w:pPr>
      <w:r>
        <w:fldChar w:fldCharType="begin"/>
      </w:r>
      <w:r>
        <w:instrText xml:space="preserve"> HYPERLINK \l "_Toc22000" </w:instrText>
      </w:r>
      <w:r>
        <w:fldChar w:fldCharType="separate"/>
      </w:r>
      <w:r>
        <w:rPr>
          <w:rFonts w:hint="eastAsia" w:ascii="Times New Roman" w:hAnsi="Times New Roman" w:cs="Times New Roman"/>
        </w:rPr>
        <w:t xml:space="preserve">1.4 </w:t>
      </w:r>
      <w:r>
        <w:rPr>
          <w:rFonts w:ascii="Times New Roman" w:hAnsi="Times New Roman" w:cs="Times New Roman"/>
        </w:rPr>
        <w:t>地勘报告</w:t>
      </w:r>
      <w:r>
        <w:tab/>
      </w:r>
      <w:r>
        <w:fldChar w:fldCharType="begin"/>
      </w:r>
      <w:r>
        <w:instrText xml:space="preserve"> PAGEREF _Toc22000 \h </w:instrText>
      </w:r>
      <w:r>
        <w:fldChar w:fldCharType="separate"/>
      </w:r>
      <w:r>
        <w:t>3</w:t>
      </w:r>
      <w:r>
        <w:fldChar w:fldCharType="end"/>
      </w:r>
      <w:r>
        <w:fldChar w:fldCharType="end"/>
      </w:r>
    </w:p>
    <w:p w14:paraId="54C8AE5E">
      <w:pPr>
        <w:pStyle w:val="15"/>
        <w:tabs>
          <w:tab w:val="right" w:leader="dot" w:pos="10328"/>
        </w:tabs>
        <w:ind w:firstLine="400"/>
      </w:pPr>
      <w:r>
        <w:fldChar w:fldCharType="begin"/>
      </w:r>
      <w:r>
        <w:instrText xml:space="preserve"> HYPERLINK \l "_Toc19018" </w:instrText>
      </w:r>
      <w:r>
        <w:fldChar w:fldCharType="separate"/>
      </w:r>
      <w:r>
        <w:rPr>
          <w:rFonts w:hint="eastAsia" w:ascii="Times New Roman" w:hAnsi="Times New Roman" w:cs="Times New Roman"/>
        </w:rPr>
        <w:t xml:space="preserve">1.4.1 </w:t>
      </w:r>
      <w:r>
        <w:rPr>
          <w:rFonts w:ascii="Times New Roman" w:hAnsi="Times New Roman" w:cs="Times New Roman"/>
        </w:rPr>
        <w:t>场地工程地质条件</w:t>
      </w:r>
      <w:r>
        <w:tab/>
      </w:r>
      <w:r>
        <w:fldChar w:fldCharType="begin"/>
      </w:r>
      <w:r>
        <w:instrText xml:space="preserve"> PAGEREF _Toc19018 \h </w:instrText>
      </w:r>
      <w:r>
        <w:fldChar w:fldCharType="separate"/>
      </w:r>
      <w:r>
        <w:t>3</w:t>
      </w:r>
      <w:r>
        <w:fldChar w:fldCharType="end"/>
      </w:r>
      <w:r>
        <w:fldChar w:fldCharType="end"/>
      </w:r>
    </w:p>
    <w:p w14:paraId="6CCF7D6A">
      <w:pPr>
        <w:pStyle w:val="15"/>
        <w:tabs>
          <w:tab w:val="right" w:leader="dot" w:pos="10328"/>
        </w:tabs>
        <w:ind w:firstLine="400"/>
      </w:pPr>
      <w:r>
        <w:fldChar w:fldCharType="begin"/>
      </w:r>
      <w:r>
        <w:instrText xml:space="preserve"> HYPERLINK \l "_Toc28637" </w:instrText>
      </w:r>
      <w:r>
        <w:fldChar w:fldCharType="separate"/>
      </w:r>
      <w:r>
        <w:rPr>
          <w:rFonts w:hint="eastAsia" w:ascii="Times New Roman" w:hAnsi="Times New Roman" w:cs="Times New Roman"/>
        </w:rPr>
        <w:t xml:space="preserve">1.4.2 </w:t>
      </w:r>
      <w:r>
        <w:rPr>
          <w:rFonts w:ascii="Times New Roman" w:hAnsi="Times New Roman" w:cs="Times New Roman"/>
        </w:rPr>
        <w:t>水文地质</w:t>
      </w:r>
      <w:r>
        <w:tab/>
      </w:r>
      <w:r>
        <w:fldChar w:fldCharType="begin"/>
      </w:r>
      <w:r>
        <w:instrText xml:space="preserve"> PAGEREF _Toc28637 \h </w:instrText>
      </w:r>
      <w:r>
        <w:fldChar w:fldCharType="separate"/>
      </w:r>
      <w:r>
        <w:t>4</w:t>
      </w:r>
      <w:r>
        <w:fldChar w:fldCharType="end"/>
      </w:r>
      <w:r>
        <w:fldChar w:fldCharType="end"/>
      </w:r>
    </w:p>
    <w:p w14:paraId="3D63C94D">
      <w:pPr>
        <w:pStyle w:val="15"/>
        <w:tabs>
          <w:tab w:val="right" w:leader="dot" w:pos="10328"/>
        </w:tabs>
        <w:ind w:firstLine="400"/>
      </w:pPr>
      <w:r>
        <w:fldChar w:fldCharType="begin"/>
      </w:r>
      <w:r>
        <w:instrText xml:space="preserve"> HYPERLINK \l "_Toc4464" </w:instrText>
      </w:r>
      <w:r>
        <w:fldChar w:fldCharType="separate"/>
      </w:r>
      <w:r>
        <w:rPr>
          <w:rFonts w:hint="eastAsia" w:ascii="Times New Roman" w:hAnsi="Times New Roman" w:cs="Times New Roman"/>
        </w:rPr>
        <w:t xml:space="preserve">1.4.3 </w:t>
      </w:r>
      <w:r>
        <w:rPr>
          <w:rFonts w:ascii="Times New Roman" w:hAnsi="Times New Roman" w:cs="Times New Roman"/>
        </w:rPr>
        <w:t>场地稳定性与适宜性评价</w:t>
      </w:r>
      <w:r>
        <w:tab/>
      </w:r>
      <w:r>
        <w:fldChar w:fldCharType="begin"/>
      </w:r>
      <w:r>
        <w:instrText xml:space="preserve"> PAGEREF _Toc4464 \h </w:instrText>
      </w:r>
      <w:r>
        <w:fldChar w:fldCharType="separate"/>
      </w:r>
      <w:r>
        <w:t>4</w:t>
      </w:r>
      <w:r>
        <w:fldChar w:fldCharType="end"/>
      </w:r>
      <w:r>
        <w:fldChar w:fldCharType="end"/>
      </w:r>
    </w:p>
    <w:p w14:paraId="04B1E2F7">
      <w:pPr>
        <w:pStyle w:val="15"/>
        <w:tabs>
          <w:tab w:val="right" w:leader="dot" w:pos="10328"/>
        </w:tabs>
        <w:ind w:firstLine="400"/>
      </w:pPr>
      <w:r>
        <w:fldChar w:fldCharType="begin"/>
      </w:r>
      <w:r>
        <w:instrText xml:space="preserve"> HYPERLINK \l "_Toc26431" </w:instrText>
      </w:r>
      <w:r>
        <w:fldChar w:fldCharType="separate"/>
      </w:r>
      <w:r>
        <w:rPr>
          <w:rFonts w:hint="eastAsia" w:ascii="Times New Roman" w:hAnsi="Times New Roman" w:cs="Times New Roman"/>
        </w:rPr>
        <w:t xml:space="preserve">1.4.4 </w:t>
      </w:r>
      <w:r>
        <w:rPr>
          <w:rFonts w:ascii="Times New Roman" w:hAnsi="Times New Roman" w:cs="Times New Roman"/>
        </w:rPr>
        <w:t>基坑支护选型</w:t>
      </w:r>
      <w:r>
        <w:tab/>
      </w:r>
      <w:r>
        <w:fldChar w:fldCharType="begin"/>
      </w:r>
      <w:r>
        <w:instrText xml:space="preserve"> PAGEREF _Toc26431 \h </w:instrText>
      </w:r>
      <w:r>
        <w:fldChar w:fldCharType="separate"/>
      </w:r>
      <w:r>
        <w:t>4</w:t>
      </w:r>
      <w:r>
        <w:fldChar w:fldCharType="end"/>
      </w:r>
      <w:r>
        <w:fldChar w:fldCharType="end"/>
      </w:r>
    </w:p>
    <w:p w14:paraId="20E28221">
      <w:pPr>
        <w:pStyle w:val="15"/>
        <w:tabs>
          <w:tab w:val="right" w:leader="dot" w:pos="10328"/>
        </w:tabs>
        <w:ind w:firstLine="400"/>
      </w:pPr>
      <w:r>
        <w:fldChar w:fldCharType="begin"/>
      </w:r>
      <w:r>
        <w:instrText xml:space="preserve"> HYPERLINK \l "_Toc8685" </w:instrText>
      </w:r>
      <w:r>
        <w:fldChar w:fldCharType="separate"/>
      </w:r>
      <w:r>
        <w:rPr>
          <w:rFonts w:hint="eastAsia" w:ascii="Times New Roman" w:hAnsi="Times New Roman" w:cs="Times New Roman"/>
        </w:rPr>
        <w:t xml:space="preserve">1.4.5 </w:t>
      </w:r>
      <w:r>
        <w:rPr>
          <w:rFonts w:ascii="Times New Roman" w:hAnsi="Times New Roman" w:cs="Times New Roman"/>
        </w:rPr>
        <w:t>结论与建议</w:t>
      </w:r>
      <w:r>
        <w:tab/>
      </w:r>
      <w:r>
        <w:fldChar w:fldCharType="begin"/>
      </w:r>
      <w:r>
        <w:instrText xml:space="preserve"> PAGEREF _Toc8685 \h </w:instrText>
      </w:r>
      <w:r>
        <w:fldChar w:fldCharType="separate"/>
      </w:r>
      <w:r>
        <w:t>5</w:t>
      </w:r>
      <w:r>
        <w:fldChar w:fldCharType="end"/>
      </w:r>
      <w:r>
        <w:fldChar w:fldCharType="end"/>
      </w:r>
    </w:p>
    <w:p w14:paraId="2C9E7CE4">
      <w:pPr>
        <w:pStyle w:val="25"/>
        <w:tabs>
          <w:tab w:val="right" w:leader="dot" w:pos="10328"/>
        </w:tabs>
        <w:ind w:firstLine="400"/>
      </w:pPr>
      <w:r>
        <w:fldChar w:fldCharType="begin"/>
      </w:r>
      <w:r>
        <w:instrText xml:space="preserve"> HYPERLINK \l "_Toc14980" </w:instrText>
      </w:r>
      <w:r>
        <w:fldChar w:fldCharType="separate"/>
      </w:r>
      <w:r>
        <w:rPr>
          <w:rFonts w:hint="eastAsia" w:ascii="Times New Roman" w:hAnsi="Times New Roman" w:cs="Times New Roman"/>
        </w:rPr>
        <w:t xml:space="preserve">1.5 </w:t>
      </w:r>
      <w:r>
        <w:rPr>
          <w:rFonts w:ascii="Times New Roman" w:hAnsi="Times New Roman" w:cs="Times New Roman"/>
        </w:rPr>
        <w:t>工程设计</w:t>
      </w:r>
      <w:r>
        <w:tab/>
      </w:r>
      <w:r>
        <w:fldChar w:fldCharType="begin"/>
      </w:r>
      <w:r>
        <w:instrText xml:space="preserve"> PAGEREF _Toc14980 \h </w:instrText>
      </w:r>
      <w:r>
        <w:fldChar w:fldCharType="separate"/>
      </w:r>
      <w:r>
        <w:t>5</w:t>
      </w:r>
      <w:r>
        <w:fldChar w:fldCharType="end"/>
      </w:r>
      <w:r>
        <w:fldChar w:fldCharType="end"/>
      </w:r>
    </w:p>
    <w:p w14:paraId="1AA3B5AC">
      <w:pPr>
        <w:pStyle w:val="15"/>
        <w:tabs>
          <w:tab w:val="right" w:leader="dot" w:pos="10328"/>
        </w:tabs>
        <w:ind w:firstLine="400"/>
      </w:pPr>
      <w:r>
        <w:fldChar w:fldCharType="begin"/>
      </w:r>
      <w:r>
        <w:instrText xml:space="preserve"> HYPERLINK \l "_Toc24588" </w:instrText>
      </w:r>
      <w:r>
        <w:fldChar w:fldCharType="separate"/>
      </w:r>
      <w:r>
        <w:rPr>
          <w:rFonts w:hint="eastAsia" w:ascii="Times New Roman" w:hAnsi="Times New Roman" w:cs="Times New Roman"/>
        </w:rPr>
        <w:t xml:space="preserve">1.5.1 </w:t>
      </w:r>
      <w:r>
        <w:rPr>
          <w:rFonts w:ascii="Times New Roman" w:hAnsi="Times New Roman" w:cs="Times New Roman"/>
        </w:rPr>
        <w:t>雨污水管网设计</w:t>
      </w:r>
      <w:r>
        <w:tab/>
      </w:r>
      <w:r>
        <w:fldChar w:fldCharType="begin"/>
      </w:r>
      <w:r>
        <w:instrText xml:space="preserve"> PAGEREF _Toc24588 \h </w:instrText>
      </w:r>
      <w:r>
        <w:fldChar w:fldCharType="separate"/>
      </w:r>
      <w:r>
        <w:t>5</w:t>
      </w:r>
      <w:r>
        <w:fldChar w:fldCharType="end"/>
      </w:r>
      <w:r>
        <w:fldChar w:fldCharType="end"/>
      </w:r>
    </w:p>
    <w:p w14:paraId="33CFC5AB">
      <w:pPr>
        <w:pStyle w:val="15"/>
        <w:tabs>
          <w:tab w:val="right" w:leader="dot" w:pos="10328"/>
        </w:tabs>
        <w:ind w:firstLine="400"/>
      </w:pPr>
      <w:r>
        <w:fldChar w:fldCharType="begin"/>
      </w:r>
      <w:r>
        <w:instrText xml:space="preserve"> HYPERLINK \l "_Toc1529" </w:instrText>
      </w:r>
      <w:r>
        <w:fldChar w:fldCharType="separate"/>
      </w:r>
      <w:r>
        <w:rPr>
          <w:rFonts w:hint="eastAsia" w:ascii="Times New Roman" w:hAnsi="Times New Roman" w:cs="Times New Roman"/>
        </w:rPr>
        <w:t xml:space="preserve">1.5.2 </w:t>
      </w:r>
      <w:r>
        <w:rPr>
          <w:rFonts w:ascii="Times New Roman" w:hAnsi="Times New Roman" w:cs="Times New Roman"/>
        </w:rPr>
        <w:t>护管挡墙措施</w:t>
      </w:r>
      <w:r>
        <w:tab/>
      </w:r>
      <w:r>
        <w:fldChar w:fldCharType="begin"/>
      </w:r>
      <w:r>
        <w:instrText xml:space="preserve"> PAGEREF _Toc1529 \h </w:instrText>
      </w:r>
      <w:r>
        <w:fldChar w:fldCharType="separate"/>
      </w:r>
      <w:r>
        <w:t>8</w:t>
      </w:r>
      <w:r>
        <w:fldChar w:fldCharType="end"/>
      </w:r>
      <w:r>
        <w:fldChar w:fldCharType="end"/>
      </w:r>
    </w:p>
    <w:p w14:paraId="3B347C69">
      <w:pPr>
        <w:pStyle w:val="15"/>
        <w:tabs>
          <w:tab w:val="right" w:leader="dot" w:pos="10328"/>
        </w:tabs>
        <w:ind w:firstLine="400"/>
      </w:pPr>
      <w:r>
        <w:fldChar w:fldCharType="begin"/>
      </w:r>
      <w:r>
        <w:instrText xml:space="preserve"> HYPERLINK \l "_Toc25428" </w:instrText>
      </w:r>
      <w:r>
        <w:fldChar w:fldCharType="separate"/>
      </w:r>
      <w:r>
        <w:rPr>
          <w:rFonts w:hint="eastAsia" w:ascii="Times New Roman" w:hAnsi="Times New Roman" w:cs="Times New Roman"/>
        </w:rPr>
        <w:t xml:space="preserve">1.5.3 </w:t>
      </w:r>
      <w:r>
        <w:rPr>
          <w:rFonts w:ascii="Times New Roman" w:hAnsi="Times New Roman" w:cs="Times New Roman"/>
        </w:rPr>
        <w:t>管材管件、防腐及质量要求</w:t>
      </w:r>
      <w:r>
        <w:tab/>
      </w:r>
      <w:r>
        <w:fldChar w:fldCharType="begin"/>
      </w:r>
      <w:r>
        <w:instrText xml:space="preserve"> PAGEREF _Toc25428 \h </w:instrText>
      </w:r>
      <w:r>
        <w:fldChar w:fldCharType="separate"/>
      </w:r>
      <w:r>
        <w:t>9</w:t>
      </w:r>
      <w:r>
        <w:fldChar w:fldCharType="end"/>
      </w:r>
      <w:r>
        <w:fldChar w:fldCharType="end"/>
      </w:r>
    </w:p>
    <w:p w14:paraId="0B2AA573">
      <w:pPr>
        <w:pStyle w:val="15"/>
        <w:tabs>
          <w:tab w:val="right" w:leader="dot" w:pos="10328"/>
        </w:tabs>
        <w:ind w:firstLine="400"/>
      </w:pPr>
      <w:r>
        <w:fldChar w:fldCharType="begin"/>
      </w:r>
      <w:r>
        <w:instrText xml:space="preserve"> HYPERLINK \l "_Toc26062" </w:instrText>
      </w:r>
      <w:r>
        <w:fldChar w:fldCharType="separate"/>
      </w:r>
      <w:r>
        <w:rPr>
          <w:rFonts w:hint="eastAsia" w:ascii="Times New Roman" w:hAnsi="Times New Roman" w:cs="Times New Roman"/>
        </w:rPr>
        <w:t xml:space="preserve">1.5.4 </w:t>
      </w:r>
      <w:r>
        <w:rPr>
          <w:rFonts w:ascii="Times New Roman" w:hAnsi="Times New Roman" w:cs="Times New Roman"/>
        </w:rPr>
        <w:t>管道基础及接口形式</w:t>
      </w:r>
      <w:r>
        <w:tab/>
      </w:r>
      <w:r>
        <w:fldChar w:fldCharType="begin"/>
      </w:r>
      <w:r>
        <w:instrText xml:space="preserve"> PAGEREF _Toc26062 \h </w:instrText>
      </w:r>
      <w:r>
        <w:fldChar w:fldCharType="separate"/>
      </w:r>
      <w:r>
        <w:t>11</w:t>
      </w:r>
      <w:r>
        <w:fldChar w:fldCharType="end"/>
      </w:r>
      <w:r>
        <w:fldChar w:fldCharType="end"/>
      </w:r>
    </w:p>
    <w:p w14:paraId="36A74F4D">
      <w:pPr>
        <w:pStyle w:val="15"/>
        <w:tabs>
          <w:tab w:val="right" w:leader="dot" w:pos="10328"/>
        </w:tabs>
        <w:ind w:firstLine="400"/>
      </w:pPr>
      <w:r>
        <w:fldChar w:fldCharType="begin"/>
      </w:r>
      <w:r>
        <w:instrText xml:space="preserve"> HYPERLINK \l "_Toc14061" </w:instrText>
      </w:r>
      <w:r>
        <w:fldChar w:fldCharType="separate"/>
      </w:r>
      <w:r>
        <w:rPr>
          <w:rFonts w:hint="eastAsia" w:ascii="Times New Roman" w:hAnsi="Times New Roman" w:cs="Times New Roman"/>
        </w:rPr>
        <w:t xml:space="preserve">1.5.5 </w:t>
      </w:r>
      <w:r>
        <w:rPr>
          <w:rFonts w:ascii="Times New Roman" w:hAnsi="Times New Roman" w:cs="Times New Roman"/>
        </w:rPr>
        <w:t>沟槽回填和回填材料</w:t>
      </w:r>
      <w:r>
        <w:tab/>
      </w:r>
      <w:r>
        <w:fldChar w:fldCharType="begin"/>
      </w:r>
      <w:r>
        <w:instrText xml:space="preserve"> PAGEREF _Toc14061 \h </w:instrText>
      </w:r>
      <w:r>
        <w:fldChar w:fldCharType="separate"/>
      </w:r>
      <w:r>
        <w:t>11</w:t>
      </w:r>
      <w:r>
        <w:fldChar w:fldCharType="end"/>
      </w:r>
      <w:r>
        <w:fldChar w:fldCharType="end"/>
      </w:r>
    </w:p>
    <w:p w14:paraId="4015390E">
      <w:pPr>
        <w:pStyle w:val="15"/>
        <w:tabs>
          <w:tab w:val="right" w:leader="dot" w:pos="10328"/>
        </w:tabs>
        <w:ind w:firstLine="400"/>
      </w:pPr>
      <w:r>
        <w:fldChar w:fldCharType="begin"/>
      </w:r>
      <w:r>
        <w:instrText xml:space="preserve"> HYPERLINK \l "_Toc348" </w:instrText>
      </w:r>
      <w:r>
        <w:fldChar w:fldCharType="separate"/>
      </w:r>
      <w:r>
        <w:rPr>
          <w:rFonts w:hint="eastAsia" w:ascii="Times New Roman" w:hAnsi="Times New Roman" w:cs="Times New Roman"/>
        </w:rPr>
        <w:t xml:space="preserve">1.5.6 </w:t>
      </w:r>
      <w:r>
        <w:rPr>
          <w:rFonts w:ascii="Times New Roman" w:hAnsi="Times New Roman" w:cs="Times New Roman"/>
        </w:rPr>
        <w:t>排水构筑物</w:t>
      </w:r>
      <w:r>
        <w:tab/>
      </w:r>
      <w:r>
        <w:fldChar w:fldCharType="begin"/>
      </w:r>
      <w:r>
        <w:instrText xml:space="preserve"> PAGEREF _Toc348 \h </w:instrText>
      </w:r>
      <w:r>
        <w:fldChar w:fldCharType="separate"/>
      </w:r>
      <w:r>
        <w:t>11</w:t>
      </w:r>
      <w:r>
        <w:fldChar w:fldCharType="end"/>
      </w:r>
      <w:r>
        <w:fldChar w:fldCharType="end"/>
      </w:r>
    </w:p>
    <w:p w14:paraId="4D88A060">
      <w:pPr>
        <w:pStyle w:val="15"/>
        <w:tabs>
          <w:tab w:val="right" w:leader="dot" w:pos="10328"/>
        </w:tabs>
        <w:ind w:firstLine="400"/>
      </w:pPr>
      <w:r>
        <w:fldChar w:fldCharType="begin"/>
      </w:r>
      <w:r>
        <w:instrText xml:space="preserve"> HYPERLINK \l "_Toc21076" </w:instrText>
      </w:r>
      <w:r>
        <w:fldChar w:fldCharType="separate"/>
      </w:r>
      <w:r>
        <w:rPr>
          <w:rFonts w:hint="eastAsia" w:ascii="Times New Roman" w:hAnsi="Times New Roman" w:cs="Times New Roman"/>
        </w:rPr>
        <w:t xml:space="preserve">1.5.7 </w:t>
      </w:r>
      <w:r>
        <w:rPr>
          <w:rFonts w:ascii="Times New Roman" w:hAnsi="Times New Roman" w:cs="Times New Roman"/>
        </w:rPr>
        <w:t>管道改造提升</w:t>
      </w:r>
      <w:r>
        <w:tab/>
      </w:r>
      <w:r>
        <w:fldChar w:fldCharType="begin"/>
      </w:r>
      <w:r>
        <w:instrText xml:space="preserve"> PAGEREF _Toc21076 \h </w:instrText>
      </w:r>
      <w:r>
        <w:fldChar w:fldCharType="separate"/>
      </w:r>
      <w:r>
        <w:t>11</w:t>
      </w:r>
      <w:r>
        <w:fldChar w:fldCharType="end"/>
      </w:r>
      <w:r>
        <w:fldChar w:fldCharType="end"/>
      </w:r>
    </w:p>
    <w:p w14:paraId="0433E351">
      <w:pPr>
        <w:pStyle w:val="15"/>
        <w:tabs>
          <w:tab w:val="right" w:leader="dot" w:pos="10328"/>
        </w:tabs>
        <w:ind w:firstLine="400"/>
      </w:pPr>
      <w:r>
        <w:fldChar w:fldCharType="begin"/>
      </w:r>
      <w:r>
        <w:instrText xml:space="preserve"> HYPERLINK \l "_Toc20882" </w:instrText>
      </w:r>
      <w:r>
        <w:fldChar w:fldCharType="separate"/>
      </w:r>
      <w:r>
        <w:rPr>
          <w:rFonts w:hint="eastAsia" w:ascii="Times New Roman" w:hAnsi="Times New Roman" w:cs="Times New Roman"/>
        </w:rPr>
        <w:t xml:space="preserve">1.5.8 </w:t>
      </w:r>
      <w:r>
        <w:rPr>
          <w:rFonts w:ascii="Times New Roman" w:hAnsi="Times New Roman" w:cs="Times New Roman"/>
        </w:rPr>
        <w:t>抗震设计</w:t>
      </w:r>
      <w:r>
        <w:tab/>
      </w:r>
      <w:r>
        <w:fldChar w:fldCharType="begin"/>
      </w:r>
      <w:r>
        <w:instrText xml:space="preserve"> PAGEREF _Toc20882 \h </w:instrText>
      </w:r>
      <w:r>
        <w:fldChar w:fldCharType="separate"/>
      </w:r>
      <w:r>
        <w:t>13</w:t>
      </w:r>
      <w:r>
        <w:fldChar w:fldCharType="end"/>
      </w:r>
      <w:r>
        <w:fldChar w:fldCharType="end"/>
      </w:r>
    </w:p>
    <w:p w14:paraId="7D7379AF">
      <w:pPr>
        <w:pStyle w:val="15"/>
        <w:tabs>
          <w:tab w:val="right" w:leader="dot" w:pos="10328"/>
        </w:tabs>
        <w:ind w:firstLine="400"/>
      </w:pPr>
      <w:r>
        <w:fldChar w:fldCharType="begin"/>
      </w:r>
      <w:r>
        <w:instrText xml:space="preserve"> HYPERLINK \l "_Toc13467" </w:instrText>
      </w:r>
      <w:r>
        <w:fldChar w:fldCharType="separate"/>
      </w:r>
      <w:r>
        <w:rPr>
          <w:rFonts w:hint="eastAsia" w:ascii="Times New Roman" w:hAnsi="Times New Roman" w:cs="Times New Roman"/>
        </w:rPr>
        <w:t xml:space="preserve">1.5.9 </w:t>
      </w:r>
      <w:r>
        <w:rPr>
          <w:rFonts w:ascii="Times New Roman" w:hAnsi="Times New Roman" w:cs="Times New Roman"/>
        </w:rPr>
        <w:t>路面恢复</w:t>
      </w:r>
      <w:r>
        <w:tab/>
      </w:r>
      <w:r>
        <w:fldChar w:fldCharType="begin"/>
      </w:r>
      <w:r>
        <w:instrText xml:space="preserve"> PAGEREF _Toc13467 \h </w:instrText>
      </w:r>
      <w:r>
        <w:fldChar w:fldCharType="separate"/>
      </w:r>
      <w:r>
        <w:t>15</w:t>
      </w:r>
      <w:r>
        <w:fldChar w:fldCharType="end"/>
      </w:r>
      <w:r>
        <w:fldChar w:fldCharType="end"/>
      </w:r>
    </w:p>
    <w:p w14:paraId="3817B0BB">
      <w:pPr>
        <w:pStyle w:val="15"/>
        <w:tabs>
          <w:tab w:val="right" w:leader="dot" w:pos="10328"/>
        </w:tabs>
        <w:ind w:firstLine="400"/>
      </w:pPr>
      <w:r>
        <w:fldChar w:fldCharType="begin"/>
      </w:r>
      <w:r>
        <w:instrText xml:space="preserve"> HYPERLINK \l "_Toc932" </w:instrText>
      </w:r>
      <w:r>
        <w:fldChar w:fldCharType="separate"/>
      </w:r>
      <w:r>
        <w:rPr>
          <w:rFonts w:hint="eastAsia" w:ascii="Times New Roman" w:hAnsi="Times New Roman" w:cs="Times New Roman"/>
        </w:rPr>
        <w:t xml:space="preserve">1.5.10 </w:t>
      </w:r>
      <w:r>
        <w:rPr>
          <w:rFonts w:ascii="Times New Roman" w:hAnsi="Times New Roman" w:cs="Times New Roman"/>
        </w:rPr>
        <w:t>交通组织设计</w:t>
      </w:r>
      <w:r>
        <w:tab/>
      </w:r>
      <w:r>
        <w:fldChar w:fldCharType="begin"/>
      </w:r>
      <w:r>
        <w:instrText xml:space="preserve"> PAGEREF _Toc932 \h </w:instrText>
      </w:r>
      <w:r>
        <w:fldChar w:fldCharType="separate"/>
      </w:r>
      <w:r>
        <w:t>16</w:t>
      </w:r>
      <w:r>
        <w:fldChar w:fldCharType="end"/>
      </w:r>
      <w:r>
        <w:fldChar w:fldCharType="end"/>
      </w:r>
    </w:p>
    <w:p w14:paraId="324A07FB">
      <w:pPr>
        <w:pStyle w:val="15"/>
        <w:tabs>
          <w:tab w:val="right" w:leader="dot" w:pos="10328"/>
        </w:tabs>
        <w:ind w:firstLine="400"/>
      </w:pPr>
      <w:r>
        <w:fldChar w:fldCharType="begin"/>
      </w:r>
      <w:r>
        <w:instrText xml:space="preserve"> HYPERLINK \l "_Toc7883" </w:instrText>
      </w:r>
      <w:r>
        <w:fldChar w:fldCharType="separate"/>
      </w:r>
      <w:r>
        <w:rPr>
          <w:rFonts w:hint="eastAsia" w:ascii="Times New Roman" w:hAnsi="Times New Roman" w:cs="Times New Roman"/>
        </w:rPr>
        <w:t xml:space="preserve">1.5.11 </w:t>
      </w:r>
      <w:r>
        <w:rPr>
          <w:rFonts w:ascii="Times New Roman" w:hAnsi="Times New Roman" w:cs="Times New Roman"/>
        </w:rPr>
        <w:t>风险工程设计</w:t>
      </w:r>
      <w:r>
        <w:tab/>
      </w:r>
      <w:r>
        <w:fldChar w:fldCharType="begin"/>
      </w:r>
      <w:r>
        <w:instrText xml:space="preserve"> PAGEREF _Toc7883 \h </w:instrText>
      </w:r>
      <w:r>
        <w:fldChar w:fldCharType="separate"/>
      </w:r>
      <w:r>
        <w:t>20</w:t>
      </w:r>
      <w:r>
        <w:fldChar w:fldCharType="end"/>
      </w:r>
      <w:r>
        <w:fldChar w:fldCharType="end"/>
      </w:r>
    </w:p>
    <w:p w14:paraId="2993F8A9">
      <w:pPr>
        <w:pStyle w:val="25"/>
        <w:tabs>
          <w:tab w:val="right" w:leader="dot" w:pos="10328"/>
        </w:tabs>
        <w:ind w:firstLine="400"/>
      </w:pPr>
      <w:r>
        <w:fldChar w:fldCharType="begin"/>
      </w:r>
      <w:r>
        <w:instrText xml:space="preserve"> HYPERLINK \l "_Toc8831" </w:instrText>
      </w:r>
      <w:r>
        <w:fldChar w:fldCharType="separate"/>
      </w:r>
      <w:r>
        <w:rPr>
          <w:rFonts w:hint="eastAsia" w:ascii="Times New Roman" w:hAnsi="Times New Roman" w:cs="Times New Roman"/>
        </w:rPr>
        <w:t xml:space="preserve">1.6 </w:t>
      </w:r>
      <w:r>
        <w:rPr>
          <w:rFonts w:ascii="Times New Roman" w:hAnsi="Times New Roman" w:cs="Times New Roman"/>
        </w:rPr>
        <w:t>围堰施工方案的建议</w:t>
      </w:r>
      <w:r>
        <w:tab/>
      </w:r>
      <w:r>
        <w:fldChar w:fldCharType="begin"/>
      </w:r>
      <w:r>
        <w:instrText xml:space="preserve"> PAGEREF _Toc8831 \h </w:instrText>
      </w:r>
      <w:r>
        <w:fldChar w:fldCharType="separate"/>
      </w:r>
      <w:r>
        <w:t>22</w:t>
      </w:r>
      <w:r>
        <w:fldChar w:fldCharType="end"/>
      </w:r>
      <w:r>
        <w:fldChar w:fldCharType="end"/>
      </w:r>
    </w:p>
    <w:p w14:paraId="71752076">
      <w:pPr>
        <w:pStyle w:val="15"/>
        <w:tabs>
          <w:tab w:val="right" w:leader="dot" w:pos="10328"/>
        </w:tabs>
        <w:ind w:firstLine="400"/>
      </w:pPr>
      <w:r>
        <w:fldChar w:fldCharType="begin"/>
      </w:r>
      <w:r>
        <w:instrText xml:space="preserve"> HYPERLINK \l "_Toc3612" </w:instrText>
      </w:r>
      <w:r>
        <w:fldChar w:fldCharType="separate"/>
      </w:r>
      <w:r>
        <w:rPr>
          <w:rFonts w:hint="eastAsia" w:ascii="Times New Roman" w:hAnsi="Times New Roman" w:cs="Times New Roman"/>
        </w:rPr>
        <w:t xml:space="preserve">1.6.1 </w:t>
      </w:r>
      <w:r>
        <w:rPr>
          <w:rFonts w:ascii="Times New Roman" w:hAnsi="Times New Roman" w:cs="Times New Roman"/>
        </w:rPr>
        <w:t>工程概况</w:t>
      </w:r>
      <w:r>
        <w:tab/>
      </w:r>
      <w:r>
        <w:fldChar w:fldCharType="begin"/>
      </w:r>
      <w:r>
        <w:instrText xml:space="preserve"> PAGEREF _Toc3612 \h </w:instrText>
      </w:r>
      <w:r>
        <w:fldChar w:fldCharType="separate"/>
      </w:r>
      <w:r>
        <w:t>22</w:t>
      </w:r>
      <w:r>
        <w:fldChar w:fldCharType="end"/>
      </w:r>
      <w:r>
        <w:fldChar w:fldCharType="end"/>
      </w:r>
    </w:p>
    <w:p w14:paraId="4A2EABCE">
      <w:pPr>
        <w:pStyle w:val="15"/>
        <w:tabs>
          <w:tab w:val="right" w:leader="dot" w:pos="10328"/>
        </w:tabs>
        <w:ind w:firstLine="400"/>
      </w:pPr>
      <w:r>
        <w:fldChar w:fldCharType="begin"/>
      </w:r>
      <w:r>
        <w:instrText xml:space="preserve"> HYPERLINK \l "_Toc17546" </w:instrText>
      </w:r>
      <w:r>
        <w:fldChar w:fldCharType="separate"/>
      </w:r>
      <w:r>
        <w:rPr>
          <w:rFonts w:hint="eastAsia" w:ascii="Times New Roman" w:hAnsi="Times New Roman" w:cs="Times New Roman"/>
        </w:rPr>
        <w:t xml:space="preserve">1.6.2 </w:t>
      </w:r>
      <w:r>
        <w:rPr>
          <w:rFonts w:ascii="Times New Roman" w:hAnsi="Times New Roman" w:cs="Times New Roman"/>
        </w:rPr>
        <w:t>围堰施工方案</w:t>
      </w:r>
      <w:r>
        <w:tab/>
      </w:r>
      <w:r>
        <w:fldChar w:fldCharType="begin"/>
      </w:r>
      <w:r>
        <w:instrText xml:space="preserve"> PAGEREF _Toc17546 \h </w:instrText>
      </w:r>
      <w:r>
        <w:fldChar w:fldCharType="separate"/>
      </w:r>
      <w:r>
        <w:t>22</w:t>
      </w:r>
      <w:r>
        <w:fldChar w:fldCharType="end"/>
      </w:r>
      <w:r>
        <w:fldChar w:fldCharType="end"/>
      </w:r>
    </w:p>
    <w:p w14:paraId="0580DD40">
      <w:pPr>
        <w:pStyle w:val="15"/>
        <w:tabs>
          <w:tab w:val="right" w:leader="dot" w:pos="10328"/>
        </w:tabs>
        <w:ind w:firstLine="400"/>
      </w:pPr>
      <w:r>
        <w:fldChar w:fldCharType="begin"/>
      </w:r>
      <w:r>
        <w:instrText xml:space="preserve"> HYPERLINK \l "_Toc23838" </w:instrText>
      </w:r>
      <w:r>
        <w:fldChar w:fldCharType="separate"/>
      </w:r>
      <w:r>
        <w:rPr>
          <w:rFonts w:hint="eastAsia" w:ascii="Times New Roman" w:hAnsi="Times New Roman" w:cs="Times New Roman"/>
        </w:rPr>
        <w:t xml:space="preserve">1.6.3 </w:t>
      </w:r>
      <w:r>
        <w:rPr>
          <w:rFonts w:ascii="Times New Roman" w:hAnsi="Times New Roman" w:cs="Times New Roman"/>
        </w:rPr>
        <w:t>围堰施工标准</w:t>
      </w:r>
      <w:r>
        <w:tab/>
      </w:r>
      <w:r>
        <w:fldChar w:fldCharType="begin"/>
      </w:r>
      <w:r>
        <w:instrText xml:space="preserve"> PAGEREF _Toc23838 \h </w:instrText>
      </w:r>
      <w:r>
        <w:fldChar w:fldCharType="separate"/>
      </w:r>
      <w:r>
        <w:t>22</w:t>
      </w:r>
      <w:r>
        <w:fldChar w:fldCharType="end"/>
      </w:r>
      <w:r>
        <w:fldChar w:fldCharType="end"/>
      </w:r>
    </w:p>
    <w:p w14:paraId="04A9A8A4">
      <w:pPr>
        <w:pStyle w:val="15"/>
        <w:tabs>
          <w:tab w:val="right" w:leader="dot" w:pos="10328"/>
        </w:tabs>
        <w:ind w:firstLine="400"/>
      </w:pPr>
      <w:r>
        <w:fldChar w:fldCharType="begin"/>
      </w:r>
      <w:r>
        <w:instrText xml:space="preserve"> HYPERLINK \l "_Toc10427" </w:instrText>
      </w:r>
      <w:r>
        <w:fldChar w:fldCharType="separate"/>
      </w:r>
      <w:r>
        <w:rPr>
          <w:rFonts w:hint="eastAsia" w:ascii="Times New Roman" w:hAnsi="Times New Roman" w:cs="Times New Roman"/>
        </w:rPr>
        <w:t xml:space="preserve">1.6.4 </w:t>
      </w:r>
      <w:r>
        <w:rPr>
          <w:rFonts w:ascii="Times New Roman" w:hAnsi="Times New Roman" w:cs="Times New Roman"/>
        </w:rPr>
        <w:t>围堰施工注意事项</w:t>
      </w:r>
      <w:r>
        <w:tab/>
      </w:r>
      <w:r>
        <w:fldChar w:fldCharType="begin"/>
      </w:r>
      <w:r>
        <w:instrText xml:space="preserve"> PAGEREF _Toc10427 \h </w:instrText>
      </w:r>
      <w:r>
        <w:fldChar w:fldCharType="separate"/>
      </w:r>
      <w:r>
        <w:t>23</w:t>
      </w:r>
      <w:r>
        <w:fldChar w:fldCharType="end"/>
      </w:r>
      <w:r>
        <w:fldChar w:fldCharType="end"/>
      </w:r>
    </w:p>
    <w:p w14:paraId="63BB322B">
      <w:pPr>
        <w:pStyle w:val="25"/>
        <w:tabs>
          <w:tab w:val="right" w:leader="dot" w:pos="10328"/>
        </w:tabs>
        <w:ind w:firstLine="400"/>
      </w:pPr>
      <w:r>
        <w:fldChar w:fldCharType="begin"/>
      </w:r>
      <w:r>
        <w:instrText xml:space="preserve"> HYPERLINK \l "_Toc27405" </w:instrText>
      </w:r>
      <w:r>
        <w:fldChar w:fldCharType="separate"/>
      </w:r>
      <w:r>
        <w:rPr>
          <w:rFonts w:hint="eastAsia" w:ascii="Times New Roman" w:hAnsi="Times New Roman" w:cs="Times New Roman"/>
        </w:rPr>
        <w:t xml:space="preserve">1.7 </w:t>
      </w:r>
      <w:r>
        <w:rPr>
          <w:rFonts w:ascii="Times New Roman" w:hAnsi="Times New Roman" w:cs="Times New Roman"/>
        </w:rPr>
        <w:t>关于设计图纸的说明</w:t>
      </w:r>
      <w:r>
        <w:tab/>
      </w:r>
      <w:r>
        <w:fldChar w:fldCharType="begin"/>
      </w:r>
      <w:r>
        <w:instrText xml:space="preserve"> PAGEREF _Toc27405 \h </w:instrText>
      </w:r>
      <w:r>
        <w:fldChar w:fldCharType="separate"/>
      </w:r>
      <w:r>
        <w:t>23</w:t>
      </w:r>
      <w:r>
        <w:fldChar w:fldCharType="end"/>
      </w:r>
      <w:r>
        <w:fldChar w:fldCharType="end"/>
      </w:r>
    </w:p>
    <w:p w14:paraId="7649CAA7">
      <w:pPr>
        <w:pStyle w:val="25"/>
        <w:tabs>
          <w:tab w:val="right" w:leader="dot" w:pos="10328"/>
        </w:tabs>
        <w:ind w:firstLine="400"/>
      </w:pPr>
      <w:r>
        <w:fldChar w:fldCharType="begin"/>
      </w:r>
      <w:r>
        <w:instrText xml:space="preserve"> HYPERLINK \l "_Toc17675" </w:instrText>
      </w:r>
      <w:r>
        <w:fldChar w:fldCharType="separate"/>
      </w:r>
      <w:r>
        <w:rPr>
          <w:rFonts w:hint="eastAsia" w:ascii="Times New Roman" w:hAnsi="Times New Roman" w:cs="Times New Roman"/>
        </w:rPr>
        <w:t xml:space="preserve">1.8 </w:t>
      </w:r>
      <w:r>
        <w:rPr>
          <w:rFonts w:ascii="Times New Roman" w:hAnsi="Times New Roman" w:cs="Times New Roman"/>
        </w:rPr>
        <w:t>危险性较大的分部分项工程</w:t>
      </w:r>
      <w:r>
        <w:tab/>
      </w:r>
      <w:r>
        <w:fldChar w:fldCharType="begin"/>
      </w:r>
      <w:r>
        <w:instrText xml:space="preserve"> PAGEREF _Toc17675 \h </w:instrText>
      </w:r>
      <w:r>
        <w:fldChar w:fldCharType="separate"/>
      </w:r>
      <w:r>
        <w:t>23</w:t>
      </w:r>
      <w:r>
        <w:fldChar w:fldCharType="end"/>
      </w:r>
      <w:r>
        <w:fldChar w:fldCharType="end"/>
      </w:r>
    </w:p>
    <w:p w14:paraId="4F630EAE">
      <w:pPr>
        <w:pStyle w:val="25"/>
        <w:tabs>
          <w:tab w:val="right" w:leader="dot" w:pos="10328"/>
        </w:tabs>
        <w:ind w:firstLine="400"/>
      </w:pPr>
      <w:r>
        <w:fldChar w:fldCharType="begin"/>
      </w:r>
      <w:r>
        <w:instrText xml:space="preserve"> HYPERLINK \l "_Toc25317" </w:instrText>
      </w:r>
      <w:r>
        <w:fldChar w:fldCharType="separate"/>
      </w:r>
      <w:r>
        <w:rPr>
          <w:rFonts w:hint="eastAsia" w:ascii="Times New Roman" w:hAnsi="Times New Roman" w:cs="Times New Roman"/>
        </w:rPr>
        <w:t xml:space="preserve">1.9 </w:t>
      </w:r>
      <w:r>
        <w:rPr>
          <w:rFonts w:ascii="Times New Roman" w:hAnsi="Times New Roman" w:cs="Times New Roman"/>
        </w:rPr>
        <w:t>施工特别注意事项及质量验收要求</w:t>
      </w:r>
      <w:r>
        <w:tab/>
      </w:r>
      <w:r>
        <w:fldChar w:fldCharType="begin"/>
      </w:r>
      <w:r>
        <w:instrText xml:space="preserve"> PAGEREF _Toc25317 \h </w:instrText>
      </w:r>
      <w:r>
        <w:fldChar w:fldCharType="separate"/>
      </w:r>
      <w:r>
        <w:t>24</w:t>
      </w:r>
      <w:r>
        <w:fldChar w:fldCharType="end"/>
      </w:r>
      <w:r>
        <w:fldChar w:fldCharType="end"/>
      </w:r>
    </w:p>
    <w:p w14:paraId="7D04370F">
      <w:pPr>
        <w:pStyle w:val="15"/>
        <w:tabs>
          <w:tab w:val="right" w:leader="dot" w:pos="10328"/>
        </w:tabs>
        <w:ind w:firstLine="400"/>
      </w:pPr>
      <w:r>
        <w:fldChar w:fldCharType="begin"/>
      </w:r>
      <w:r>
        <w:instrText xml:space="preserve"> HYPERLINK \l "_Toc6602" </w:instrText>
      </w:r>
      <w:r>
        <w:fldChar w:fldCharType="separate"/>
      </w:r>
      <w:r>
        <w:rPr>
          <w:rFonts w:hint="eastAsia" w:ascii="Times New Roman" w:hAnsi="Times New Roman" w:cs="Times New Roman"/>
        </w:rPr>
        <w:t xml:space="preserve">1.9.1 </w:t>
      </w:r>
      <w:r>
        <w:rPr>
          <w:rFonts w:ascii="Times New Roman" w:hAnsi="Times New Roman" w:cs="Times New Roman"/>
        </w:rPr>
        <w:t>施工特别注意事项</w:t>
      </w:r>
      <w:r>
        <w:tab/>
      </w:r>
      <w:r>
        <w:fldChar w:fldCharType="begin"/>
      </w:r>
      <w:r>
        <w:instrText xml:space="preserve"> PAGEREF _Toc6602 \h </w:instrText>
      </w:r>
      <w:r>
        <w:fldChar w:fldCharType="separate"/>
      </w:r>
      <w:r>
        <w:t>24</w:t>
      </w:r>
      <w:r>
        <w:fldChar w:fldCharType="end"/>
      </w:r>
      <w:r>
        <w:fldChar w:fldCharType="end"/>
      </w:r>
    </w:p>
    <w:p w14:paraId="258A13A5">
      <w:pPr>
        <w:pStyle w:val="15"/>
        <w:tabs>
          <w:tab w:val="right" w:leader="dot" w:pos="10328"/>
        </w:tabs>
        <w:ind w:firstLine="400"/>
      </w:pPr>
      <w:r>
        <w:fldChar w:fldCharType="begin"/>
      </w:r>
      <w:r>
        <w:instrText xml:space="preserve"> HYPERLINK \l "_Toc18417" </w:instrText>
      </w:r>
      <w:r>
        <w:fldChar w:fldCharType="separate"/>
      </w:r>
      <w:r>
        <w:rPr>
          <w:rFonts w:hint="eastAsia" w:ascii="Times New Roman" w:hAnsi="Times New Roman" w:cs="Times New Roman"/>
        </w:rPr>
        <w:t xml:space="preserve">1.9.2 </w:t>
      </w:r>
      <w:r>
        <w:rPr>
          <w:rFonts w:ascii="Times New Roman" w:hAnsi="Times New Roman" w:cs="Times New Roman"/>
        </w:rPr>
        <w:t>施工质量验收要求</w:t>
      </w:r>
      <w:r>
        <w:tab/>
      </w:r>
      <w:r>
        <w:fldChar w:fldCharType="begin"/>
      </w:r>
      <w:r>
        <w:instrText xml:space="preserve"> PAGEREF _Toc18417 \h </w:instrText>
      </w:r>
      <w:r>
        <w:fldChar w:fldCharType="separate"/>
      </w:r>
      <w:r>
        <w:t>25</w:t>
      </w:r>
      <w:r>
        <w:fldChar w:fldCharType="end"/>
      </w:r>
      <w:r>
        <w:fldChar w:fldCharType="end"/>
      </w:r>
    </w:p>
    <w:p w14:paraId="53BF7826">
      <w:pPr>
        <w:pStyle w:val="15"/>
        <w:tabs>
          <w:tab w:val="right" w:leader="dot" w:pos="10328"/>
        </w:tabs>
        <w:ind w:firstLine="400"/>
      </w:pPr>
      <w:r>
        <w:fldChar w:fldCharType="begin"/>
      </w:r>
      <w:r>
        <w:instrText xml:space="preserve"> HYPERLINK \l "_Toc30826" </w:instrText>
      </w:r>
      <w:r>
        <w:fldChar w:fldCharType="separate"/>
      </w:r>
      <w:r>
        <w:rPr>
          <w:rFonts w:hint="eastAsia" w:ascii="Times New Roman" w:hAnsi="Times New Roman" w:cs="Times New Roman"/>
        </w:rPr>
        <w:t xml:space="preserve">1.9.3 </w:t>
      </w:r>
      <w:r>
        <w:rPr>
          <w:rFonts w:ascii="Times New Roman" w:hAnsi="Times New Roman" w:cs="Times New Roman"/>
        </w:rPr>
        <w:t>安全生产与重大危险源</w:t>
      </w:r>
      <w:r>
        <w:tab/>
      </w:r>
      <w:r>
        <w:fldChar w:fldCharType="begin"/>
      </w:r>
      <w:r>
        <w:instrText xml:space="preserve"> PAGEREF _Toc30826 \h </w:instrText>
      </w:r>
      <w:r>
        <w:fldChar w:fldCharType="separate"/>
      </w:r>
      <w:r>
        <w:t>25</w:t>
      </w:r>
      <w:r>
        <w:fldChar w:fldCharType="end"/>
      </w:r>
      <w:r>
        <w:fldChar w:fldCharType="end"/>
      </w:r>
    </w:p>
    <w:p w14:paraId="7C7AA335">
      <w:pPr>
        <w:pStyle w:val="25"/>
        <w:tabs>
          <w:tab w:val="right" w:leader="dot" w:pos="10328"/>
        </w:tabs>
        <w:ind w:firstLine="400"/>
      </w:pPr>
      <w:r>
        <w:fldChar w:fldCharType="begin"/>
      </w:r>
      <w:r>
        <w:instrText xml:space="preserve"> HYPERLINK \l "_Toc23524" </w:instrText>
      </w:r>
      <w:r>
        <w:fldChar w:fldCharType="separate"/>
      </w:r>
      <w:r>
        <w:rPr>
          <w:rFonts w:hint="eastAsia" w:ascii="Times New Roman" w:hAnsi="Times New Roman" w:cs="Times New Roman"/>
        </w:rPr>
        <w:t xml:space="preserve">1.10 </w:t>
      </w:r>
      <w:r>
        <w:rPr>
          <w:rFonts w:ascii="Times New Roman" w:hAnsi="Times New Roman" w:cs="Times New Roman"/>
        </w:rPr>
        <w:t>存在问题与建议</w:t>
      </w:r>
      <w:r>
        <w:tab/>
      </w:r>
      <w:r>
        <w:fldChar w:fldCharType="begin"/>
      </w:r>
      <w:r>
        <w:instrText xml:space="preserve"> PAGEREF _Toc23524 \h </w:instrText>
      </w:r>
      <w:r>
        <w:fldChar w:fldCharType="separate"/>
      </w:r>
      <w:r>
        <w:t>25</w:t>
      </w:r>
      <w:r>
        <w:fldChar w:fldCharType="end"/>
      </w:r>
      <w:r>
        <w:fldChar w:fldCharType="end"/>
      </w:r>
    </w:p>
    <w:p w14:paraId="309F3B6D">
      <w:pPr>
        <w:pStyle w:val="56"/>
        <w:sectPr>
          <w:headerReference r:id="rId7" w:type="first"/>
          <w:footerReference r:id="rId10" w:type="first"/>
          <w:headerReference r:id="rId5" w:type="default"/>
          <w:footerReference r:id="rId8" w:type="default"/>
          <w:headerReference r:id="rId6" w:type="even"/>
          <w:footerReference r:id="rId9" w:type="even"/>
          <w:pgSz w:w="23814" w:h="16839" w:orient="landscape"/>
          <w:pgMar w:top="1219" w:right="1219" w:bottom="1219" w:left="1219" w:header="851" w:footer="851" w:gutter="0"/>
          <w:pgNumType w:fmt="upperRoman"/>
          <w:cols w:space="720" w:num="2"/>
          <w:docGrid w:type="lines" w:linePitch="381" w:charSpace="0"/>
        </w:sectPr>
      </w:pPr>
      <w:r>
        <w:fldChar w:fldCharType="end"/>
      </w:r>
    </w:p>
    <w:p w14:paraId="200F4920">
      <w:pPr>
        <w:pStyle w:val="56"/>
        <w:jc w:val="center"/>
        <w:rPr>
          <w:b/>
          <w:sz w:val="32"/>
          <w:szCs w:val="32"/>
        </w:rPr>
      </w:pPr>
    </w:p>
    <w:p w14:paraId="12B49113">
      <w:pPr>
        <w:pStyle w:val="56"/>
        <w:jc w:val="center"/>
        <w:rPr>
          <w:b/>
          <w:sz w:val="32"/>
          <w:szCs w:val="32"/>
        </w:rPr>
      </w:pPr>
    </w:p>
    <w:p w14:paraId="5F98BF0B">
      <w:pPr>
        <w:pStyle w:val="56"/>
        <w:jc w:val="center"/>
        <w:rPr>
          <w:b/>
          <w:sz w:val="32"/>
          <w:szCs w:val="32"/>
        </w:rPr>
      </w:pPr>
    </w:p>
    <w:p w14:paraId="7B231E5F">
      <w:pPr>
        <w:pStyle w:val="56"/>
        <w:jc w:val="center"/>
        <w:rPr>
          <w:b/>
          <w:sz w:val="32"/>
          <w:szCs w:val="32"/>
        </w:rPr>
      </w:pPr>
    </w:p>
    <w:p w14:paraId="38A71E0F">
      <w:pPr>
        <w:pStyle w:val="56"/>
        <w:jc w:val="center"/>
        <w:rPr>
          <w:b/>
          <w:sz w:val="32"/>
          <w:szCs w:val="32"/>
        </w:rPr>
      </w:pPr>
    </w:p>
    <w:p w14:paraId="338748E4">
      <w:pPr>
        <w:pStyle w:val="56"/>
        <w:jc w:val="center"/>
        <w:rPr>
          <w:b/>
          <w:sz w:val="32"/>
          <w:szCs w:val="32"/>
        </w:rPr>
      </w:pPr>
    </w:p>
    <w:p w14:paraId="0FE2583B">
      <w:pPr>
        <w:pStyle w:val="56"/>
        <w:jc w:val="center"/>
        <w:rPr>
          <w:b/>
          <w:sz w:val="32"/>
          <w:szCs w:val="32"/>
        </w:rPr>
        <w:sectPr>
          <w:headerReference r:id="rId11" w:type="default"/>
          <w:footerReference r:id="rId12" w:type="default"/>
          <w:type w:val="continuous"/>
          <w:pgSz w:w="23814" w:h="16839" w:orient="landscape"/>
          <w:pgMar w:top="1219" w:right="1219" w:bottom="1219" w:left="1219" w:header="851" w:footer="851" w:gutter="0"/>
          <w:pgNumType w:start="1"/>
          <w:cols w:space="720" w:num="2"/>
          <w:docGrid w:type="lines" w:linePitch="381" w:charSpace="0"/>
        </w:sectPr>
      </w:pPr>
    </w:p>
    <w:p w14:paraId="7B8F21FE">
      <w:pPr>
        <w:pStyle w:val="56"/>
        <w:jc w:val="center"/>
        <w:rPr>
          <w:b/>
          <w:sz w:val="32"/>
          <w:szCs w:val="32"/>
        </w:rPr>
      </w:pPr>
      <w:r>
        <w:rPr>
          <w:b/>
          <w:sz w:val="32"/>
          <w:szCs w:val="32"/>
        </w:rPr>
        <w:t>排水工程设计总说明</w:t>
      </w:r>
    </w:p>
    <w:bookmarkEnd w:id="0"/>
    <w:p w14:paraId="5FD5FAD1">
      <w:pPr>
        <w:pStyle w:val="3"/>
        <w:rPr>
          <w:rFonts w:ascii="Times New Roman" w:hAnsi="Times New Roman" w:cs="Times New Roman"/>
        </w:rPr>
      </w:pPr>
      <w:bookmarkStart w:id="1" w:name="_Toc185094249"/>
      <w:bookmarkStart w:id="2" w:name="_Toc15601"/>
      <w:r>
        <w:rPr>
          <w:rFonts w:ascii="Times New Roman" w:hAnsi="Times New Roman" w:cs="Times New Roman"/>
        </w:rPr>
        <w:t>项目概况</w:t>
      </w:r>
      <w:bookmarkEnd w:id="1"/>
      <w:bookmarkEnd w:id="2"/>
    </w:p>
    <w:p w14:paraId="3CBFB1F4">
      <w:pPr>
        <w:ind w:firstLine="480"/>
        <w:rPr>
          <w:rFonts w:ascii="Times New Roman" w:hAnsi="Times New Roman" w:cs="Times New Roman"/>
        </w:rPr>
      </w:pPr>
      <w:r>
        <w:rPr>
          <w:rFonts w:ascii="Times New Roman" w:hAnsi="Times New Roman" w:cs="Times New Roman"/>
        </w:rPr>
        <w:t>项目名称：</w:t>
      </w:r>
      <w:r>
        <w:rPr>
          <w:rFonts w:hint="eastAsia" w:ascii="Times New Roman" w:hAnsi="Times New Roman" w:cs="Times New Roman"/>
        </w:rPr>
        <w:t>宜州城区地下管网改造提升项目(EPC)工程总承包</w:t>
      </w:r>
    </w:p>
    <w:p w14:paraId="01488695">
      <w:pPr>
        <w:ind w:firstLine="480"/>
        <w:rPr>
          <w:rFonts w:ascii="Times New Roman" w:hAnsi="Times New Roman" w:cs="Times New Roman"/>
        </w:rPr>
      </w:pPr>
      <w:r>
        <w:rPr>
          <w:rFonts w:ascii="Times New Roman" w:hAnsi="Times New Roman" w:cs="Times New Roman"/>
        </w:rPr>
        <w:t>建设单位：河池市宜州区住房和城乡建设局</w:t>
      </w:r>
    </w:p>
    <w:p w14:paraId="11AFB93C">
      <w:pPr>
        <w:ind w:firstLine="480"/>
        <w:rPr>
          <w:rFonts w:ascii="Times New Roman" w:hAnsi="Times New Roman" w:cs="Times New Roman"/>
        </w:rPr>
      </w:pPr>
      <w:r>
        <w:rPr>
          <w:rFonts w:ascii="Times New Roman" w:hAnsi="Times New Roman" w:cs="Times New Roman"/>
        </w:rPr>
        <w:t>排水体制：新建管道采用雨污分流制</w:t>
      </w:r>
    </w:p>
    <w:p w14:paraId="4445B848">
      <w:pPr>
        <w:ind w:firstLine="480"/>
        <w:rPr>
          <w:rFonts w:ascii="Times New Roman" w:hAnsi="Times New Roman" w:cs="Times New Roman"/>
        </w:rPr>
      </w:pPr>
      <w:r>
        <w:rPr>
          <w:rFonts w:ascii="Times New Roman" w:hAnsi="Times New Roman" w:cs="Times New Roman"/>
        </w:rPr>
        <w:t>建设地点：</w:t>
      </w:r>
      <w:bookmarkStart w:id="3" w:name="OLE_LINK6"/>
      <w:r>
        <w:rPr>
          <w:rFonts w:ascii="Times New Roman" w:hAnsi="Times New Roman" w:cs="Times New Roman"/>
        </w:rPr>
        <w:t>河池市宜州区城区</w:t>
      </w:r>
      <w:bookmarkEnd w:id="3"/>
    </w:p>
    <w:p w14:paraId="423DF185">
      <w:pPr>
        <w:ind w:firstLine="480"/>
        <w:rPr>
          <w:rFonts w:ascii="Times New Roman" w:hAnsi="Times New Roman" w:cs="Times New Roman"/>
        </w:rPr>
      </w:pPr>
      <w:bookmarkStart w:id="4" w:name="OLE_LINK12"/>
      <w:bookmarkStart w:id="5" w:name="OLE_LINK60"/>
      <w:bookmarkStart w:id="6" w:name="OLE_LINK59"/>
      <w:bookmarkStart w:id="7" w:name="OLE_LINK68"/>
      <w:bookmarkStart w:id="8" w:name="OLE_LINK11"/>
      <w:bookmarkStart w:id="9" w:name="OLE_LINK9"/>
      <w:bookmarkStart w:id="10" w:name="OLE_LINK7"/>
      <w:bookmarkStart w:id="11" w:name="OLE_LINK14"/>
      <w:bookmarkStart w:id="12" w:name="OLE_LINK13"/>
      <w:r>
        <w:rPr>
          <w:rFonts w:ascii="Times New Roman" w:hAnsi="Times New Roman" w:cs="Times New Roman"/>
        </w:rPr>
        <w:t>建设内容：项目拟新建排水管道共计27.</w:t>
      </w:r>
      <w:r>
        <w:rPr>
          <w:rFonts w:hint="eastAsia" w:ascii="Times New Roman" w:hAnsi="Times New Roman" w:cs="Times New Roman"/>
          <w:lang w:val="en-US" w:eastAsia="zh-CN"/>
        </w:rPr>
        <w:t>418</w:t>
      </w:r>
      <w:r>
        <w:rPr>
          <w:rFonts w:ascii="Times New Roman" w:hAnsi="Times New Roman" w:cs="Times New Roman"/>
        </w:rPr>
        <w:t>km，同时对部分道路排水管道清淤及更换检查井盖。</w:t>
      </w:r>
    </w:p>
    <w:p w14:paraId="1787CA88">
      <w:pPr>
        <w:ind w:firstLine="480"/>
        <w:rPr>
          <w:rFonts w:ascii="Times New Roman" w:hAnsi="Times New Roman" w:cs="Times New Roman"/>
        </w:rPr>
      </w:pPr>
      <w:r>
        <w:rPr>
          <w:rFonts w:ascii="Times New Roman" w:hAnsi="Times New Roman" w:cs="Times New Roman"/>
        </w:rPr>
        <w:t>（1）地下管网改造共计17处，新建排水管道总长度为</w:t>
      </w:r>
      <w:r>
        <w:rPr>
          <w:rFonts w:hint="eastAsia" w:ascii="Times New Roman" w:hAnsi="Times New Roman" w:cs="Times New Roman"/>
          <w:lang w:val="en-US" w:eastAsia="zh-CN"/>
        </w:rPr>
        <w:t>20.167</w:t>
      </w:r>
      <w:r>
        <w:rPr>
          <w:rFonts w:ascii="Times New Roman" w:hAnsi="Times New Roman" w:cs="Times New Roman"/>
        </w:rPr>
        <w:t>km，管材为DN200-DN500焊接钢管。</w:t>
      </w:r>
    </w:p>
    <w:p w14:paraId="7CB34DF0">
      <w:pPr>
        <w:ind w:firstLine="480"/>
        <w:rPr>
          <w:rFonts w:ascii="Times New Roman" w:hAnsi="Times New Roman" w:cs="Times New Roman"/>
        </w:rPr>
      </w:pPr>
      <w:r>
        <w:rPr>
          <w:rFonts w:ascii="Times New Roman" w:hAnsi="Times New Roman" w:cs="Times New Roman"/>
        </w:rPr>
        <w:t>（2）雨水管网改造共计16处，新建雨水管道总长度7.251km，雨水管道采用DN300-DN1350水泥混凝土排水管。</w:t>
      </w:r>
    </w:p>
    <w:p w14:paraId="33550312">
      <w:pPr>
        <w:ind w:firstLine="480"/>
        <w:rPr>
          <w:rFonts w:ascii="Times New Roman" w:hAnsi="Times New Roman" w:cs="Times New Roman"/>
        </w:rPr>
      </w:pPr>
      <w:r>
        <w:rPr>
          <w:rFonts w:ascii="Times New Roman" w:hAnsi="Times New Roman" w:cs="Times New Roman"/>
        </w:rPr>
        <w:t>（3）对现状排水系统改造提升，主要对8处道路的管道共计19.434km</w:t>
      </w:r>
      <w:bookmarkStart w:id="13" w:name="OLE_LINK4"/>
      <w:r>
        <w:rPr>
          <w:rFonts w:ascii="Times New Roman" w:hAnsi="Times New Roman" w:cs="Times New Roman"/>
        </w:rPr>
        <w:t>更换检查井盖及清淤，换检查井盖数量为155个，清淤为5830m³。</w:t>
      </w:r>
      <w:bookmarkEnd w:id="13"/>
    </w:p>
    <w:bookmarkEnd w:id="4"/>
    <w:bookmarkEnd w:id="5"/>
    <w:bookmarkEnd w:id="6"/>
    <w:bookmarkEnd w:id="7"/>
    <w:bookmarkEnd w:id="8"/>
    <w:bookmarkEnd w:id="9"/>
    <w:p w14:paraId="2FAAB4A5">
      <w:pPr>
        <w:ind w:firstLine="480"/>
        <w:rPr>
          <w:rFonts w:ascii="Times New Roman" w:hAnsi="Times New Roman" w:cs="Times New Roman"/>
        </w:rPr>
      </w:pPr>
      <w:r>
        <w:rPr>
          <w:rFonts w:ascii="Times New Roman" w:hAnsi="Times New Roman" w:cs="Times New Roman"/>
        </w:rPr>
        <w:t>通过本项目的实施加强宜州区城市基础设施建设，完善城区排水系统，提高排水能力。</w:t>
      </w:r>
    </w:p>
    <w:bookmarkEnd w:id="10"/>
    <w:bookmarkEnd w:id="11"/>
    <w:bookmarkEnd w:id="12"/>
    <w:p w14:paraId="78A12365">
      <w:pPr>
        <w:pStyle w:val="3"/>
        <w:rPr>
          <w:rFonts w:ascii="Times New Roman" w:hAnsi="Times New Roman" w:cs="Times New Roman"/>
        </w:rPr>
      </w:pPr>
      <w:bookmarkStart w:id="14" w:name="_Toc185094253"/>
      <w:bookmarkStart w:id="15" w:name="_Toc29205"/>
      <w:r>
        <w:rPr>
          <w:rFonts w:ascii="Times New Roman" w:hAnsi="Times New Roman" w:cs="Times New Roman"/>
        </w:rPr>
        <w:t>编制依据</w:t>
      </w:r>
      <w:bookmarkEnd w:id="14"/>
      <w:bookmarkEnd w:id="15"/>
    </w:p>
    <w:p w14:paraId="5B2F41F1">
      <w:pPr>
        <w:pStyle w:val="4"/>
        <w:rPr>
          <w:rFonts w:ascii="Times New Roman" w:hAnsi="Times New Roman" w:cs="Times New Roman"/>
        </w:rPr>
      </w:pPr>
      <w:bookmarkStart w:id="16" w:name="_Toc185094254"/>
      <w:bookmarkStart w:id="17" w:name="_Toc32081"/>
      <w:r>
        <w:rPr>
          <w:rFonts w:ascii="Times New Roman" w:hAnsi="Times New Roman" w:cs="Times New Roman"/>
        </w:rPr>
        <w:t>依据文件</w:t>
      </w:r>
      <w:bookmarkEnd w:id="16"/>
      <w:bookmarkEnd w:id="17"/>
    </w:p>
    <w:p w14:paraId="70D0B090">
      <w:pPr>
        <w:ind w:firstLine="480"/>
        <w:rPr>
          <w:rFonts w:ascii="Times New Roman" w:hAnsi="Times New Roman" w:cs="Times New Roman"/>
        </w:rPr>
      </w:pPr>
      <w:r>
        <w:rPr>
          <w:rFonts w:ascii="Times New Roman" w:hAnsi="Times New Roman" w:cs="Times New Roman"/>
        </w:rPr>
        <w:t>设计合同、</w:t>
      </w:r>
      <w:r>
        <w:rPr>
          <w:rFonts w:hint="eastAsia" w:ascii="Times New Roman" w:hAnsi="Times New Roman" w:cs="Times New Roman"/>
        </w:rPr>
        <w:t>中标</w:t>
      </w:r>
      <w:r>
        <w:rPr>
          <w:rFonts w:ascii="Times New Roman" w:hAnsi="Times New Roman" w:cs="Times New Roman"/>
        </w:rPr>
        <w:t>通知书</w:t>
      </w:r>
    </w:p>
    <w:p w14:paraId="7B49F6D0">
      <w:pPr>
        <w:ind w:firstLine="480"/>
        <w:rPr>
          <w:rFonts w:ascii="Times New Roman" w:hAnsi="Times New Roman" w:cs="Times New Roman"/>
        </w:rPr>
      </w:pPr>
      <w:r>
        <w:rPr>
          <w:rFonts w:ascii="Times New Roman" w:hAnsi="Times New Roman" w:cs="Times New Roman"/>
        </w:rPr>
        <w:t>《中华人民共和国水污染防治法》（2018 年1 月1 日起施行）</w:t>
      </w:r>
    </w:p>
    <w:p w14:paraId="486280AA">
      <w:pPr>
        <w:ind w:firstLine="480"/>
        <w:rPr>
          <w:rFonts w:ascii="Times New Roman" w:hAnsi="Times New Roman" w:cs="Times New Roman"/>
        </w:rPr>
      </w:pPr>
      <w:r>
        <w:rPr>
          <w:rFonts w:ascii="Times New Roman" w:hAnsi="Times New Roman" w:cs="Times New Roman"/>
        </w:rPr>
        <w:t>《水污染防治行动计划》国发〔2015〕17号</w:t>
      </w:r>
    </w:p>
    <w:p w14:paraId="5F8F8837">
      <w:pPr>
        <w:ind w:firstLine="480"/>
        <w:rPr>
          <w:rFonts w:ascii="Times New Roman" w:hAnsi="Times New Roman" w:cs="Times New Roman"/>
        </w:rPr>
      </w:pPr>
      <w:r>
        <w:rPr>
          <w:rFonts w:ascii="Times New Roman" w:hAnsi="Times New Roman" w:cs="Times New Roman"/>
        </w:rPr>
        <w:t>《城市燃气管道等老化更新改造实施方案（2022—2025年）》（国务院办公厅，2022年5月10日）</w:t>
      </w:r>
    </w:p>
    <w:p w14:paraId="021265A8">
      <w:pPr>
        <w:pStyle w:val="4"/>
        <w:rPr>
          <w:rFonts w:ascii="Times New Roman" w:hAnsi="Times New Roman" w:cs="Times New Roman"/>
        </w:rPr>
      </w:pPr>
      <w:bookmarkStart w:id="18" w:name="_Toc185094255"/>
      <w:bookmarkStart w:id="19" w:name="_Toc2257"/>
      <w:r>
        <w:rPr>
          <w:rFonts w:ascii="Times New Roman" w:hAnsi="Times New Roman" w:cs="Times New Roman"/>
        </w:rPr>
        <w:t>有关规划、文件</w:t>
      </w:r>
      <w:bookmarkEnd w:id="18"/>
      <w:bookmarkEnd w:id="19"/>
    </w:p>
    <w:p w14:paraId="5A4F5E6E">
      <w:pPr>
        <w:ind w:firstLine="480"/>
        <w:rPr>
          <w:rFonts w:ascii="Times New Roman" w:hAnsi="Times New Roman" w:cs="Times New Roman"/>
        </w:rPr>
      </w:pPr>
      <w:r>
        <w:rPr>
          <w:rFonts w:ascii="Times New Roman" w:hAnsi="Times New Roman" w:cs="Times New Roman"/>
        </w:rPr>
        <w:t>《国家发展改革委关于印发《污染治理中央预算内投资专项管理办法》的通知[发改环资规〔2024〕337号）》；</w:t>
      </w:r>
    </w:p>
    <w:p w14:paraId="2FD9D50A">
      <w:pPr>
        <w:ind w:firstLine="480"/>
        <w:rPr>
          <w:rFonts w:ascii="Times New Roman" w:hAnsi="Times New Roman" w:cs="Times New Roman"/>
        </w:rPr>
      </w:pPr>
      <w:r>
        <w:rPr>
          <w:rFonts w:ascii="Times New Roman" w:hAnsi="Times New Roman" w:cs="Times New Roman"/>
        </w:rPr>
        <w:t>《广西生态环境保护“十四五”规划》（2021）；</w:t>
      </w:r>
    </w:p>
    <w:p w14:paraId="1188BB11">
      <w:pPr>
        <w:ind w:firstLine="480"/>
        <w:rPr>
          <w:rFonts w:ascii="Times New Roman" w:hAnsi="Times New Roman" w:cs="Times New Roman"/>
        </w:rPr>
      </w:pPr>
      <w:r>
        <w:rPr>
          <w:rFonts w:ascii="Times New Roman" w:hAnsi="Times New Roman" w:cs="Times New Roman"/>
        </w:rPr>
        <w:t>《广西壮族自治区河池市国民经济和社会发展第十四个五年规划和二〇三五年远景目标》；</w:t>
      </w:r>
    </w:p>
    <w:p w14:paraId="3BE48659">
      <w:pPr>
        <w:ind w:firstLine="480"/>
        <w:rPr>
          <w:rFonts w:ascii="Times New Roman" w:hAnsi="Times New Roman" w:cs="Times New Roman"/>
        </w:rPr>
      </w:pPr>
      <w:r>
        <w:rPr>
          <w:rFonts w:ascii="Times New Roman" w:hAnsi="Times New Roman" w:cs="Times New Roman"/>
        </w:rPr>
        <w:t>《河池市城市总体规划》（2016-2030年）；</w:t>
      </w:r>
    </w:p>
    <w:p w14:paraId="7DA118F2">
      <w:pPr>
        <w:ind w:firstLine="480"/>
        <w:rPr>
          <w:rFonts w:ascii="Times New Roman" w:hAnsi="Times New Roman" w:cs="Times New Roman"/>
        </w:rPr>
      </w:pPr>
      <w:r>
        <w:rPr>
          <w:rFonts w:ascii="Times New Roman" w:hAnsi="Times New Roman" w:cs="Times New Roman"/>
        </w:rPr>
        <w:t>《河池市宜州区国土空间规划》（2021-2035 年）；</w:t>
      </w:r>
    </w:p>
    <w:p w14:paraId="29C0C9E4">
      <w:pPr>
        <w:ind w:firstLine="480"/>
        <w:rPr>
          <w:rFonts w:ascii="Times New Roman" w:hAnsi="Times New Roman" w:cs="Times New Roman"/>
        </w:rPr>
      </w:pPr>
      <w:r>
        <w:rPr>
          <w:rFonts w:ascii="Times New Roman" w:hAnsi="Times New Roman" w:cs="Times New Roman"/>
        </w:rPr>
        <w:t>《河池市宜州区中心城区控制性详细规划》（2021-2035 年）；</w:t>
      </w:r>
    </w:p>
    <w:p w14:paraId="0A5B7992">
      <w:pPr>
        <w:ind w:firstLine="480"/>
        <w:rPr>
          <w:rFonts w:ascii="Times New Roman" w:hAnsi="Times New Roman" w:cs="Times New Roman"/>
        </w:rPr>
      </w:pPr>
      <w:r>
        <w:rPr>
          <w:rFonts w:ascii="Times New Roman" w:hAnsi="Times New Roman" w:cs="Times New Roman"/>
        </w:rPr>
        <w:t>《河池市发展和改革委员会关于宜州城区地下管网改造提升项目可行性研究报告的批复》（</w:t>
      </w:r>
      <w:bookmarkStart w:id="20" w:name="OLE_LINK5"/>
      <w:r>
        <w:rPr>
          <w:rFonts w:ascii="Times New Roman" w:hAnsi="Times New Roman" w:cs="Times New Roman"/>
        </w:rPr>
        <w:t>河发改审批[2024]105号</w:t>
      </w:r>
      <w:bookmarkEnd w:id="20"/>
      <w:r>
        <w:rPr>
          <w:rFonts w:ascii="Times New Roman" w:hAnsi="Times New Roman" w:cs="Times New Roman"/>
        </w:rPr>
        <w:t>）</w:t>
      </w:r>
    </w:p>
    <w:p w14:paraId="3E4BF7FA">
      <w:pPr>
        <w:ind w:firstLine="480"/>
        <w:rPr>
          <w:rFonts w:ascii="Times New Roman" w:hAnsi="Times New Roman" w:cs="Times New Roman"/>
        </w:rPr>
      </w:pPr>
      <w:r>
        <w:rPr>
          <w:rFonts w:ascii="Times New Roman" w:hAnsi="Times New Roman" w:cs="Times New Roman"/>
        </w:rPr>
        <w:t>《宜州城区地下管网改造提升项目岩土工程勘察报告》（</w:t>
      </w:r>
      <w:bookmarkStart w:id="94" w:name="_GoBack"/>
      <w:bookmarkEnd w:id="94"/>
      <w:r>
        <w:rPr>
          <w:rFonts w:ascii="Times New Roman" w:hAnsi="Times New Roman" w:cs="Times New Roman"/>
        </w:rPr>
        <w:t>中科华创国际工程设计顾问集团有限公司，二〇二五年七月）</w:t>
      </w:r>
    </w:p>
    <w:p w14:paraId="6CCDEB97">
      <w:pPr>
        <w:ind w:firstLine="480"/>
        <w:rPr>
          <w:rFonts w:ascii="Times New Roman" w:hAnsi="Times New Roman" w:cs="Times New Roman"/>
        </w:rPr>
      </w:pPr>
      <w:r>
        <w:rPr>
          <w:rFonts w:ascii="Times New Roman" w:hAnsi="Times New Roman" w:cs="Times New Roman"/>
        </w:rPr>
        <w:t>业主提供的基础资料；</w:t>
      </w:r>
    </w:p>
    <w:p w14:paraId="2A7C981D">
      <w:pPr>
        <w:ind w:firstLine="480"/>
        <w:rPr>
          <w:rFonts w:ascii="Times New Roman" w:hAnsi="Times New Roman" w:cs="Times New Roman"/>
        </w:rPr>
      </w:pPr>
      <w:r>
        <w:rPr>
          <w:rFonts w:ascii="Times New Roman" w:hAnsi="Times New Roman" w:cs="Times New Roman"/>
        </w:rPr>
        <w:t>相关部门提供的规划路网图；</w:t>
      </w:r>
    </w:p>
    <w:p w14:paraId="42220BDF">
      <w:pPr>
        <w:ind w:firstLine="480"/>
        <w:rPr>
          <w:rFonts w:ascii="Times New Roman" w:hAnsi="Times New Roman" w:cs="Times New Roman"/>
        </w:rPr>
      </w:pPr>
      <w:r>
        <w:rPr>
          <w:rFonts w:ascii="Times New Roman" w:hAnsi="Times New Roman" w:cs="Times New Roman"/>
        </w:rPr>
        <w:t>1/1000 地形图；</w:t>
      </w:r>
    </w:p>
    <w:p w14:paraId="6A07E5D7">
      <w:pPr>
        <w:ind w:firstLine="480"/>
        <w:rPr>
          <w:rFonts w:ascii="Times New Roman" w:hAnsi="Times New Roman" w:cs="Times New Roman"/>
        </w:rPr>
      </w:pPr>
      <w:r>
        <w:rPr>
          <w:rFonts w:ascii="Times New Roman" w:hAnsi="Times New Roman" w:cs="Times New Roman"/>
        </w:rPr>
        <w:t>现场调查资料。</w:t>
      </w:r>
    </w:p>
    <w:p w14:paraId="49ADCD28">
      <w:pPr>
        <w:pStyle w:val="4"/>
        <w:rPr>
          <w:rFonts w:ascii="Times New Roman" w:hAnsi="Times New Roman" w:cs="Times New Roman"/>
        </w:rPr>
      </w:pPr>
      <w:bookmarkStart w:id="21" w:name="_Toc5926"/>
      <w:bookmarkStart w:id="22" w:name="_Toc185094256"/>
      <w:r>
        <w:rPr>
          <w:rFonts w:ascii="Times New Roman" w:hAnsi="Times New Roman" w:cs="Times New Roman"/>
        </w:rPr>
        <w:t>其他必要的文件</w:t>
      </w:r>
      <w:bookmarkEnd w:id="21"/>
      <w:bookmarkEnd w:id="22"/>
    </w:p>
    <w:p w14:paraId="39EA330D">
      <w:pPr>
        <w:ind w:firstLine="480"/>
        <w:rPr>
          <w:rFonts w:ascii="Times New Roman" w:hAnsi="Times New Roman" w:cs="Times New Roman"/>
        </w:rPr>
      </w:pPr>
      <w:r>
        <w:rPr>
          <w:rFonts w:ascii="Times New Roman" w:hAnsi="Times New Roman" w:cs="Times New Roman"/>
        </w:rPr>
        <w:t>初步设计批复文件</w:t>
      </w:r>
    </w:p>
    <w:p w14:paraId="50A9A859">
      <w:pPr>
        <w:ind w:firstLine="480"/>
        <w:rPr>
          <w:rFonts w:ascii="Times New Roman" w:hAnsi="Times New Roman" w:cs="Times New Roman"/>
        </w:rPr>
      </w:pPr>
      <w:r>
        <w:rPr>
          <w:rFonts w:ascii="Times New Roman" w:hAnsi="Times New Roman" w:cs="Times New Roman"/>
        </w:rPr>
        <w:t>管道CCTV检测成果</w:t>
      </w:r>
    </w:p>
    <w:p w14:paraId="4A47CB14">
      <w:pPr>
        <w:ind w:firstLine="480"/>
        <w:rPr>
          <w:rFonts w:ascii="Times New Roman" w:hAnsi="Times New Roman" w:cs="Times New Roman"/>
        </w:rPr>
      </w:pPr>
      <w:r>
        <w:rPr>
          <w:rFonts w:ascii="Times New Roman" w:hAnsi="Times New Roman" w:cs="Times New Roman"/>
        </w:rPr>
        <w:t>相关道路工程的地质勘察报告</w:t>
      </w:r>
    </w:p>
    <w:p w14:paraId="24225003">
      <w:pPr>
        <w:ind w:firstLine="480"/>
        <w:rPr>
          <w:rFonts w:ascii="Times New Roman" w:hAnsi="Times New Roman" w:cs="Times New Roman"/>
        </w:rPr>
      </w:pPr>
      <w:r>
        <w:rPr>
          <w:rFonts w:ascii="Times New Roman" w:hAnsi="Times New Roman" w:cs="Times New Roman"/>
        </w:rPr>
        <w:t>国家有关道路、铁路、河道以及高压线有关设计规范及管理条例</w:t>
      </w:r>
    </w:p>
    <w:p w14:paraId="536C7497">
      <w:pPr>
        <w:ind w:firstLine="480"/>
        <w:rPr>
          <w:rFonts w:ascii="Times New Roman" w:hAnsi="Times New Roman" w:cs="Times New Roman"/>
        </w:rPr>
      </w:pPr>
      <w:r>
        <w:rPr>
          <w:rFonts w:ascii="Times New Roman" w:hAnsi="Times New Roman" w:cs="Times New Roman"/>
        </w:rPr>
        <w:t>沿线地形图及现场调查资料</w:t>
      </w:r>
    </w:p>
    <w:p w14:paraId="09A4084A">
      <w:pPr>
        <w:pStyle w:val="3"/>
        <w:rPr>
          <w:rFonts w:ascii="Times New Roman" w:hAnsi="Times New Roman" w:cs="Times New Roman"/>
        </w:rPr>
      </w:pPr>
      <w:bookmarkStart w:id="23" w:name="_Toc185094257"/>
      <w:bookmarkStart w:id="24" w:name="_Toc28759"/>
      <w:r>
        <w:rPr>
          <w:rFonts w:ascii="Times New Roman" w:hAnsi="Times New Roman" w:cs="Times New Roman"/>
        </w:rPr>
        <w:t>采用的规范和标准</w:t>
      </w:r>
      <w:bookmarkEnd w:id="23"/>
      <w:bookmarkEnd w:id="24"/>
    </w:p>
    <w:p w14:paraId="5D875D88">
      <w:pPr>
        <w:pStyle w:val="4"/>
        <w:rPr>
          <w:rFonts w:ascii="Times New Roman" w:hAnsi="Times New Roman" w:cs="Times New Roman"/>
        </w:rPr>
      </w:pPr>
      <w:bookmarkStart w:id="25" w:name="_Toc38956969"/>
      <w:bookmarkStart w:id="26" w:name="_Toc21545"/>
      <w:bookmarkStart w:id="27" w:name="_Toc185094258"/>
      <w:r>
        <w:rPr>
          <w:rFonts w:ascii="Times New Roman" w:hAnsi="Times New Roman" w:cs="Times New Roman"/>
        </w:rPr>
        <w:t>排水设计规范</w:t>
      </w:r>
      <w:bookmarkEnd w:id="25"/>
      <w:r>
        <w:rPr>
          <w:rFonts w:ascii="Times New Roman" w:hAnsi="Times New Roman" w:cs="Times New Roman"/>
        </w:rPr>
        <w:t>及标准</w:t>
      </w:r>
      <w:bookmarkEnd w:id="26"/>
      <w:bookmarkEnd w:id="27"/>
    </w:p>
    <w:p w14:paraId="750F7FA2">
      <w:pPr>
        <w:ind w:firstLine="480"/>
        <w:rPr>
          <w:rFonts w:ascii="Times New Roman" w:hAnsi="Times New Roman" w:cs="Times New Roman"/>
        </w:rPr>
      </w:pPr>
      <w:r>
        <w:rPr>
          <w:rFonts w:ascii="Times New Roman" w:hAnsi="Times New Roman" w:cs="Times New Roman"/>
        </w:rPr>
        <w:t>《室外给水设计标准》GB50013-2018</w:t>
      </w:r>
    </w:p>
    <w:p w14:paraId="1782C76E">
      <w:pPr>
        <w:ind w:firstLine="480"/>
        <w:rPr>
          <w:rFonts w:ascii="Times New Roman" w:hAnsi="Times New Roman" w:cs="Times New Roman"/>
        </w:rPr>
      </w:pPr>
      <w:r>
        <w:rPr>
          <w:rFonts w:ascii="Times New Roman" w:hAnsi="Times New Roman" w:cs="Times New Roman"/>
        </w:rPr>
        <w:t>《室外排水设计标准》GB50014-2021</w:t>
      </w:r>
    </w:p>
    <w:p w14:paraId="79EE8C62">
      <w:pPr>
        <w:ind w:firstLine="480"/>
        <w:rPr>
          <w:rFonts w:ascii="Times New Roman" w:hAnsi="Times New Roman" w:cs="Times New Roman"/>
        </w:rPr>
      </w:pPr>
      <w:r>
        <w:rPr>
          <w:rFonts w:ascii="Times New Roman" w:hAnsi="Times New Roman" w:cs="Times New Roman"/>
        </w:rPr>
        <w:t>《泵站设计标准》GB50265-2022</w:t>
      </w:r>
    </w:p>
    <w:p w14:paraId="47686FAA">
      <w:pPr>
        <w:ind w:firstLine="480"/>
        <w:rPr>
          <w:rFonts w:ascii="Times New Roman" w:hAnsi="Times New Roman" w:cs="Times New Roman"/>
        </w:rPr>
      </w:pPr>
      <w:r>
        <w:rPr>
          <w:rFonts w:ascii="Times New Roman" w:hAnsi="Times New Roman" w:cs="Times New Roman"/>
        </w:rPr>
        <w:t>《城市给水工程项目规范》GB55026-2022</w:t>
      </w:r>
    </w:p>
    <w:p w14:paraId="1F090DEA">
      <w:pPr>
        <w:ind w:firstLine="480"/>
        <w:rPr>
          <w:rFonts w:ascii="Times New Roman" w:hAnsi="Times New Roman" w:cs="Times New Roman"/>
        </w:rPr>
      </w:pPr>
      <w:r>
        <w:rPr>
          <w:rFonts w:ascii="Times New Roman" w:hAnsi="Times New Roman" w:cs="Times New Roman"/>
        </w:rPr>
        <w:t>《城乡排水工程项目规范》GB55027-2022</w:t>
      </w:r>
    </w:p>
    <w:p w14:paraId="20D5691C">
      <w:pPr>
        <w:ind w:firstLine="480"/>
        <w:rPr>
          <w:rFonts w:ascii="Times New Roman" w:hAnsi="Times New Roman" w:cs="Times New Roman"/>
        </w:rPr>
      </w:pPr>
      <w:r>
        <w:rPr>
          <w:rFonts w:ascii="Times New Roman" w:hAnsi="Times New Roman" w:cs="Times New Roman"/>
        </w:rPr>
        <w:t>《低压流体输送用焊接钢管》GB/T3091-2015</w:t>
      </w:r>
    </w:p>
    <w:p w14:paraId="369A45E7">
      <w:pPr>
        <w:ind w:firstLine="480"/>
        <w:rPr>
          <w:rFonts w:ascii="Times New Roman" w:hAnsi="Times New Roman" w:cs="Times New Roman"/>
        </w:rPr>
      </w:pPr>
      <w:r>
        <w:rPr>
          <w:rFonts w:ascii="Times New Roman" w:hAnsi="Times New Roman" w:cs="Times New Roman"/>
        </w:rPr>
        <w:t>《焊接钢管尺寸及单位长度重量》GB/T 17395-2024</w:t>
      </w:r>
    </w:p>
    <w:p w14:paraId="63E4842D">
      <w:pPr>
        <w:ind w:firstLine="480"/>
        <w:rPr>
          <w:rFonts w:ascii="Times New Roman" w:hAnsi="Times New Roman" w:cs="Times New Roman"/>
        </w:rPr>
      </w:pPr>
      <w:r>
        <w:rPr>
          <w:rFonts w:ascii="Times New Roman" w:hAnsi="Times New Roman" w:cs="Times New Roman"/>
        </w:rPr>
        <w:t>《埋地钢质管道环氧煤沥青防腐层技术标准》SY/T0447-2014</w:t>
      </w:r>
    </w:p>
    <w:p w14:paraId="0F2B908E">
      <w:pPr>
        <w:ind w:firstLine="480"/>
        <w:rPr>
          <w:rFonts w:ascii="Times New Roman" w:hAnsi="Times New Roman" w:cs="Times New Roman"/>
        </w:rPr>
      </w:pPr>
      <w:r>
        <w:rPr>
          <w:rFonts w:ascii="Times New Roman" w:hAnsi="Times New Roman" w:cs="Times New Roman"/>
        </w:rPr>
        <w:t>《给水排水用承插柔性及搭接焊接口防腐钢管》T/CSCS 042-2023</w:t>
      </w:r>
    </w:p>
    <w:p w14:paraId="6B6BDA10">
      <w:pPr>
        <w:ind w:firstLine="480"/>
        <w:rPr>
          <w:rFonts w:ascii="Times New Roman" w:hAnsi="Times New Roman" w:cs="Times New Roman"/>
        </w:rPr>
      </w:pPr>
      <w:r>
        <w:rPr>
          <w:rFonts w:ascii="Times New Roman" w:hAnsi="Times New Roman" w:cs="Times New Roman"/>
        </w:rPr>
        <w:t>《建筑与市政工程抗震通用规范》GB55002-2021</w:t>
      </w:r>
    </w:p>
    <w:p w14:paraId="30E91E7A">
      <w:pPr>
        <w:ind w:firstLine="480"/>
        <w:rPr>
          <w:rFonts w:ascii="Times New Roman" w:hAnsi="Times New Roman" w:cs="Times New Roman"/>
        </w:rPr>
      </w:pPr>
      <w:r>
        <w:rPr>
          <w:rFonts w:ascii="Times New Roman" w:hAnsi="Times New Roman" w:cs="Times New Roman"/>
        </w:rPr>
        <w:t>《室外给水排水和燃气热力工程抗震设计规范》GB50032-2003</w:t>
      </w:r>
    </w:p>
    <w:p w14:paraId="46B0A121">
      <w:pPr>
        <w:ind w:firstLine="480"/>
        <w:rPr>
          <w:rFonts w:ascii="Times New Roman" w:hAnsi="Times New Roman" w:cs="Times New Roman"/>
        </w:rPr>
      </w:pPr>
      <w:r>
        <w:rPr>
          <w:rFonts w:ascii="Times New Roman" w:hAnsi="Times New Roman" w:cs="Times New Roman"/>
        </w:rPr>
        <w:t>《城市工程管线综合规划规范》GB50289-2016</w:t>
      </w:r>
    </w:p>
    <w:p w14:paraId="6AA26777">
      <w:pPr>
        <w:ind w:firstLine="480"/>
        <w:rPr>
          <w:rFonts w:ascii="Times New Roman" w:hAnsi="Times New Roman" w:cs="Times New Roman"/>
        </w:rPr>
      </w:pPr>
      <w:r>
        <w:rPr>
          <w:rFonts w:ascii="Times New Roman" w:hAnsi="Times New Roman" w:cs="Times New Roman"/>
        </w:rPr>
        <w:t>《混凝土和钢筋混凝土排水管》GB/T11836-2023</w:t>
      </w:r>
    </w:p>
    <w:p w14:paraId="0F1898DC">
      <w:pPr>
        <w:ind w:firstLine="480"/>
        <w:rPr>
          <w:rFonts w:ascii="Times New Roman" w:hAnsi="Times New Roman" w:cs="Times New Roman"/>
        </w:rPr>
      </w:pPr>
      <w:r>
        <w:rPr>
          <w:rFonts w:ascii="Times New Roman" w:hAnsi="Times New Roman" w:cs="Times New Roman"/>
        </w:rPr>
        <w:t>《埋地塑料排水管道工程技术规程》CJJ143-2010</w:t>
      </w:r>
    </w:p>
    <w:p w14:paraId="40CBA7DB">
      <w:pPr>
        <w:ind w:firstLine="480"/>
        <w:rPr>
          <w:rFonts w:ascii="Times New Roman" w:hAnsi="Times New Roman" w:cs="Times New Roman"/>
        </w:rPr>
      </w:pPr>
      <w:r>
        <w:rPr>
          <w:rFonts w:ascii="Times New Roman" w:hAnsi="Times New Roman" w:cs="Times New Roman"/>
        </w:rPr>
        <w:t>《检查井盖》GB/T23858-2009</w:t>
      </w:r>
    </w:p>
    <w:p w14:paraId="7B47AF94">
      <w:pPr>
        <w:ind w:firstLine="480"/>
        <w:rPr>
          <w:rFonts w:ascii="Times New Roman" w:hAnsi="Times New Roman" w:cs="Times New Roman"/>
        </w:rPr>
      </w:pPr>
      <w:r>
        <w:rPr>
          <w:rFonts w:ascii="Times New Roman" w:hAnsi="Times New Roman" w:cs="Times New Roman"/>
        </w:rPr>
        <w:t>《市政排水管道工程及附属设施》06MS201</w:t>
      </w:r>
    </w:p>
    <w:p w14:paraId="070F3255">
      <w:pPr>
        <w:ind w:firstLine="480"/>
        <w:rPr>
          <w:rFonts w:ascii="Times New Roman" w:hAnsi="Times New Roman" w:cs="Times New Roman"/>
        </w:rPr>
      </w:pPr>
      <w:r>
        <w:rPr>
          <w:rFonts w:ascii="Times New Roman" w:hAnsi="Times New Roman" w:cs="Times New Roman"/>
        </w:rPr>
        <w:t>《橡胶密封件给、排水管及污水管道用接口密封圈材料规范》GB/T21873-2008</w:t>
      </w:r>
    </w:p>
    <w:p w14:paraId="1ECA9E32">
      <w:pPr>
        <w:ind w:firstLine="480"/>
        <w:rPr>
          <w:rFonts w:ascii="Times New Roman" w:hAnsi="Times New Roman" w:cs="Times New Roman"/>
        </w:rPr>
      </w:pPr>
      <w:r>
        <w:rPr>
          <w:rFonts w:ascii="Times New Roman" w:hAnsi="Times New Roman" w:cs="Times New Roman"/>
        </w:rPr>
        <w:t>《球墨铸铁可调式防沉降检查井盖》DB510100/T203-2016</w:t>
      </w:r>
    </w:p>
    <w:p w14:paraId="00914AE0">
      <w:pPr>
        <w:ind w:firstLine="480"/>
        <w:rPr>
          <w:rFonts w:ascii="Times New Roman" w:hAnsi="Times New Roman" w:cs="Times New Roman"/>
        </w:rPr>
      </w:pPr>
      <w:r>
        <w:rPr>
          <w:rFonts w:ascii="Times New Roman" w:hAnsi="Times New Roman" w:cs="Times New Roman"/>
        </w:rPr>
        <w:t>《排水工程用球墨铸铁管、管件和附件》GB/T 26081-2022</w:t>
      </w:r>
    </w:p>
    <w:p w14:paraId="587823CD">
      <w:pPr>
        <w:ind w:firstLine="480"/>
        <w:rPr>
          <w:rFonts w:ascii="Times New Roman" w:hAnsi="Times New Roman" w:cs="Times New Roman"/>
        </w:rPr>
      </w:pPr>
      <w:r>
        <w:rPr>
          <w:rFonts w:ascii="Times New Roman" w:hAnsi="Times New Roman" w:cs="Times New Roman"/>
        </w:rPr>
        <w:t>《非开挖铺设用球墨铸铁管》YB/T 4564-2016</w:t>
      </w:r>
    </w:p>
    <w:p w14:paraId="2E51EEAF">
      <w:pPr>
        <w:ind w:firstLine="480"/>
        <w:rPr>
          <w:rFonts w:ascii="Times New Roman" w:hAnsi="Times New Roman" w:cs="Times New Roman"/>
        </w:rPr>
      </w:pPr>
      <w:r>
        <w:rPr>
          <w:rFonts w:ascii="Times New Roman" w:hAnsi="Times New Roman" w:cs="Times New Roman"/>
        </w:rPr>
        <w:t>《非开挖工程用聚乙烯管》CJ/T 358-2019</w:t>
      </w:r>
    </w:p>
    <w:p w14:paraId="524F6408">
      <w:pPr>
        <w:ind w:firstLine="480"/>
        <w:rPr>
          <w:rFonts w:ascii="Times New Roman" w:hAnsi="Times New Roman" w:cs="Times New Roman"/>
        </w:rPr>
      </w:pPr>
      <w:r>
        <w:rPr>
          <w:rFonts w:ascii="Times New Roman" w:hAnsi="Times New Roman" w:cs="Times New Roman"/>
        </w:rPr>
        <w:t>《水平定向钻法管道穿越工程技术规程》CECS 382-2014</w:t>
      </w:r>
    </w:p>
    <w:p w14:paraId="7E9D6303">
      <w:pPr>
        <w:ind w:firstLine="480"/>
        <w:rPr>
          <w:rFonts w:ascii="Times New Roman" w:hAnsi="Times New Roman" w:cs="Times New Roman"/>
        </w:rPr>
      </w:pPr>
      <w:r>
        <w:rPr>
          <w:rFonts w:ascii="Times New Roman" w:hAnsi="Times New Roman" w:cs="Times New Roman"/>
        </w:rPr>
        <w:t>《给水排水工程微型顶管技术规程》T/CECS 1113-2022</w:t>
      </w:r>
    </w:p>
    <w:p w14:paraId="43572047">
      <w:pPr>
        <w:ind w:firstLine="480"/>
        <w:rPr>
          <w:rFonts w:ascii="Times New Roman" w:hAnsi="Times New Roman" w:cs="Times New Roman"/>
        </w:rPr>
      </w:pPr>
      <w:r>
        <w:rPr>
          <w:rFonts w:ascii="Times New Roman" w:hAnsi="Times New Roman" w:cs="Times New Roman"/>
        </w:rPr>
        <w:t>《给水排水工程顶管技术规程》CECS 246-2008</w:t>
      </w:r>
    </w:p>
    <w:p w14:paraId="23B870AD">
      <w:pPr>
        <w:ind w:firstLine="480"/>
        <w:rPr>
          <w:rFonts w:ascii="Times New Roman" w:hAnsi="Times New Roman" w:cs="Times New Roman"/>
        </w:rPr>
      </w:pPr>
      <w:r>
        <w:rPr>
          <w:rFonts w:ascii="Times New Roman" w:hAnsi="Times New Roman" w:cs="Times New Roman"/>
        </w:rPr>
        <w:t>《顶管法管道工程技术规程》T/CSPSTC 78-2021</w:t>
      </w:r>
    </w:p>
    <w:p w14:paraId="3E0C4DE5">
      <w:pPr>
        <w:ind w:firstLine="480"/>
        <w:rPr>
          <w:rFonts w:ascii="Times New Roman" w:hAnsi="Times New Roman" w:cs="Times New Roman"/>
        </w:rPr>
      </w:pPr>
      <w:r>
        <w:rPr>
          <w:rFonts w:ascii="Times New Roman" w:hAnsi="Times New Roman" w:cs="Times New Roman"/>
        </w:rPr>
        <w:t>《给水排水工程微型顶管技术规程》T/CECS 1113-2022</w:t>
      </w:r>
    </w:p>
    <w:p w14:paraId="6C79CC48">
      <w:pPr>
        <w:ind w:firstLine="480"/>
        <w:rPr>
          <w:rFonts w:ascii="Times New Roman" w:hAnsi="Times New Roman" w:cs="Times New Roman"/>
        </w:rPr>
      </w:pPr>
      <w:r>
        <w:rPr>
          <w:rFonts w:ascii="Times New Roman" w:hAnsi="Times New Roman" w:cs="Times New Roman"/>
        </w:rPr>
        <w:t>其他有关国家规范及行业规程、标准和强制性条文</w:t>
      </w:r>
    </w:p>
    <w:p w14:paraId="688E19BE">
      <w:pPr>
        <w:pStyle w:val="4"/>
        <w:rPr>
          <w:rFonts w:ascii="Times New Roman" w:hAnsi="Times New Roman" w:cs="Times New Roman"/>
        </w:rPr>
      </w:pPr>
      <w:bookmarkStart w:id="28" w:name="_Toc38956970"/>
      <w:bookmarkStart w:id="29" w:name="_Toc185094259"/>
      <w:bookmarkStart w:id="30" w:name="_Toc9907"/>
      <w:r>
        <w:rPr>
          <w:rFonts w:ascii="Times New Roman" w:hAnsi="Times New Roman" w:cs="Times New Roman"/>
        </w:rPr>
        <w:t>结构设计规范</w:t>
      </w:r>
      <w:bookmarkEnd w:id="28"/>
      <w:r>
        <w:rPr>
          <w:rFonts w:ascii="Times New Roman" w:hAnsi="Times New Roman" w:cs="Times New Roman"/>
        </w:rPr>
        <w:t>及标准</w:t>
      </w:r>
      <w:bookmarkEnd w:id="29"/>
      <w:bookmarkEnd w:id="30"/>
    </w:p>
    <w:p w14:paraId="0FF162AE">
      <w:pPr>
        <w:ind w:firstLine="480"/>
        <w:rPr>
          <w:rFonts w:ascii="Times New Roman" w:hAnsi="Times New Roman" w:cs="Times New Roman"/>
        </w:rPr>
      </w:pPr>
      <w:r>
        <w:rPr>
          <w:rFonts w:ascii="Times New Roman" w:hAnsi="Times New Roman" w:cs="Times New Roman"/>
        </w:rPr>
        <w:t>《混凝土结构设计规范》GB50010-2010（2015年版）</w:t>
      </w:r>
    </w:p>
    <w:p w14:paraId="7F94DB76">
      <w:pPr>
        <w:ind w:firstLine="480"/>
        <w:rPr>
          <w:rFonts w:ascii="Times New Roman" w:hAnsi="Times New Roman" w:cs="Times New Roman"/>
        </w:rPr>
      </w:pPr>
      <w:r>
        <w:rPr>
          <w:rFonts w:ascii="Times New Roman" w:hAnsi="Times New Roman" w:cs="Times New Roman"/>
        </w:rPr>
        <w:t>《建筑结构荷载规范》GB50009-2012</w:t>
      </w:r>
    </w:p>
    <w:p w14:paraId="24A45CD5">
      <w:pPr>
        <w:ind w:firstLine="480"/>
        <w:rPr>
          <w:rFonts w:ascii="Times New Roman" w:hAnsi="Times New Roman" w:cs="Times New Roman"/>
        </w:rPr>
      </w:pPr>
      <w:r>
        <w:rPr>
          <w:rFonts w:ascii="Times New Roman" w:hAnsi="Times New Roman" w:cs="Times New Roman"/>
        </w:rPr>
        <w:t>《建筑抗震设计规范》GB50011-2010（2016年版）</w:t>
      </w:r>
    </w:p>
    <w:p w14:paraId="5233E0DA">
      <w:pPr>
        <w:ind w:firstLine="480"/>
        <w:rPr>
          <w:rFonts w:ascii="Times New Roman" w:hAnsi="Times New Roman" w:cs="Times New Roman"/>
        </w:rPr>
      </w:pPr>
      <w:r>
        <w:rPr>
          <w:rFonts w:ascii="Times New Roman" w:hAnsi="Times New Roman" w:cs="Times New Roman"/>
        </w:rPr>
        <w:t>《混凝土结构耐久性设计标准》GBT50476-2019</w:t>
      </w:r>
    </w:p>
    <w:p w14:paraId="0C5C4721">
      <w:pPr>
        <w:ind w:firstLine="480"/>
        <w:rPr>
          <w:rFonts w:ascii="Times New Roman" w:hAnsi="Times New Roman" w:cs="Times New Roman"/>
        </w:rPr>
      </w:pPr>
      <w:r>
        <w:rPr>
          <w:rFonts w:ascii="Times New Roman" w:hAnsi="Times New Roman" w:cs="Times New Roman"/>
        </w:rPr>
        <w:t>《建筑基坑支护技术规程》JGJ120-2012</w:t>
      </w:r>
    </w:p>
    <w:p w14:paraId="56BCD5B0">
      <w:pPr>
        <w:ind w:firstLine="480"/>
        <w:rPr>
          <w:rFonts w:ascii="Times New Roman" w:hAnsi="Times New Roman" w:cs="Times New Roman"/>
        </w:rPr>
      </w:pPr>
      <w:r>
        <w:rPr>
          <w:rFonts w:ascii="Times New Roman" w:hAnsi="Times New Roman" w:cs="Times New Roman"/>
        </w:rPr>
        <w:t>《建筑地基基础设计规范》GB50007-2011</w:t>
      </w:r>
    </w:p>
    <w:p w14:paraId="68C34D0C">
      <w:pPr>
        <w:ind w:firstLine="480"/>
        <w:rPr>
          <w:rFonts w:ascii="Times New Roman" w:hAnsi="Times New Roman" w:cs="Times New Roman"/>
        </w:rPr>
      </w:pPr>
      <w:r>
        <w:rPr>
          <w:rFonts w:ascii="Times New Roman" w:hAnsi="Times New Roman" w:cs="Times New Roman"/>
        </w:rPr>
        <w:t>《建筑工程抗震设防分类标准》GB50223-2008</w:t>
      </w:r>
    </w:p>
    <w:p w14:paraId="17D14BF9">
      <w:pPr>
        <w:ind w:firstLine="480"/>
        <w:rPr>
          <w:rFonts w:ascii="Times New Roman" w:hAnsi="Times New Roman" w:cs="Times New Roman"/>
        </w:rPr>
      </w:pPr>
      <w:r>
        <w:rPr>
          <w:rFonts w:ascii="Times New Roman" w:hAnsi="Times New Roman" w:cs="Times New Roman"/>
        </w:rPr>
        <w:t>《室外给水排水和燃气热力工程抗震设计规范》GB50032-2003</w:t>
      </w:r>
    </w:p>
    <w:p w14:paraId="73FF8B00">
      <w:pPr>
        <w:ind w:firstLine="480"/>
        <w:rPr>
          <w:rFonts w:ascii="Times New Roman" w:hAnsi="Times New Roman" w:cs="Times New Roman"/>
        </w:rPr>
      </w:pPr>
      <w:r>
        <w:rPr>
          <w:rFonts w:ascii="Times New Roman" w:hAnsi="Times New Roman" w:cs="Times New Roman"/>
        </w:rPr>
        <w:t>《给水排水工程构筑物结构设计规范》GB50069-2002</w:t>
      </w:r>
    </w:p>
    <w:p w14:paraId="45B56020">
      <w:pPr>
        <w:pStyle w:val="4"/>
        <w:rPr>
          <w:rFonts w:ascii="Times New Roman" w:hAnsi="Times New Roman" w:cs="Times New Roman"/>
        </w:rPr>
      </w:pPr>
      <w:bookmarkStart w:id="31" w:name="_Toc185094260"/>
      <w:bookmarkStart w:id="32" w:name="_Toc38956971"/>
      <w:bookmarkStart w:id="33" w:name="_Toc4228"/>
      <w:r>
        <w:rPr>
          <w:rFonts w:ascii="Times New Roman" w:hAnsi="Times New Roman" w:cs="Times New Roman"/>
        </w:rPr>
        <w:t>相关维护规程</w:t>
      </w:r>
      <w:bookmarkEnd w:id="31"/>
      <w:bookmarkEnd w:id="32"/>
      <w:bookmarkEnd w:id="33"/>
    </w:p>
    <w:p w14:paraId="16F1B87B">
      <w:pPr>
        <w:ind w:firstLine="480"/>
        <w:rPr>
          <w:rFonts w:ascii="Times New Roman" w:hAnsi="Times New Roman" w:cs="Times New Roman"/>
        </w:rPr>
      </w:pPr>
      <w:r>
        <w:rPr>
          <w:rFonts w:ascii="Times New Roman" w:hAnsi="Times New Roman" w:cs="Times New Roman"/>
        </w:rPr>
        <w:t>《城镇排水管道维护安全技术规程》CJJ6-2009</w:t>
      </w:r>
    </w:p>
    <w:p w14:paraId="5598231B">
      <w:pPr>
        <w:ind w:firstLine="480"/>
        <w:rPr>
          <w:rFonts w:ascii="Times New Roman" w:hAnsi="Times New Roman" w:cs="Times New Roman"/>
        </w:rPr>
      </w:pPr>
      <w:r>
        <w:rPr>
          <w:rFonts w:ascii="Times New Roman" w:hAnsi="Times New Roman" w:cs="Times New Roman"/>
        </w:rPr>
        <w:t>《城镇排水管渠与泵站运行、维护及安全技术规程》CJJT68-2016</w:t>
      </w:r>
    </w:p>
    <w:p w14:paraId="16E29730">
      <w:pPr>
        <w:pStyle w:val="4"/>
        <w:rPr>
          <w:rFonts w:ascii="Times New Roman" w:hAnsi="Times New Roman" w:cs="Times New Roman"/>
        </w:rPr>
      </w:pPr>
      <w:bookmarkStart w:id="34" w:name="_Toc23667"/>
      <w:bookmarkStart w:id="35" w:name="_Toc38956972"/>
      <w:bookmarkStart w:id="36" w:name="_Toc185094261"/>
      <w:r>
        <w:rPr>
          <w:rFonts w:ascii="Times New Roman" w:hAnsi="Times New Roman" w:cs="Times New Roman"/>
        </w:rPr>
        <w:t>其他规范和标准</w:t>
      </w:r>
      <w:bookmarkEnd w:id="34"/>
      <w:bookmarkEnd w:id="35"/>
      <w:bookmarkEnd w:id="36"/>
    </w:p>
    <w:p w14:paraId="78E1984E">
      <w:pPr>
        <w:ind w:firstLine="480"/>
        <w:rPr>
          <w:rFonts w:ascii="Times New Roman" w:hAnsi="Times New Roman" w:cs="Times New Roman"/>
        </w:rPr>
      </w:pPr>
      <w:r>
        <w:rPr>
          <w:rFonts w:ascii="Times New Roman" w:hAnsi="Times New Roman" w:cs="Times New Roman"/>
        </w:rPr>
        <w:t>《市政公用工程设计文件编制深度规定》（2013.4）</w:t>
      </w:r>
    </w:p>
    <w:p w14:paraId="656608B0">
      <w:pPr>
        <w:ind w:firstLine="480"/>
        <w:rPr>
          <w:rFonts w:ascii="Times New Roman" w:hAnsi="Times New Roman" w:cs="Times New Roman"/>
        </w:rPr>
      </w:pPr>
      <w:r>
        <w:rPr>
          <w:rFonts w:ascii="Times New Roman" w:hAnsi="Times New Roman" w:cs="Times New Roman"/>
        </w:rPr>
        <w:t>《城市道路工程设计规范》CJJ37-2012</w:t>
      </w:r>
    </w:p>
    <w:p w14:paraId="4B35F260">
      <w:pPr>
        <w:ind w:firstLine="480"/>
        <w:rPr>
          <w:rFonts w:ascii="Times New Roman" w:hAnsi="Times New Roman" w:cs="Times New Roman"/>
        </w:rPr>
      </w:pPr>
      <w:r>
        <w:rPr>
          <w:rFonts w:ascii="Times New Roman" w:hAnsi="Times New Roman" w:cs="Times New Roman"/>
        </w:rPr>
        <w:t>《城市道路路线设计规范》CJJ193-2012</w:t>
      </w:r>
    </w:p>
    <w:p w14:paraId="1011B54F">
      <w:pPr>
        <w:ind w:firstLine="480"/>
        <w:rPr>
          <w:rFonts w:ascii="Times New Roman" w:hAnsi="Times New Roman" w:cs="Times New Roman"/>
        </w:rPr>
      </w:pPr>
      <w:r>
        <w:rPr>
          <w:rFonts w:ascii="Times New Roman" w:hAnsi="Times New Roman" w:cs="Times New Roman"/>
        </w:rPr>
        <w:t>《城镇道路路面设计规范》CJJ169-2012</w:t>
      </w:r>
    </w:p>
    <w:p w14:paraId="42E77F83">
      <w:pPr>
        <w:ind w:firstLine="480"/>
        <w:rPr>
          <w:rFonts w:ascii="Times New Roman" w:hAnsi="Times New Roman" w:cs="Times New Roman"/>
        </w:rPr>
      </w:pPr>
      <w:r>
        <w:rPr>
          <w:rFonts w:ascii="Times New Roman" w:hAnsi="Times New Roman" w:cs="Times New Roman"/>
        </w:rPr>
        <w:t>《城市道路路基设计规范》CJJ194-2013</w:t>
      </w:r>
    </w:p>
    <w:p w14:paraId="12AA3A9D">
      <w:pPr>
        <w:ind w:firstLine="480"/>
        <w:rPr>
          <w:rFonts w:ascii="Times New Roman" w:hAnsi="Times New Roman" w:cs="Times New Roman"/>
        </w:rPr>
      </w:pPr>
      <w:r>
        <w:rPr>
          <w:rFonts w:ascii="Times New Roman" w:hAnsi="Times New Roman" w:cs="Times New Roman"/>
        </w:rPr>
        <w:t>《城市道路交通设施设计规范》GB50688-2011</w:t>
      </w:r>
    </w:p>
    <w:p w14:paraId="08CC579B">
      <w:pPr>
        <w:ind w:firstLine="480"/>
        <w:rPr>
          <w:rFonts w:ascii="Times New Roman" w:hAnsi="Times New Roman" w:cs="Times New Roman"/>
        </w:rPr>
      </w:pPr>
      <w:r>
        <w:rPr>
          <w:rFonts w:ascii="Times New Roman" w:hAnsi="Times New Roman" w:cs="Times New Roman"/>
        </w:rPr>
        <w:t>《城市环境卫生设施规划标准》GB50337-2018</w:t>
      </w:r>
    </w:p>
    <w:p w14:paraId="33843CE6">
      <w:pPr>
        <w:ind w:firstLine="480"/>
        <w:rPr>
          <w:rFonts w:ascii="Times New Roman" w:hAnsi="Times New Roman" w:cs="Times New Roman"/>
        </w:rPr>
      </w:pPr>
      <w:r>
        <w:rPr>
          <w:rFonts w:ascii="Times New Roman" w:hAnsi="Times New Roman" w:cs="Times New Roman"/>
        </w:rPr>
        <w:t>《声环境质量标准》GB3096-2008</w:t>
      </w:r>
    </w:p>
    <w:p w14:paraId="7A8D65F2">
      <w:pPr>
        <w:ind w:firstLine="480"/>
        <w:rPr>
          <w:rFonts w:ascii="Times New Roman" w:hAnsi="Times New Roman" w:cs="Times New Roman"/>
        </w:rPr>
      </w:pPr>
      <w:r>
        <w:rPr>
          <w:rFonts w:ascii="Times New Roman" w:hAnsi="Times New Roman" w:cs="Times New Roman"/>
        </w:rPr>
        <w:t>《环境空气质量标准》GB3095-2012</w:t>
      </w:r>
    </w:p>
    <w:p w14:paraId="5C69B7FB">
      <w:pPr>
        <w:ind w:firstLine="480"/>
        <w:rPr>
          <w:rFonts w:ascii="Times New Roman" w:hAnsi="Times New Roman" w:cs="Times New Roman"/>
        </w:rPr>
      </w:pPr>
      <w:r>
        <w:rPr>
          <w:rFonts w:ascii="Times New Roman" w:hAnsi="Times New Roman" w:cs="Times New Roman"/>
        </w:rPr>
        <w:t>《城镇道路工程施工与质量验收规范》CJJ1-2008</w:t>
      </w:r>
    </w:p>
    <w:p w14:paraId="718A94F0">
      <w:pPr>
        <w:ind w:firstLine="480"/>
        <w:rPr>
          <w:rFonts w:ascii="Times New Roman" w:hAnsi="Times New Roman" w:cs="Times New Roman"/>
        </w:rPr>
      </w:pPr>
      <w:r>
        <w:rPr>
          <w:rFonts w:ascii="Times New Roman" w:hAnsi="Times New Roman" w:cs="Times New Roman"/>
        </w:rPr>
        <w:t>有关国家规范及行业规程、标准</w:t>
      </w:r>
    </w:p>
    <w:p w14:paraId="22E8398D">
      <w:pPr>
        <w:pStyle w:val="4"/>
        <w:rPr>
          <w:rFonts w:ascii="Times New Roman" w:hAnsi="Times New Roman" w:cs="Times New Roman"/>
        </w:rPr>
      </w:pPr>
      <w:bookmarkStart w:id="37" w:name="_Toc4978"/>
      <w:r>
        <w:rPr>
          <w:rFonts w:ascii="Times New Roman" w:hAnsi="Times New Roman" w:cs="Times New Roman"/>
        </w:rPr>
        <w:t>采用的标准图集</w:t>
      </w:r>
      <w:bookmarkEnd w:id="37"/>
    </w:p>
    <w:p w14:paraId="7463AB74">
      <w:pPr>
        <w:ind w:firstLine="480"/>
        <w:rPr>
          <w:rFonts w:ascii="Times New Roman" w:hAnsi="Times New Roman" w:cs="Times New Roman"/>
        </w:rPr>
      </w:pPr>
      <w:r>
        <w:rPr>
          <w:rFonts w:ascii="Times New Roman" w:hAnsi="Times New Roman" w:cs="Times New Roman"/>
        </w:rPr>
        <w:t>《市政给水管道工程及附属设施》07MS101</w:t>
      </w:r>
    </w:p>
    <w:p w14:paraId="197F5FFD">
      <w:pPr>
        <w:ind w:firstLine="480"/>
        <w:rPr>
          <w:rFonts w:ascii="Times New Roman" w:hAnsi="Times New Roman" w:cs="Times New Roman"/>
        </w:rPr>
      </w:pPr>
      <w:r>
        <w:rPr>
          <w:rFonts w:ascii="Times New Roman" w:hAnsi="Times New Roman" w:cs="Times New Roman"/>
        </w:rPr>
        <w:t>《市政排水管道工程及附属设施》06MS201</w:t>
      </w:r>
    </w:p>
    <w:p w14:paraId="1A382542">
      <w:pPr>
        <w:ind w:firstLine="480"/>
        <w:rPr>
          <w:rFonts w:ascii="Times New Roman" w:hAnsi="Times New Roman" w:cs="Times New Roman"/>
        </w:rPr>
      </w:pPr>
      <w:r>
        <w:rPr>
          <w:rFonts w:ascii="Times New Roman" w:hAnsi="Times New Roman" w:cs="Times New Roman"/>
        </w:rPr>
        <w:t>《钢筋混凝土及砖砌排水检查井》20S515</w:t>
      </w:r>
    </w:p>
    <w:p w14:paraId="4C38DB60">
      <w:pPr>
        <w:ind w:firstLine="480"/>
        <w:rPr>
          <w:rFonts w:ascii="Times New Roman" w:hAnsi="Times New Roman" w:cs="Times New Roman"/>
        </w:rPr>
      </w:pPr>
      <w:r>
        <w:rPr>
          <w:rFonts w:ascii="Times New Roman" w:hAnsi="Times New Roman" w:cs="Times New Roman"/>
        </w:rPr>
        <w:t>《雨水口》16S518</w:t>
      </w:r>
    </w:p>
    <w:p w14:paraId="64B9A3B8">
      <w:pPr>
        <w:ind w:firstLine="480"/>
        <w:rPr>
          <w:rFonts w:ascii="Times New Roman" w:hAnsi="Times New Roman" w:cs="Times New Roman"/>
        </w:rPr>
      </w:pPr>
      <w:r>
        <w:rPr>
          <w:rFonts w:ascii="Times New Roman" w:hAnsi="Times New Roman" w:cs="Times New Roman"/>
        </w:rPr>
        <w:t>《钢制管件》02S403</w:t>
      </w:r>
    </w:p>
    <w:p w14:paraId="20BE34E6">
      <w:pPr>
        <w:ind w:firstLine="480"/>
        <w:rPr>
          <w:rFonts w:ascii="Times New Roman" w:hAnsi="Times New Roman" w:cs="Times New Roman"/>
        </w:rPr>
      </w:pPr>
      <w:r>
        <w:rPr>
          <w:rFonts w:ascii="Times New Roman" w:hAnsi="Times New Roman" w:cs="Times New Roman"/>
        </w:rPr>
        <w:t>《防水套管》02S404</w:t>
      </w:r>
    </w:p>
    <w:p w14:paraId="752EFF98">
      <w:pPr>
        <w:ind w:firstLine="480"/>
        <w:rPr>
          <w:rFonts w:ascii="Times New Roman" w:hAnsi="Times New Roman" w:cs="Times New Roman"/>
        </w:rPr>
      </w:pPr>
      <w:r>
        <w:rPr>
          <w:rFonts w:ascii="Times New Roman" w:hAnsi="Times New Roman" w:cs="Times New Roman"/>
        </w:rPr>
        <w:t>《柔性接口给水管道支墩》10S505</w:t>
      </w:r>
    </w:p>
    <w:p w14:paraId="693D2E77">
      <w:pPr>
        <w:ind w:firstLine="480"/>
        <w:rPr>
          <w:rFonts w:ascii="Times New Roman" w:hAnsi="Times New Roman" w:cs="Times New Roman"/>
        </w:rPr>
      </w:pPr>
      <w:r>
        <w:rPr>
          <w:rFonts w:ascii="Times New Roman" w:hAnsi="Times New Roman" w:cs="Times New Roman"/>
        </w:rPr>
        <w:t>《建筑排水管道安装—塑料管道》19S406</w:t>
      </w:r>
    </w:p>
    <w:p w14:paraId="0B894EC5">
      <w:pPr>
        <w:pStyle w:val="4"/>
        <w:rPr>
          <w:rFonts w:ascii="Times New Roman" w:hAnsi="Times New Roman" w:cs="Times New Roman"/>
        </w:rPr>
      </w:pPr>
      <w:bookmarkStart w:id="38" w:name="_Toc14654"/>
      <w:r>
        <w:rPr>
          <w:rFonts w:ascii="Times New Roman" w:hAnsi="Times New Roman" w:cs="Times New Roman"/>
        </w:rPr>
        <w:t>施工验收规范</w:t>
      </w:r>
      <w:bookmarkEnd w:id="38"/>
    </w:p>
    <w:p w14:paraId="34BFF96A">
      <w:pPr>
        <w:ind w:firstLine="480"/>
        <w:rPr>
          <w:rFonts w:ascii="Times New Roman" w:hAnsi="Times New Roman" w:cs="Times New Roman"/>
        </w:rPr>
      </w:pPr>
      <w:r>
        <w:rPr>
          <w:rFonts w:ascii="Times New Roman" w:hAnsi="Times New Roman" w:cs="Times New Roman"/>
        </w:rPr>
        <w:t>《给水排水管道工程施工及验收规范》GB50268-2008</w:t>
      </w:r>
    </w:p>
    <w:p w14:paraId="6C0326EE">
      <w:pPr>
        <w:ind w:firstLine="480"/>
        <w:rPr>
          <w:rFonts w:ascii="Times New Roman" w:hAnsi="Times New Roman" w:cs="Times New Roman"/>
        </w:rPr>
      </w:pPr>
      <w:r>
        <w:rPr>
          <w:rFonts w:ascii="Times New Roman" w:hAnsi="Times New Roman" w:cs="Times New Roman"/>
        </w:rPr>
        <w:t>《工业金属管道工程施工规范》GB50235-2010</w:t>
      </w:r>
    </w:p>
    <w:p w14:paraId="206220A5">
      <w:pPr>
        <w:ind w:firstLine="480"/>
        <w:rPr>
          <w:rFonts w:ascii="Times New Roman" w:hAnsi="Times New Roman" w:cs="Times New Roman"/>
        </w:rPr>
      </w:pPr>
      <w:r>
        <w:rPr>
          <w:rFonts w:ascii="Times New Roman" w:hAnsi="Times New Roman" w:cs="Times New Roman"/>
        </w:rPr>
        <w:t>《工业金属管道工程施工质量验收规范》GB50184-2011</w:t>
      </w:r>
    </w:p>
    <w:p w14:paraId="559D664C">
      <w:pPr>
        <w:ind w:firstLine="480"/>
        <w:rPr>
          <w:rFonts w:ascii="Times New Roman" w:hAnsi="Times New Roman" w:cs="Times New Roman"/>
        </w:rPr>
      </w:pPr>
      <w:r>
        <w:rPr>
          <w:rFonts w:ascii="Times New Roman" w:hAnsi="Times New Roman" w:cs="Times New Roman"/>
        </w:rPr>
        <w:t>《现场设备、工业管道焊接工程施工规范》GB50236-2011</w:t>
      </w:r>
    </w:p>
    <w:p w14:paraId="61D1E97F">
      <w:pPr>
        <w:ind w:firstLine="480"/>
        <w:rPr>
          <w:rFonts w:ascii="Times New Roman" w:hAnsi="Times New Roman" w:cs="Times New Roman"/>
        </w:rPr>
      </w:pPr>
      <w:r>
        <w:rPr>
          <w:rFonts w:ascii="Times New Roman" w:hAnsi="Times New Roman" w:cs="Times New Roman"/>
        </w:rPr>
        <w:t>《现场设备、工业管道焊接工程施工质量验收规范》GB50683-2011</w:t>
      </w:r>
    </w:p>
    <w:p w14:paraId="05F438BE">
      <w:pPr>
        <w:ind w:firstLine="480"/>
        <w:rPr>
          <w:rFonts w:ascii="Times New Roman" w:hAnsi="Times New Roman" w:cs="Times New Roman"/>
        </w:rPr>
      </w:pPr>
      <w:r>
        <w:rPr>
          <w:rFonts w:ascii="Times New Roman" w:hAnsi="Times New Roman" w:cs="Times New Roman"/>
        </w:rPr>
        <w:t>《承压设备无损检测第1部分：通用要求》NB/T47013.1-2015</w:t>
      </w:r>
    </w:p>
    <w:p w14:paraId="61FE195F">
      <w:pPr>
        <w:ind w:firstLine="480"/>
        <w:rPr>
          <w:rFonts w:ascii="Times New Roman" w:hAnsi="Times New Roman" w:cs="Times New Roman"/>
        </w:rPr>
      </w:pPr>
      <w:r>
        <w:rPr>
          <w:rFonts w:ascii="Times New Roman" w:hAnsi="Times New Roman" w:cs="Times New Roman"/>
        </w:rPr>
        <w:t>《承压设备无损检测第2部分：射线检测》NB/T47013.2-2015</w:t>
      </w:r>
    </w:p>
    <w:p w14:paraId="64C63095">
      <w:pPr>
        <w:ind w:firstLine="480"/>
        <w:rPr>
          <w:rFonts w:ascii="Times New Roman" w:hAnsi="Times New Roman" w:cs="Times New Roman"/>
        </w:rPr>
      </w:pPr>
      <w:r>
        <w:rPr>
          <w:rFonts w:ascii="Times New Roman" w:hAnsi="Times New Roman" w:cs="Times New Roman"/>
        </w:rPr>
        <w:t>《承压设备无损检测第3部分：超声检测》NB/T47013.3-2023</w:t>
      </w:r>
    </w:p>
    <w:p w14:paraId="56001A87">
      <w:pPr>
        <w:ind w:firstLine="480"/>
        <w:rPr>
          <w:rFonts w:ascii="Times New Roman" w:hAnsi="Times New Roman" w:cs="Times New Roman"/>
        </w:rPr>
      </w:pPr>
      <w:r>
        <w:rPr>
          <w:rFonts w:ascii="Times New Roman" w:hAnsi="Times New Roman" w:cs="Times New Roman"/>
        </w:rPr>
        <w:t>《涂覆涂料前钢材表面处理　表面清洁度的目视评定　第1部分：未涂覆过的钢材表面和全面清除原有涂层后的钢材表面的锈蚀等级和处理等级》GB/T8923.1-2011</w:t>
      </w:r>
    </w:p>
    <w:p w14:paraId="4559008D">
      <w:pPr>
        <w:ind w:firstLine="480"/>
        <w:rPr>
          <w:rFonts w:ascii="Times New Roman" w:hAnsi="Times New Roman" w:cs="Times New Roman"/>
        </w:rPr>
      </w:pPr>
      <w:r>
        <w:rPr>
          <w:rFonts w:ascii="Times New Roman" w:hAnsi="Times New Roman" w:cs="Times New Roman"/>
        </w:rPr>
        <w:t>《涂覆涂料前钢材表面处理表面清洁度的目视评定第2部分:已涂覆过的钢材表面局部清除原有涂层后的处理等级》GB/T8923.2-2008</w:t>
      </w:r>
    </w:p>
    <w:p w14:paraId="6A615080">
      <w:pPr>
        <w:ind w:firstLine="480"/>
        <w:rPr>
          <w:rFonts w:ascii="Times New Roman" w:hAnsi="Times New Roman" w:cs="Times New Roman"/>
        </w:rPr>
      </w:pPr>
      <w:r>
        <w:rPr>
          <w:rFonts w:ascii="Times New Roman" w:hAnsi="Times New Roman" w:cs="Times New Roman"/>
        </w:rPr>
        <w:t>《涂覆涂料前钢材表面处理表面清洁度的目视评定第3部分：焊缝、边缘和其他区域的表面缺陷的处理等级》GB/T8923.3-2009</w:t>
      </w:r>
    </w:p>
    <w:p w14:paraId="04888285">
      <w:pPr>
        <w:ind w:firstLine="480"/>
        <w:rPr>
          <w:rFonts w:ascii="Times New Roman" w:hAnsi="Times New Roman" w:cs="Times New Roman"/>
        </w:rPr>
      </w:pPr>
      <w:r>
        <w:rPr>
          <w:rFonts w:ascii="Times New Roman" w:hAnsi="Times New Roman" w:cs="Times New Roman"/>
        </w:rPr>
        <w:t>其它国家现行的相关行业、设备施工及验收规范</w:t>
      </w:r>
    </w:p>
    <w:p w14:paraId="32ED9085">
      <w:pPr>
        <w:pStyle w:val="3"/>
        <w:rPr>
          <w:rFonts w:ascii="Times New Roman" w:hAnsi="Times New Roman" w:cs="Times New Roman"/>
        </w:rPr>
      </w:pPr>
      <w:bookmarkStart w:id="39" w:name="_Toc22000"/>
      <w:r>
        <w:rPr>
          <w:rFonts w:ascii="Times New Roman" w:hAnsi="Times New Roman" w:cs="Times New Roman"/>
        </w:rPr>
        <w:t>地勘报告</w:t>
      </w:r>
      <w:bookmarkEnd w:id="39"/>
    </w:p>
    <w:p w14:paraId="09BAF0ED">
      <w:pPr>
        <w:pStyle w:val="4"/>
        <w:rPr>
          <w:rFonts w:ascii="Times New Roman" w:hAnsi="Times New Roman" w:cs="Times New Roman"/>
        </w:rPr>
      </w:pPr>
      <w:bookmarkStart w:id="40" w:name="_Toc19018"/>
      <w:r>
        <w:rPr>
          <w:rFonts w:ascii="Times New Roman" w:hAnsi="Times New Roman" w:cs="Times New Roman"/>
        </w:rPr>
        <w:t>场地工程地质条件</w:t>
      </w:r>
      <w:bookmarkEnd w:id="40"/>
    </w:p>
    <w:p w14:paraId="24AF42BC">
      <w:pPr>
        <w:pStyle w:val="5"/>
        <w:rPr>
          <w:rFonts w:ascii="Times New Roman" w:hAnsi="Times New Roman" w:cs="Times New Roman"/>
        </w:rPr>
      </w:pPr>
      <w:r>
        <w:rPr>
          <w:rFonts w:ascii="Times New Roman" w:hAnsi="Times New Roman" w:cs="Times New Roman"/>
        </w:rPr>
        <w:t>地层岩性及野外特征</w:t>
      </w:r>
    </w:p>
    <w:p w14:paraId="4DE66C67">
      <w:pPr>
        <w:ind w:firstLine="480"/>
        <w:rPr>
          <w:rFonts w:ascii="Times New Roman" w:hAnsi="Times New Roman" w:cs="Times New Roman"/>
        </w:rPr>
      </w:pPr>
      <w:r>
        <w:rPr>
          <w:rFonts w:ascii="Times New Roman" w:hAnsi="Times New Roman" w:cs="Times New Roman"/>
        </w:rPr>
        <w:t>1、第四系人工填土（Qml）杂填土</w:t>
      </w:r>
      <w:r>
        <w:rPr>
          <w:rFonts w:hint="eastAsia" w:ascii="宋体" w:hAnsi="宋体" w:eastAsia="宋体" w:cs="宋体"/>
        </w:rPr>
        <w:t>①</w:t>
      </w:r>
      <w:r>
        <w:rPr>
          <w:rFonts w:ascii="Times New Roman" w:hAnsi="Times New Roman" w:cs="Times New Roman"/>
        </w:rPr>
        <w:t>1</w:t>
      </w:r>
    </w:p>
    <w:p w14:paraId="1AD47332">
      <w:pPr>
        <w:ind w:firstLine="480"/>
        <w:rPr>
          <w:rFonts w:ascii="Times New Roman" w:hAnsi="Times New Roman" w:cs="Times New Roman"/>
        </w:rPr>
      </w:pPr>
      <w:r>
        <w:rPr>
          <w:rFonts w:ascii="Times New Roman" w:hAnsi="Times New Roman" w:cs="Times New Roman"/>
        </w:rPr>
        <w:t>杂填土</w:t>
      </w:r>
      <w:r>
        <w:rPr>
          <w:rFonts w:hint="eastAsia" w:ascii="宋体" w:hAnsi="宋体" w:eastAsia="宋体" w:cs="宋体"/>
        </w:rPr>
        <w:t>①</w:t>
      </w:r>
      <w:r>
        <w:rPr>
          <w:rFonts w:ascii="Times New Roman" w:hAnsi="Times New Roman" w:cs="Times New Roman"/>
        </w:rPr>
        <w:t>1：褐黄色、杂色，主要由粘性土及角砾组成，含少量建筑垃圾、稍湿，松散，不均匀。成分复杂均匀性差，浸水后不具湿陷性。填土来源属邻近场地的冲积黏性土挖填后堆积及道路路基，局部上部含30cm混凝土，堆填时间约5年左右，部分经夯实及压实，属高压缩性土。</w:t>
      </w:r>
    </w:p>
    <w:p w14:paraId="545B0E35">
      <w:pPr>
        <w:ind w:firstLine="480"/>
        <w:rPr>
          <w:rFonts w:ascii="Times New Roman" w:hAnsi="Times New Roman" w:cs="Times New Roman"/>
        </w:rPr>
      </w:pPr>
      <w:r>
        <w:rPr>
          <w:rFonts w:ascii="Times New Roman" w:hAnsi="Times New Roman" w:cs="Times New Roman"/>
        </w:rPr>
        <w:t>本层做重型动力触探870cm，实测锤击数N120=2～4击，杆长修正后平均击数=2.28击，标准值为2.2击。</w:t>
      </w:r>
    </w:p>
    <w:p w14:paraId="4AEC0FDD">
      <w:pPr>
        <w:ind w:firstLine="480"/>
        <w:rPr>
          <w:rFonts w:ascii="Times New Roman" w:hAnsi="Times New Roman" w:cs="Times New Roman"/>
        </w:rPr>
      </w:pPr>
      <w:r>
        <w:rPr>
          <w:rFonts w:ascii="Times New Roman" w:hAnsi="Times New Roman" w:cs="Times New Roman"/>
        </w:rPr>
        <w:t>此层在场地大部分钻孔内有揭示，层厚0.8m～6.5m。</w:t>
      </w:r>
    </w:p>
    <w:p w14:paraId="5AD97E6F">
      <w:pPr>
        <w:ind w:firstLine="480"/>
        <w:rPr>
          <w:rFonts w:ascii="Times New Roman" w:hAnsi="Times New Roman" w:cs="Times New Roman"/>
        </w:rPr>
      </w:pPr>
      <w:r>
        <w:rPr>
          <w:rFonts w:ascii="Times New Roman" w:hAnsi="Times New Roman" w:cs="Times New Roman"/>
        </w:rPr>
        <w:t>2、第四系植物层（Qpd）耕土</w:t>
      </w:r>
      <w:r>
        <w:rPr>
          <w:rFonts w:hint="eastAsia" w:ascii="宋体" w:hAnsi="宋体" w:eastAsia="宋体" w:cs="宋体"/>
        </w:rPr>
        <w:t>①</w:t>
      </w:r>
      <w:r>
        <w:rPr>
          <w:rFonts w:ascii="Times New Roman" w:hAnsi="Times New Roman" w:cs="Times New Roman"/>
        </w:rPr>
        <w:t>2</w:t>
      </w:r>
    </w:p>
    <w:p w14:paraId="49A70BE7">
      <w:pPr>
        <w:ind w:firstLine="480"/>
        <w:rPr>
          <w:rFonts w:ascii="Times New Roman" w:hAnsi="Times New Roman" w:cs="Times New Roman"/>
        </w:rPr>
      </w:pPr>
      <w:r>
        <w:rPr>
          <w:rFonts w:ascii="Times New Roman" w:hAnsi="Times New Roman" w:cs="Times New Roman"/>
        </w:rPr>
        <w:t>耕土</w:t>
      </w:r>
      <w:r>
        <w:rPr>
          <w:rFonts w:hint="eastAsia" w:ascii="宋体" w:hAnsi="宋体" w:eastAsia="宋体" w:cs="宋体"/>
        </w:rPr>
        <w:t>①</w:t>
      </w:r>
      <w:r>
        <w:rPr>
          <w:rFonts w:ascii="Times New Roman" w:hAnsi="Times New Roman" w:cs="Times New Roman"/>
        </w:rPr>
        <w:t>2：黄色、杂色，主要由粘性土及角砾组成、含植物根茎，稍湿，松散，不均匀，浸水后不具湿陷性，堆填时间约3年左右，属高压缩性土。</w:t>
      </w:r>
    </w:p>
    <w:p w14:paraId="19DEE097">
      <w:pPr>
        <w:ind w:firstLine="480"/>
        <w:rPr>
          <w:rFonts w:ascii="Times New Roman" w:hAnsi="Times New Roman" w:cs="Times New Roman"/>
        </w:rPr>
      </w:pPr>
      <w:r>
        <w:rPr>
          <w:rFonts w:ascii="Times New Roman" w:hAnsi="Times New Roman" w:cs="Times New Roman"/>
        </w:rPr>
        <w:t>此层在场地部分钻孔内有揭示，层厚1.6m～2.6m。</w:t>
      </w:r>
    </w:p>
    <w:p w14:paraId="5CB42775">
      <w:pPr>
        <w:ind w:firstLine="480"/>
        <w:rPr>
          <w:rFonts w:ascii="Times New Roman" w:hAnsi="Times New Roman" w:cs="Times New Roman"/>
        </w:rPr>
      </w:pPr>
      <w:r>
        <w:rPr>
          <w:rFonts w:ascii="Times New Roman" w:hAnsi="Times New Roman" w:cs="Times New Roman"/>
        </w:rPr>
        <w:t>3、第四系全新统冲积层（Q4al）</w:t>
      </w:r>
    </w:p>
    <w:p w14:paraId="14FDB780">
      <w:pPr>
        <w:ind w:firstLine="480"/>
        <w:rPr>
          <w:rFonts w:ascii="Times New Roman" w:hAnsi="Times New Roman" w:cs="Times New Roman"/>
        </w:rPr>
      </w:pPr>
      <w:r>
        <w:rPr>
          <w:rFonts w:ascii="Times New Roman" w:hAnsi="Times New Roman" w:cs="Times New Roman"/>
        </w:rPr>
        <w:t>黏土</w:t>
      </w:r>
      <w:r>
        <w:rPr>
          <w:rFonts w:hint="eastAsia" w:ascii="宋体" w:hAnsi="宋体" w:eastAsia="宋体" w:cs="宋体"/>
        </w:rPr>
        <w:t>②</w:t>
      </w:r>
      <w:r>
        <w:rPr>
          <w:rFonts w:ascii="Times New Roman" w:hAnsi="Times New Roman" w:cs="Times New Roman"/>
        </w:rPr>
        <w:t>1：黄褐色、棕黄色等，硬塑状态、粘性好，无摇振反应，干强度高，韧性高，土质均匀，手感滑腻，刀切面光滑，土体结构致密。</w:t>
      </w:r>
    </w:p>
    <w:p w14:paraId="17890C3B">
      <w:pPr>
        <w:ind w:firstLine="480"/>
        <w:rPr>
          <w:rFonts w:ascii="Times New Roman" w:hAnsi="Times New Roman" w:cs="Times New Roman"/>
        </w:rPr>
      </w:pPr>
      <w:r>
        <w:rPr>
          <w:rFonts w:ascii="Times New Roman" w:hAnsi="Times New Roman" w:cs="Times New Roman"/>
        </w:rPr>
        <w:t>本层做标准贯入试验41段（次），实测锤击数N=7～9击，杆长修正后平均击数=6.68击，标准值为6.5击。</w:t>
      </w:r>
    </w:p>
    <w:p w14:paraId="6FEBCEA1">
      <w:pPr>
        <w:ind w:firstLine="480"/>
        <w:rPr>
          <w:rFonts w:ascii="Times New Roman" w:hAnsi="Times New Roman" w:cs="Times New Roman"/>
        </w:rPr>
      </w:pPr>
      <w:r>
        <w:rPr>
          <w:rFonts w:ascii="Times New Roman" w:hAnsi="Times New Roman" w:cs="Times New Roman"/>
        </w:rPr>
        <w:t>此层在场地大部分钻孔内有揭示，层厚0.9m～13.4m。</w:t>
      </w:r>
    </w:p>
    <w:p w14:paraId="14AA4064">
      <w:pPr>
        <w:ind w:firstLine="480"/>
        <w:rPr>
          <w:rFonts w:ascii="Times New Roman" w:hAnsi="Times New Roman" w:cs="Times New Roman"/>
        </w:rPr>
      </w:pPr>
      <w:r>
        <w:rPr>
          <w:rFonts w:ascii="Times New Roman" w:hAnsi="Times New Roman" w:cs="Times New Roman"/>
        </w:rPr>
        <w:t>黏土</w:t>
      </w:r>
      <w:r>
        <w:rPr>
          <w:rFonts w:hint="eastAsia" w:ascii="宋体" w:hAnsi="宋体" w:eastAsia="宋体" w:cs="宋体"/>
        </w:rPr>
        <w:t>②</w:t>
      </w:r>
      <w:r>
        <w:rPr>
          <w:rFonts w:ascii="Times New Roman" w:hAnsi="Times New Roman" w:cs="Times New Roman"/>
        </w:rPr>
        <w:t>2：黄褐色，稍湿-湿，可塑状，干强度较高，韧性较高，摇振无反应，切面光滑，有光泽，局部夹杂少量黑色铁锰质结核，层底局部位置夹杂少量风化石灰岩碎块。</w:t>
      </w:r>
    </w:p>
    <w:p w14:paraId="1C1C38CC">
      <w:pPr>
        <w:ind w:firstLine="480"/>
        <w:rPr>
          <w:rFonts w:ascii="Times New Roman" w:hAnsi="Times New Roman" w:cs="Times New Roman"/>
        </w:rPr>
      </w:pPr>
      <w:r>
        <w:rPr>
          <w:rFonts w:ascii="Times New Roman" w:hAnsi="Times New Roman" w:cs="Times New Roman"/>
        </w:rPr>
        <w:t>本层做标准贯入试验14段（次），实测锤击数N=4～6击，杆长修正后平均击数=5.05击，标准值为4.8击。</w:t>
      </w:r>
    </w:p>
    <w:p w14:paraId="04969C9C">
      <w:pPr>
        <w:ind w:firstLine="480"/>
        <w:rPr>
          <w:rFonts w:ascii="Times New Roman" w:hAnsi="Times New Roman" w:cs="Times New Roman"/>
        </w:rPr>
      </w:pPr>
      <w:r>
        <w:rPr>
          <w:rFonts w:ascii="Times New Roman" w:hAnsi="Times New Roman" w:cs="Times New Roman"/>
        </w:rPr>
        <w:t>此层在场地部分钻孔内有揭示，层厚0.8～10.3m。</w:t>
      </w:r>
    </w:p>
    <w:p w14:paraId="7CCBD529">
      <w:pPr>
        <w:ind w:firstLine="480"/>
        <w:rPr>
          <w:rFonts w:ascii="Times New Roman" w:hAnsi="Times New Roman" w:cs="Times New Roman"/>
        </w:rPr>
      </w:pPr>
      <w:r>
        <w:rPr>
          <w:rFonts w:ascii="Times New Roman" w:hAnsi="Times New Roman" w:cs="Times New Roman"/>
        </w:rPr>
        <w:t>4、第四系全新统沼泽沉积层（Q4h）</w:t>
      </w:r>
    </w:p>
    <w:p w14:paraId="1CDCE156">
      <w:pPr>
        <w:ind w:firstLine="480"/>
        <w:rPr>
          <w:rFonts w:ascii="Times New Roman" w:hAnsi="Times New Roman" w:cs="Times New Roman"/>
        </w:rPr>
      </w:pPr>
      <w:r>
        <w:rPr>
          <w:rFonts w:ascii="Times New Roman" w:hAnsi="Times New Roman" w:cs="Times New Roman"/>
        </w:rPr>
        <w:t>淤泥</w:t>
      </w:r>
      <w:r>
        <w:rPr>
          <w:rFonts w:hint="eastAsia" w:ascii="宋体" w:hAnsi="宋体" w:eastAsia="宋体" w:cs="宋体"/>
        </w:rPr>
        <w:t>③</w:t>
      </w:r>
      <w:r>
        <w:rPr>
          <w:rFonts w:ascii="Times New Roman" w:hAnsi="Times New Roman" w:cs="Times New Roman"/>
        </w:rPr>
        <w:t>：灰黑色，灰褐色，软塑状，含粉粒，分布不均，局部含量高，切面稍光滑，干强度低、韧性中等，无摇震反应。</w:t>
      </w:r>
    </w:p>
    <w:p w14:paraId="792A2621">
      <w:pPr>
        <w:ind w:firstLine="480"/>
        <w:rPr>
          <w:rFonts w:ascii="Times New Roman" w:hAnsi="Times New Roman" w:cs="Times New Roman"/>
        </w:rPr>
      </w:pPr>
      <w:r>
        <w:rPr>
          <w:rFonts w:ascii="Times New Roman" w:hAnsi="Times New Roman" w:cs="Times New Roman"/>
        </w:rPr>
        <w:t>本层做标准贯入试验6段（次），实测锤击数N=3～4击，杆长修正后平均击数=3.24击，标准值为2.8击。</w:t>
      </w:r>
    </w:p>
    <w:p w14:paraId="6A8038AF">
      <w:pPr>
        <w:ind w:firstLine="480"/>
        <w:rPr>
          <w:rFonts w:ascii="Times New Roman" w:hAnsi="Times New Roman" w:cs="Times New Roman"/>
        </w:rPr>
      </w:pPr>
      <w:r>
        <w:rPr>
          <w:rFonts w:ascii="Times New Roman" w:hAnsi="Times New Roman" w:cs="Times New Roman"/>
        </w:rPr>
        <w:t>此层在场地部分钻孔内有揭示，层厚1.0m～3.2m。</w:t>
      </w:r>
    </w:p>
    <w:p w14:paraId="0A94CBAC">
      <w:pPr>
        <w:ind w:firstLine="480"/>
        <w:rPr>
          <w:rFonts w:ascii="Times New Roman" w:hAnsi="Times New Roman" w:cs="Times New Roman"/>
        </w:rPr>
      </w:pPr>
      <w:r>
        <w:rPr>
          <w:rFonts w:ascii="Times New Roman" w:hAnsi="Times New Roman" w:cs="Times New Roman"/>
        </w:rPr>
        <w:t>5、第四系全新统冲洪积层（Q4al+pl）</w:t>
      </w:r>
    </w:p>
    <w:p w14:paraId="069443FA">
      <w:pPr>
        <w:ind w:firstLine="480"/>
        <w:rPr>
          <w:rFonts w:ascii="Times New Roman" w:hAnsi="Times New Roman" w:cs="Times New Roman"/>
        </w:rPr>
      </w:pPr>
      <w:r>
        <w:rPr>
          <w:rFonts w:ascii="Times New Roman" w:hAnsi="Times New Roman" w:cs="Times New Roman"/>
        </w:rPr>
        <w:t>漂石</w:t>
      </w:r>
      <w:r>
        <w:rPr>
          <w:rFonts w:hint="eastAsia" w:ascii="宋体" w:hAnsi="宋体" w:eastAsia="宋体" w:cs="宋体"/>
        </w:rPr>
        <w:t>④</w:t>
      </w:r>
      <w:r>
        <w:rPr>
          <w:rFonts w:ascii="Times New Roman" w:hAnsi="Times New Roman" w:cs="Times New Roman"/>
        </w:rPr>
        <w:t>：黄灰、灰色、褐灰色等杂色，松散状至稍密状，饱和，颗粒级配较好，主要由漂石及粘土组成。漂石母岩以石灰岩为主，漂石直径一般在20—300mm之间，磨圆度较好，为亚圆、圆状，表面光滑，排列无序，含量一般在40～50%之间。漂石间充填物以可塑黏土含量约30%。</w:t>
      </w:r>
    </w:p>
    <w:p w14:paraId="0EBA3C70">
      <w:pPr>
        <w:ind w:firstLine="480"/>
        <w:rPr>
          <w:rFonts w:ascii="Times New Roman" w:hAnsi="Times New Roman" w:cs="Times New Roman"/>
        </w:rPr>
      </w:pPr>
      <w:r>
        <w:rPr>
          <w:rFonts w:ascii="Times New Roman" w:hAnsi="Times New Roman" w:cs="Times New Roman"/>
        </w:rPr>
        <w:t>本层做超重型动力触探270cm，实测锤击数N120=5～7击，杆长修正后平均击数=3.66击，标准值为3.5击。</w:t>
      </w:r>
    </w:p>
    <w:p w14:paraId="3650D159">
      <w:pPr>
        <w:ind w:firstLine="480"/>
        <w:rPr>
          <w:rFonts w:ascii="Times New Roman" w:hAnsi="Times New Roman" w:cs="Times New Roman"/>
        </w:rPr>
      </w:pPr>
      <w:r>
        <w:rPr>
          <w:rFonts w:ascii="Times New Roman" w:hAnsi="Times New Roman" w:cs="Times New Roman"/>
        </w:rPr>
        <w:t>此层在场地部分钻孔内有揭示，层厚1.3m～7.0m。</w:t>
      </w:r>
    </w:p>
    <w:p w14:paraId="2320C133">
      <w:pPr>
        <w:ind w:firstLine="480"/>
        <w:rPr>
          <w:rFonts w:ascii="Times New Roman" w:hAnsi="Times New Roman" w:cs="Times New Roman"/>
        </w:rPr>
      </w:pPr>
      <w:r>
        <w:rPr>
          <w:rFonts w:ascii="Times New Roman" w:hAnsi="Times New Roman" w:cs="Times New Roman"/>
        </w:rPr>
        <w:t>6、石炭系（C）石灰岩</w:t>
      </w:r>
    </w:p>
    <w:p w14:paraId="07713C42">
      <w:pPr>
        <w:ind w:firstLine="480"/>
        <w:rPr>
          <w:rFonts w:ascii="Times New Roman" w:hAnsi="Times New Roman" w:cs="Times New Roman"/>
        </w:rPr>
      </w:pPr>
      <w:r>
        <w:rPr>
          <w:rFonts w:ascii="Times New Roman" w:hAnsi="Times New Roman" w:cs="Times New Roman"/>
        </w:rPr>
        <w:t>石灰岩</w:t>
      </w:r>
      <w:r>
        <w:rPr>
          <w:rFonts w:hint="eastAsia" w:ascii="宋体" w:hAnsi="宋体" w:eastAsia="宋体" w:cs="宋体"/>
        </w:rPr>
        <w:t>⑤</w:t>
      </w:r>
      <w:r>
        <w:rPr>
          <w:rFonts w:ascii="Times New Roman" w:hAnsi="Times New Roman" w:cs="Times New Roman"/>
        </w:rPr>
        <w:t>：灰色、灰白色，中厚层状构造，隐晶质结构，呈中风化状，岩石结构基本完整，节理较发育，成分主要以方解石为主。岩芯较完整。岩芯呈短柱状—柱状。回转钻进进尺困难，该层采取率87%，RQD=75%。岩石坚硬程度属较硬岩，岩体完整程度属较完整，岩体基本质量等级为III级。</w:t>
      </w:r>
    </w:p>
    <w:p w14:paraId="79A588F3">
      <w:pPr>
        <w:ind w:firstLine="480"/>
        <w:rPr>
          <w:rFonts w:ascii="Times New Roman" w:hAnsi="Times New Roman" w:cs="Times New Roman"/>
        </w:rPr>
      </w:pPr>
      <w:r>
        <w:rPr>
          <w:rFonts w:ascii="Times New Roman" w:hAnsi="Times New Roman" w:cs="Times New Roman"/>
        </w:rPr>
        <w:t>此层在场地钻孔内均有揭示，层厚1.0m～6.0m。</w:t>
      </w:r>
    </w:p>
    <w:p w14:paraId="3FC3EEA5">
      <w:pPr>
        <w:ind w:firstLine="480"/>
        <w:rPr>
          <w:rFonts w:ascii="Times New Roman" w:hAnsi="Times New Roman" w:cs="Times New Roman"/>
        </w:rPr>
      </w:pPr>
      <w:r>
        <w:rPr>
          <w:rFonts w:ascii="Times New Roman" w:hAnsi="Times New Roman" w:cs="Times New Roman"/>
        </w:rPr>
        <w:t>此层未揭穿，揭露最大厚度6.0m。</w:t>
      </w:r>
    </w:p>
    <w:p w14:paraId="4A47C010">
      <w:pPr>
        <w:pStyle w:val="4"/>
        <w:rPr>
          <w:rFonts w:ascii="Times New Roman" w:hAnsi="Times New Roman" w:cs="Times New Roman"/>
        </w:rPr>
      </w:pPr>
      <w:bookmarkStart w:id="41" w:name="_Toc25102"/>
      <w:bookmarkStart w:id="42" w:name="_Toc28637"/>
      <w:r>
        <w:rPr>
          <w:rFonts w:ascii="Times New Roman" w:hAnsi="Times New Roman" w:cs="Times New Roman"/>
        </w:rPr>
        <w:t>水文地质</w:t>
      </w:r>
      <w:bookmarkEnd w:id="41"/>
      <w:bookmarkEnd w:id="42"/>
    </w:p>
    <w:p w14:paraId="062AAEBB">
      <w:pPr>
        <w:pStyle w:val="5"/>
        <w:rPr>
          <w:rFonts w:ascii="Times New Roman" w:hAnsi="Times New Roman" w:cs="Times New Roman"/>
        </w:rPr>
      </w:pPr>
      <w:bookmarkStart w:id="43" w:name="_Toc27508"/>
      <w:bookmarkStart w:id="44" w:name="_Toc5637"/>
      <w:r>
        <w:rPr>
          <w:rFonts w:ascii="Times New Roman" w:hAnsi="Times New Roman" w:cs="Times New Roman"/>
        </w:rPr>
        <w:t>水文地质</w:t>
      </w:r>
      <w:bookmarkEnd w:id="43"/>
      <w:bookmarkEnd w:id="44"/>
    </w:p>
    <w:p w14:paraId="1F59776D">
      <w:pPr>
        <w:ind w:firstLine="480"/>
        <w:rPr>
          <w:rFonts w:ascii="Times New Roman" w:hAnsi="Times New Roman" w:cs="Times New Roman"/>
        </w:rPr>
      </w:pPr>
      <w:r>
        <w:rPr>
          <w:rFonts w:ascii="Times New Roman" w:hAnsi="Times New Roman" w:cs="Times New Roman"/>
        </w:rPr>
        <w:t>1、地表水</w:t>
      </w:r>
    </w:p>
    <w:p w14:paraId="3EEC146C">
      <w:pPr>
        <w:ind w:firstLine="480"/>
        <w:rPr>
          <w:rFonts w:ascii="Times New Roman" w:hAnsi="Times New Roman" w:cs="Times New Roman"/>
        </w:rPr>
      </w:pPr>
      <w:r>
        <w:rPr>
          <w:rFonts w:ascii="Times New Roman" w:hAnsi="Times New Roman" w:cs="Times New Roman"/>
        </w:rPr>
        <w:t>防洪警戒水位标高130m, 与本场地最近处相距约500m。场地部分区域地势较底，大洪季节有受到洪水侵害的情况。（2）勘察期间场地及附近未发现有其他地表水。</w:t>
      </w:r>
    </w:p>
    <w:p w14:paraId="245F6AF0">
      <w:pPr>
        <w:ind w:firstLine="480"/>
        <w:rPr>
          <w:rFonts w:ascii="Times New Roman" w:hAnsi="Times New Roman" w:cs="Times New Roman"/>
        </w:rPr>
      </w:pPr>
      <w:r>
        <w:rPr>
          <w:rFonts w:ascii="Times New Roman" w:hAnsi="Times New Roman" w:cs="Times New Roman"/>
        </w:rPr>
        <w:t>2、地下水</w:t>
      </w:r>
    </w:p>
    <w:p w14:paraId="2EF894BF">
      <w:pPr>
        <w:ind w:firstLine="480"/>
        <w:rPr>
          <w:rFonts w:ascii="Times New Roman" w:hAnsi="Times New Roman" w:cs="Times New Roman"/>
        </w:rPr>
      </w:pPr>
      <w:r>
        <w:rPr>
          <w:rFonts w:ascii="Times New Roman" w:hAnsi="Times New Roman" w:cs="Times New Roman"/>
        </w:rPr>
        <w:t>据调查，本场地及附近无污染源存在。根据含水层的性质、地下水的赋存特征、埋藏条件和水力特点，场地地下水为上层滞水。</w:t>
      </w:r>
    </w:p>
    <w:p w14:paraId="068034C8">
      <w:pPr>
        <w:ind w:firstLine="480"/>
        <w:rPr>
          <w:rFonts w:ascii="Times New Roman" w:hAnsi="Times New Roman" w:cs="Times New Roman"/>
        </w:rPr>
      </w:pPr>
      <w:r>
        <w:rPr>
          <w:rFonts w:ascii="Times New Roman" w:hAnsi="Times New Roman" w:cs="Times New Roman"/>
        </w:rPr>
        <w:t>上层滞水赋存于杂填土</w:t>
      </w:r>
      <w:r>
        <w:rPr>
          <w:rFonts w:hint="eastAsia" w:ascii="宋体" w:hAnsi="宋体" w:eastAsia="宋体" w:cs="宋体"/>
        </w:rPr>
        <w:t>①</w:t>
      </w:r>
      <w:r>
        <w:rPr>
          <w:rFonts w:ascii="Times New Roman" w:hAnsi="Times New Roman" w:cs="Times New Roman"/>
        </w:rPr>
        <w:t>孔隙中，含水量及水位受季节变化影响较大，无统一水位标高，年变化幅度约为1.0m～2.0m，主要靠大气降雨补给，蒸发排泄或往地形低洼处径流排泄。</w:t>
      </w:r>
    </w:p>
    <w:p w14:paraId="03FA4765">
      <w:pPr>
        <w:ind w:firstLine="480"/>
        <w:rPr>
          <w:rFonts w:ascii="Times New Roman" w:hAnsi="Times New Roman" w:cs="Times New Roman"/>
        </w:rPr>
      </w:pPr>
      <w:r>
        <w:rPr>
          <w:rFonts w:ascii="Times New Roman" w:hAnsi="Times New Roman" w:cs="Times New Roman"/>
        </w:rPr>
        <w:t>施工时可采用基（槽）坑边缘及角点处设置集水井（坑）和排水沟进行基（槽）坑内明排等简易方法进行降排水，以确保施工可行性及施工安全。</w:t>
      </w:r>
    </w:p>
    <w:p w14:paraId="1BF9B430">
      <w:pPr>
        <w:pStyle w:val="5"/>
        <w:rPr>
          <w:rFonts w:ascii="Times New Roman" w:hAnsi="Times New Roman" w:cs="Times New Roman"/>
        </w:rPr>
      </w:pPr>
      <w:r>
        <w:rPr>
          <w:rFonts w:ascii="Times New Roman" w:hAnsi="Times New Roman" w:cs="Times New Roman"/>
        </w:rPr>
        <w:t>场地土对建筑材料的腐蚀性</w:t>
      </w:r>
    </w:p>
    <w:p w14:paraId="16A5577C">
      <w:pPr>
        <w:ind w:firstLine="480"/>
        <w:rPr>
          <w:rFonts w:ascii="Times New Roman" w:hAnsi="Times New Roman" w:cs="Times New Roman"/>
        </w:rPr>
      </w:pPr>
      <w:r>
        <w:rPr>
          <w:rFonts w:ascii="Times New Roman" w:hAnsi="Times New Roman" w:cs="Times New Roman"/>
        </w:rPr>
        <w:t>根据试验结果，参照《岩土工程勘察规范》（GB50021-2001）（2009年版）附录G及第12.2款之规定进行土对建筑材料的腐蚀性评价；本场地土环境类型属III类。综合评价：本场地土对混凝土结构具微腐蚀性，对钢筋混凝土结构中的钢筋具有微腐蚀性。</w:t>
      </w:r>
    </w:p>
    <w:p w14:paraId="0EF7631A">
      <w:pPr>
        <w:pStyle w:val="4"/>
        <w:rPr>
          <w:rFonts w:ascii="Times New Roman" w:hAnsi="Times New Roman" w:cs="Times New Roman"/>
        </w:rPr>
      </w:pPr>
      <w:bookmarkStart w:id="45" w:name="_Toc23238"/>
      <w:bookmarkStart w:id="46" w:name="_Toc4464"/>
      <w:r>
        <w:rPr>
          <w:rFonts w:ascii="Times New Roman" w:hAnsi="Times New Roman" w:cs="Times New Roman"/>
        </w:rPr>
        <w:t>场地稳定性与适宜性评价</w:t>
      </w:r>
      <w:bookmarkEnd w:id="45"/>
      <w:bookmarkEnd w:id="46"/>
    </w:p>
    <w:p w14:paraId="31C05197">
      <w:pPr>
        <w:ind w:firstLine="480"/>
        <w:rPr>
          <w:rFonts w:ascii="Times New Roman" w:hAnsi="Times New Roman" w:cs="Times New Roman"/>
        </w:rPr>
      </w:pPr>
      <w:bookmarkStart w:id="47" w:name="_Toc227923036"/>
      <w:bookmarkStart w:id="48" w:name="_Toc25447"/>
      <w:bookmarkStart w:id="49" w:name="_Toc277238865"/>
      <w:r>
        <w:rPr>
          <w:rFonts w:ascii="Times New Roman" w:hAnsi="Times New Roman" w:cs="Times New Roman"/>
        </w:rPr>
        <w:t>区域地质图表明，场地内及附近无全新活动深大断裂构造带通过，区域地质构造较为稳定，属地质构造稳定区。未发现滑坡、泥石流等其他不良地质现象，勘探深度范围内亦未发现断裂破碎带、溶洞及土洞，场地稳定性较好，此外，场地地基土中无砂土液化与软土震陷问题。</w:t>
      </w:r>
    </w:p>
    <w:p w14:paraId="5D1EF1B0">
      <w:pPr>
        <w:ind w:firstLine="480"/>
        <w:rPr>
          <w:rFonts w:ascii="Times New Roman" w:hAnsi="Times New Roman" w:cs="Times New Roman"/>
        </w:rPr>
      </w:pPr>
      <w:r>
        <w:rPr>
          <w:rFonts w:ascii="Times New Roman" w:hAnsi="Times New Roman" w:cs="Times New Roman"/>
        </w:rPr>
        <w:t>根据地质调查及钻探资料，场地略有起伏，周边无崩塌、沉降、滑坡等不良地质作用存在，也没有旧河道、沟浜、墓穴、防空洞、孤石等对工程不利的埋藏物，场地稳定性相对较好，适宜兴建建筑物。</w:t>
      </w:r>
    </w:p>
    <w:bookmarkEnd w:id="47"/>
    <w:bookmarkEnd w:id="48"/>
    <w:bookmarkEnd w:id="49"/>
    <w:p w14:paraId="69618C75">
      <w:pPr>
        <w:pStyle w:val="4"/>
        <w:rPr>
          <w:rFonts w:ascii="Times New Roman" w:hAnsi="Times New Roman" w:cs="Times New Roman"/>
        </w:rPr>
      </w:pPr>
      <w:bookmarkStart w:id="50" w:name="_Toc26431"/>
      <w:r>
        <w:rPr>
          <w:rFonts w:ascii="Times New Roman" w:hAnsi="Times New Roman" w:cs="Times New Roman"/>
        </w:rPr>
        <w:t>基坑支护选型</w:t>
      </w:r>
      <w:bookmarkEnd w:id="50"/>
    </w:p>
    <w:p w14:paraId="20572117">
      <w:pPr>
        <w:ind w:firstLine="480"/>
        <w:rPr>
          <w:rFonts w:ascii="Times New Roman" w:hAnsi="Times New Roman" w:cs="Times New Roman"/>
        </w:rPr>
      </w:pPr>
      <w:r>
        <w:rPr>
          <w:rFonts w:ascii="Times New Roman" w:hAnsi="Times New Roman" w:cs="Times New Roman"/>
        </w:rPr>
        <w:t>场地较为开阔，具备放坡开挖条件，基坑开挖时可考虑分层分段均衡开挖。</w:t>
      </w:r>
    </w:p>
    <w:p w14:paraId="5ED63AB3">
      <w:pPr>
        <w:ind w:firstLine="480"/>
        <w:rPr>
          <w:rFonts w:ascii="Times New Roman" w:hAnsi="Times New Roman" w:cs="Times New Roman"/>
        </w:rPr>
      </w:pPr>
      <w:r>
        <w:rPr>
          <w:rFonts w:ascii="Times New Roman" w:hAnsi="Times New Roman" w:cs="Times New Roman"/>
        </w:rPr>
        <w:t>具设计提供资料，局部填土较厚区域采用槽钢支撑开挖，局部放坡开挖，根据基坑侧壁土层特性及本地区施工经验。建议天然放坡支护方案段的坡比。杂填土</w:t>
      </w:r>
      <w:r>
        <w:rPr>
          <w:rFonts w:hint="eastAsia" w:ascii="宋体" w:hAnsi="宋体" w:eastAsia="宋体" w:cs="宋体"/>
        </w:rPr>
        <w:t>①</w:t>
      </w:r>
      <w:r>
        <w:rPr>
          <w:rFonts w:ascii="Times New Roman" w:hAnsi="Times New Roman" w:cs="Times New Roman"/>
        </w:rPr>
        <w:t>1、耕土</w:t>
      </w:r>
      <w:r>
        <w:rPr>
          <w:rFonts w:hint="eastAsia" w:ascii="宋体" w:hAnsi="宋体" w:eastAsia="宋体" w:cs="宋体"/>
        </w:rPr>
        <w:t>①</w:t>
      </w:r>
      <w:r>
        <w:rPr>
          <w:rFonts w:ascii="Times New Roman" w:hAnsi="Times New Roman" w:cs="Times New Roman"/>
        </w:rPr>
        <w:t>2放坡坡比建议选用1：1.5，黏土</w:t>
      </w:r>
      <w:r>
        <w:rPr>
          <w:rFonts w:hint="eastAsia" w:ascii="宋体" w:hAnsi="宋体" w:eastAsia="宋体" w:cs="宋体"/>
        </w:rPr>
        <w:t>②</w:t>
      </w:r>
      <w:r>
        <w:rPr>
          <w:rFonts w:ascii="Times New Roman" w:hAnsi="Times New Roman" w:cs="Times New Roman"/>
        </w:rPr>
        <w:t>1建议坡比1：1.0、黏土</w:t>
      </w:r>
      <w:r>
        <w:rPr>
          <w:rFonts w:hint="eastAsia" w:ascii="宋体" w:hAnsi="宋体" w:eastAsia="宋体" w:cs="宋体"/>
        </w:rPr>
        <w:t>②</w:t>
      </w:r>
      <w:r>
        <w:rPr>
          <w:rFonts w:ascii="Times New Roman" w:hAnsi="Times New Roman" w:cs="Times New Roman"/>
        </w:rPr>
        <w:t>2建议坡比1：1.25，放坡后应及时喷射混凝土硬化坡面，并严禁在坡顶范围内堆载。</w:t>
      </w:r>
    </w:p>
    <w:p w14:paraId="36C1ACB4">
      <w:pPr>
        <w:pStyle w:val="4"/>
        <w:rPr>
          <w:rFonts w:ascii="Times New Roman" w:hAnsi="Times New Roman" w:cs="Times New Roman"/>
        </w:rPr>
      </w:pPr>
      <w:bookmarkStart w:id="51" w:name="_Toc8685"/>
      <w:bookmarkStart w:id="52" w:name="_Toc31312"/>
      <w:r>
        <w:rPr>
          <w:rFonts w:ascii="Times New Roman" w:hAnsi="Times New Roman" w:cs="Times New Roman"/>
        </w:rPr>
        <w:t>结论与建议</w:t>
      </w:r>
      <w:bookmarkEnd w:id="51"/>
      <w:bookmarkEnd w:id="52"/>
    </w:p>
    <w:p w14:paraId="77B591E7">
      <w:pPr>
        <w:ind w:firstLine="480"/>
        <w:rPr>
          <w:rFonts w:ascii="Times New Roman" w:hAnsi="Times New Roman" w:cs="Times New Roman"/>
        </w:rPr>
      </w:pPr>
      <w:r>
        <w:rPr>
          <w:rFonts w:ascii="Times New Roman" w:hAnsi="Times New Roman" w:cs="Times New Roman"/>
        </w:rPr>
        <w:t>(1)拟建场地无全新活动性断裂通过，未发现滑坡、崩塌等不良地质现象，也没有旧河道、沟浜、墓穴、防空洞、孤石等对工程不利的埋藏物，基岩埋藏深，场地稳定性较好，砂岩以上土层属稳定性较好，适宜性较好，适宜兴建建筑物。</w:t>
      </w:r>
    </w:p>
    <w:p w14:paraId="6D4B5D34">
      <w:pPr>
        <w:ind w:firstLine="480"/>
        <w:rPr>
          <w:rFonts w:ascii="Times New Roman" w:hAnsi="Times New Roman" w:cs="Times New Roman"/>
        </w:rPr>
      </w:pPr>
      <w:r>
        <w:rPr>
          <w:rFonts w:ascii="Times New Roman" w:hAnsi="Times New Roman" w:cs="Times New Roman"/>
        </w:rPr>
        <w:t>(2)本工程抗震属标准设防类（丙类）建筑，场地类别属II类，设计地震基本加速度为0.05g，反应谱特征周期为0.35s，设计地震分组属于第一组。属抗震一般地段，因而，本场地可按抗震设防烈度6度确定地震作用及抗震措施</w:t>
      </w:r>
    </w:p>
    <w:p w14:paraId="536B9A7E">
      <w:pPr>
        <w:ind w:firstLine="480"/>
        <w:rPr>
          <w:rFonts w:ascii="Times New Roman" w:hAnsi="Times New Roman" w:cs="Times New Roman"/>
        </w:rPr>
      </w:pPr>
      <w:r>
        <w:rPr>
          <w:rFonts w:ascii="Times New Roman" w:hAnsi="Times New Roman" w:cs="Times New Roman"/>
        </w:rPr>
        <w:t>(3)本场地土对混凝土结构具微腐蚀性，对钢筋混凝土结构中的钢筋具有微腐蚀性。</w:t>
      </w:r>
    </w:p>
    <w:p w14:paraId="54C8D8FB">
      <w:pPr>
        <w:ind w:firstLine="480"/>
        <w:rPr>
          <w:rFonts w:ascii="Times New Roman" w:hAnsi="Times New Roman" w:cs="Times New Roman"/>
        </w:rPr>
      </w:pPr>
      <w:r>
        <w:rPr>
          <w:rFonts w:ascii="Times New Roman" w:hAnsi="Times New Roman" w:cs="Times New Roman"/>
        </w:rPr>
        <w:t>(4)场地地下水为上层滞水，上层滞水赋存于杂填土</w:t>
      </w:r>
      <w:r>
        <w:rPr>
          <w:rFonts w:hint="eastAsia" w:ascii="宋体" w:hAnsi="宋体" w:eastAsia="宋体" w:cs="宋体"/>
        </w:rPr>
        <w:t>①</w:t>
      </w:r>
      <w:r>
        <w:rPr>
          <w:rFonts w:ascii="Times New Roman" w:hAnsi="Times New Roman" w:cs="Times New Roman"/>
        </w:rPr>
        <w:t>孔隙中，含水量及水位受季节变化影响较大，无统一水位标高，年变化幅度约为1.0m～2.0m，主要靠大气降雨补给，蒸发排泄或往地形低洼处径流排泄。</w:t>
      </w:r>
    </w:p>
    <w:p w14:paraId="03D15483">
      <w:pPr>
        <w:ind w:firstLine="480"/>
        <w:rPr>
          <w:rFonts w:ascii="Times New Roman" w:hAnsi="Times New Roman" w:cs="Times New Roman"/>
        </w:rPr>
      </w:pPr>
      <w:r>
        <w:rPr>
          <w:rFonts w:ascii="Times New Roman" w:hAnsi="Times New Roman" w:cs="Times New Roman"/>
        </w:rPr>
        <w:t>(5)从工程地质剖面图可以知地基持力层为杂填土</w:t>
      </w:r>
      <w:r>
        <w:rPr>
          <w:rFonts w:hint="eastAsia" w:ascii="宋体" w:hAnsi="宋体" w:eastAsia="宋体" w:cs="宋体"/>
        </w:rPr>
        <w:t>①</w:t>
      </w:r>
      <w:r>
        <w:rPr>
          <w:rFonts w:ascii="Times New Roman" w:hAnsi="Times New Roman" w:cs="Times New Roman"/>
        </w:rPr>
        <w:t>1、耕土</w:t>
      </w:r>
      <w:r>
        <w:rPr>
          <w:rFonts w:hint="eastAsia" w:ascii="宋体" w:hAnsi="宋体" w:eastAsia="宋体" w:cs="宋体"/>
        </w:rPr>
        <w:t>①</w:t>
      </w:r>
      <w:r>
        <w:rPr>
          <w:rFonts w:ascii="Times New Roman" w:hAnsi="Times New Roman" w:cs="Times New Roman"/>
        </w:rPr>
        <w:t>2、黏土</w:t>
      </w:r>
      <w:r>
        <w:rPr>
          <w:rFonts w:hint="eastAsia" w:ascii="宋体" w:hAnsi="宋体" w:eastAsia="宋体" w:cs="宋体"/>
        </w:rPr>
        <w:t>②</w:t>
      </w:r>
      <w:r>
        <w:rPr>
          <w:rFonts w:ascii="Times New Roman" w:hAnsi="Times New Roman" w:cs="Times New Roman"/>
        </w:rPr>
        <w:t>1、黏土</w:t>
      </w:r>
      <w:r>
        <w:rPr>
          <w:rFonts w:hint="eastAsia" w:ascii="宋体" w:hAnsi="宋体" w:eastAsia="宋体" w:cs="宋体"/>
        </w:rPr>
        <w:t>②</w:t>
      </w:r>
      <w:r>
        <w:rPr>
          <w:rFonts w:ascii="Times New Roman" w:hAnsi="Times New Roman" w:cs="Times New Roman"/>
        </w:rPr>
        <w:t>2，压缩层范围内为杂填土</w:t>
      </w:r>
      <w:r>
        <w:rPr>
          <w:rFonts w:hint="eastAsia" w:ascii="宋体" w:hAnsi="宋体" w:eastAsia="宋体" w:cs="宋体"/>
        </w:rPr>
        <w:t>①</w:t>
      </w:r>
      <w:r>
        <w:rPr>
          <w:rFonts w:ascii="Times New Roman" w:hAnsi="Times New Roman" w:cs="Times New Roman"/>
        </w:rPr>
        <w:t>1、耕土</w:t>
      </w:r>
      <w:r>
        <w:rPr>
          <w:rFonts w:hint="eastAsia" w:ascii="宋体" w:hAnsi="宋体" w:eastAsia="宋体" w:cs="宋体"/>
        </w:rPr>
        <w:t>①</w:t>
      </w:r>
      <w:r>
        <w:rPr>
          <w:rFonts w:ascii="Times New Roman" w:hAnsi="Times New Roman" w:cs="Times New Roman"/>
        </w:rPr>
        <w:t>2、黏土</w:t>
      </w:r>
      <w:r>
        <w:rPr>
          <w:rFonts w:hint="eastAsia" w:ascii="宋体" w:hAnsi="宋体" w:eastAsia="宋体" w:cs="宋体"/>
        </w:rPr>
        <w:t>②</w:t>
      </w:r>
      <w:r>
        <w:rPr>
          <w:rFonts w:ascii="Times New Roman" w:hAnsi="Times New Roman" w:cs="Times New Roman"/>
        </w:rPr>
        <w:t>1、黏土</w:t>
      </w:r>
      <w:r>
        <w:rPr>
          <w:rFonts w:hint="eastAsia" w:ascii="宋体" w:hAnsi="宋体" w:eastAsia="宋体" w:cs="宋体"/>
        </w:rPr>
        <w:t>②</w:t>
      </w:r>
      <w:r>
        <w:rPr>
          <w:rFonts w:ascii="Times New Roman" w:hAnsi="Times New Roman" w:cs="Times New Roman"/>
        </w:rPr>
        <w:t>2、石灰岩</w:t>
      </w:r>
      <w:r>
        <w:rPr>
          <w:rFonts w:hint="eastAsia" w:ascii="宋体" w:hAnsi="宋体" w:eastAsia="宋体" w:cs="宋体"/>
        </w:rPr>
        <w:t>⑤</w:t>
      </w:r>
      <w:r>
        <w:rPr>
          <w:rFonts w:ascii="Times New Roman" w:hAnsi="Times New Roman" w:cs="Times New Roman"/>
        </w:rPr>
        <w:t>，地层厚度分布不均，属不均匀地基，预测变形特征为沉降差。建议可采用砂石基础以调节沉降。</w:t>
      </w:r>
    </w:p>
    <w:p w14:paraId="0F6D7E49">
      <w:pPr>
        <w:ind w:firstLine="480"/>
        <w:rPr>
          <w:rFonts w:ascii="Times New Roman" w:hAnsi="Times New Roman" w:cs="Times New Roman"/>
        </w:rPr>
      </w:pPr>
      <w:r>
        <w:rPr>
          <w:rFonts w:ascii="Times New Roman" w:hAnsi="Times New Roman" w:cs="Times New Roman"/>
        </w:rPr>
        <w:t>(6)本场地较为开阔，勘察期间揭示到地下水为上层滞水水量较小，但雨季不排除遇到大量上层滞水，建议在施工过程中做好地面截水和排水措施及基坑与水池壁之间的填土夯填工作，可不考虑基坑抗浮问题。而日常大降雨期间，污水管内充满污水，可不考虑抗浮问题或待详细勘察补充。</w:t>
      </w:r>
    </w:p>
    <w:p w14:paraId="464D2C50">
      <w:pPr>
        <w:ind w:firstLine="480"/>
        <w:rPr>
          <w:rFonts w:ascii="Times New Roman" w:hAnsi="Times New Roman" w:cs="Times New Roman"/>
        </w:rPr>
      </w:pPr>
      <w:r>
        <w:rPr>
          <w:rFonts w:ascii="Times New Roman" w:hAnsi="Times New Roman" w:cs="Times New Roman"/>
        </w:rPr>
        <w:t>(7)应对施工期间对工程勘察成果和施工质量应进行的检查和复核，对出现的问题提出处理意见，主要包括基槽检验，天然地基检测，桩基础检测、压实度检测。</w:t>
      </w:r>
    </w:p>
    <w:p w14:paraId="3AC185BE">
      <w:pPr>
        <w:ind w:firstLine="480"/>
        <w:rPr>
          <w:rFonts w:ascii="Times New Roman" w:hAnsi="Times New Roman" w:cs="Times New Roman"/>
        </w:rPr>
      </w:pPr>
      <w:r>
        <w:rPr>
          <w:rFonts w:ascii="Times New Roman" w:hAnsi="Times New Roman" w:cs="Times New Roman"/>
        </w:rPr>
        <w:t>(8本次勘察为初步勘察，勘察线距、孔距及控制深度均不能满足施工图设计阶段的要求，所收集的地质资料也不够完善，其成果仅作为工程规划设计依据，不能作为施工图设计依据。建议建设单位按《岩土工程勘察规范》（GB50021-2001(2009年版)相关条款执行，进行下一步详细勘察或直接施工勘察工作，为设计提供详细、准确的勘察设计依据。</w:t>
      </w:r>
    </w:p>
    <w:p w14:paraId="464BA583">
      <w:pPr>
        <w:ind w:firstLine="480"/>
        <w:rPr>
          <w:rFonts w:ascii="Times New Roman" w:hAnsi="Times New Roman" w:cs="Times New Roman"/>
        </w:rPr>
      </w:pPr>
    </w:p>
    <w:p w14:paraId="019336FB">
      <w:pPr>
        <w:ind w:firstLine="480"/>
        <w:rPr>
          <w:rFonts w:ascii="Times New Roman" w:hAnsi="Times New Roman" w:cs="Times New Roman"/>
        </w:rPr>
      </w:pPr>
    </w:p>
    <w:p w14:paraId="1F801EB5">
      <w:pPr>
        <w:pStyle w:val="3"/>
        <w:rPr>
          <w:rFonts w:ascii="Times New Roman" w:hAnsi="Times New Roman" w:cs="Times New Roman"/>
        </w:rPr>
      </w:pPr>
      <w:bookmarkStart w:id="53" w:name="_Toc14980"/>
      <w:bookmarkStart w:id="54" w:name="OLE_LINK2"/>
      <w:r>
        <w:rPr>
          <w:rFonts w:ascii="Times New Roman" w:hAnsi="Times New Roman" w:cs="Times New Roman"/>
        </w:rPr>
        <w:t>工程设计</w:t>
      </w:r>
      <w:bookmarkEnd w:id="53"/>
    </w:p>
    <w:p w14:paraId="6C5102F2">
      <w:pPr>
        <w:pStyle w:val="4"/>
        <w:rPr>
          <w:rFonts w:ascii="Times New Roman" w:hAnsi="Times New Roman" w:cs="Times New Roman"/>
        </w:rPr>
      </w:pPr>
      <w:bookmarkStart w:id="55" w:name="_Toc24588"/>
      <w:bookmarkStart w:id="56" w:name="_Toc185094292"/>
      <w:r>
        <w:rPr>
          <w:rFonts w:ascii="Times New Roman" w:hAnsi="Times New Roman" w:cs="Times New Roman"/>
        </w:rPr>
        <w:t>雨污水管网设计</w:t>
      </w:r>
      <w:bookmarkEnd w:id="55"/>
    </w:p>
    <w:p w14:paraId="0F405942">
      <w:pPr>
        <w:pStyle w:val="5"/>
        <w:rPr>
          <w:rFonts w:ascii="Times New Roman" w:hAnsi="Times New Roman" w:cs="Times New Roman"/>
        </w:rPr>
      </w:pPr>
      <w:r>
        <w:rPr>
          <w:rFonts w:ascii="Times New Roman" w:hAnsi="Times New Roman" w:cs="Times New Roman"/>
        </w:rPr>
        <w:t>管道设计标准</w:t>
      </w:r>
    </w:p>
    <w:p w14:paraId="740F5EB5">
      <w:pPr>
        <w:ind w:firstLine="482"/>
        <w:rPr>
          <w:rFonts w:ascii="Times New Roman" w:hAnsi="Times New Roman" w:cs="Times New Roman"/>
          <w:b/>
        </w:rPr>
      </w:pPr>
      <w:r>
        <w:rPr>
          <w:rFonts w:ascii="Times New Roman" w:hAnsi="Times New Roman" w:cs="Times New Roman"/>
          <w:b/>
        </w:rPr>
        <w:t>1、雨水管道设计标准</w:t>
      </w:r>
    </w:p>
    <w:p w14:paraId="189FF66A">
      <w:pPr>
        <w:ind w:firstLine="480"/>
        <w:rPr>
          <w:rFonts w:ascii="Times New Roman" w:hAnsi="Times New Roman" w:cs="Times New Roman"/>
        </w:rPr>
      </w:pPr>
      <w:r>
        <w:rPr>
          <w:rFonts w:ascii="Times New Roman" w:hAnsi="Times New Roman" w:cs="Times New Roman"/>
        </w:rPr>
        <w:t>1）河池市暴雨强度公式：</w:t>
      </w:r>
    </w:p>
    <w:p w14:paraId="37385EF3">
      <w:pPr>
        <w:ind w:firstLine="480"/>
        <w:rPr>
          <w:rFonts w:ascii="Times New Roman" w:hAnsi="Times New Roman" w:cs="Times New Roman"/>
        </w:rPr>
      </w:pPr>
      <w:r>
        <w:rPr>
          <w:rFonts w:ascii="Times New Roman" w:hAnsi="Times New Roman" w:cs="Times New Roman"/>
        </w:rPr>
        <w:drawing>
          <wp:inline distT="0" distB="0" distL="0" distR="0">
            <wp:extent cx="3357245" cy="546100"/>
            <wp:effectExtent l="0" t="0" r="0" b="6350"/>
            <wp:docPr id="8" name="图片 8" descr="C:\Users\Administrator\AppData\Local\Temp\ksohtml252\w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Administrator\AppData\Local\Temp\ksohtml252\wps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357245" cy="546100"/>
                    </a:xfrm>
                    <a:prstGeom prst="rect">
                      <a:avLst/>
                    </a:prstGeom>
                    <a:noFill/>
                    <a:ln>
                      <a:noFill/>
                    </a:ln>
                  </pic:spPr>
                </pic:pic>
              </a:graphicData>
            </a:graphic>
          </wp:inline>
        </w:drawing>
      </w:r>
    </w:p>
    <w:p w14:paraId="600D13F9">
      <w:pPr>
        <w:ind w:firstLine="480"/>
        <w:rPr>
          <w:rFonts w:ascii="Times New Roman" w:hAnsi="Times New Roman" w:cs="Times New Roman"/>
        </w:rPr>
      </w:pPr>
      <w:r>
        <w:rPr>
          <w:rFonts w:ascii="Times New Roman" w:hAnsi="Times New Roman" w:cs="Times New Roman"/>
        </w:rPr>
        <w:t>式中：</w:t>
      </w:r>
    </w:p>
    <w:p w14:paraId="2FC1A67E">
      <w:pPr>
        <w:ind w:firstLine="480"/>
        <w:rPr>
          <w:rFonts w:ascii="Times New Roman" w:hAnsi="Times New Roman" w:cs="Times New Roman"/>
        </w:rPr>
      </w:pPr>
      <w:r>
        <w:rPr>
          <w:rFonts w:ascii="Times New Roman" w:hAnsi="Times New Roman" w:cs="Times New Roman"/>
        </w:rPr>
        <w:t>P——设计重现期 （年）</w:t>
      </w:r>
    </w:p>
    <w:p w14:paraId="5AF940D1">
      <w:pPr>
        <w:ind w:firstLine="480"/>
        <w:rPr>
          <w:rFonts w:ascii="Times New Roman" w:hAnsi="Times New Roman" w:cs="Times New Roman"/>
        </w:rPr>
      </w:pPr>
      <w:r>
        <w:rPr>
          <w:rFonts w:ascii="Times New Roman" w:hAnsi="Times New Roman" w:cs="Times New Roman"/>
        </w:rPr>
        <w:t>t—降雨历时（min）</w:t>
      </w:r>
    </w:p>
    <w:p w14:paraId="1CA6D5F8">
      <w:pPr>
        <w:ind w:firstLine="480"/>
        <w:rPr>
          <w:rFonts w:ascii="Times New Roman" w:hAnsi="Times New Roman" w:cs="Times New Roman"/>
        </w:rPr>
      </w:pPr>
      <w:r>
        <w:rPr>
          <w:rFonts w:ascii="Times New Roman" w:hAnsi="Times New Roman" w:cs="Times New Roman"/>
        </w:rPr>
        <w:t>t=t1+t2 （min）</w:t>
      </w:r>
    </w:p>
    <w:p w14:paraId="1D95731E">
      <w:pPr>
        <w:ind w:firstLine="480"/>
        <w:rPr>
          <w:rFonts w:ascii="Times New Roman" w:hAnsi="Times New Roman" w:cs="Times New Roman"/>
        </w:rPr>
      </w:pPr>
      <w:r>
        <w:rPr>
          <w:rFonts w:ascii="Times New Roman" w:hAnsi="Times New Roman" w:cs="Times New Roman"/>
        </w:rPr>
        <w:t>t1——地面集水时间 （min）</w:t>
      </w:r>
    </w:p>
    <w:p w14:paraId="21AF32C7">
      <w:pPr>
        <w:ind w:firstLine="480"/>
        <w:rPr>
          <w:rFonts w:ascii="Times New Roman" w:hAnsi="Times New Roman" w:cs="Times New Roman"/>
        </w:rPr>
      </w:pPr>
      <w:r>
        <w:rPr>
          <w:rFonts w:ascii="Times New Roman" w:hAnsi="Times New Roman" w:cs="Times New Roman"/>
        </w:rPr>
        <w:t>t2——管内流行时间 （min）</w:t>
      </w:r>
    </w:p>
    <w:p w14:paraId="73A7A9C0">
      <w:pPr>
        <w:ind w:firstLine="480"/>
        <w:rPr>
          <w:rFonts w:ascii="Times New Roman" w:hAnsi="Times New Roman" w:cs="Times New Roman"/>
        </w:rPr>
      </w:pPr>
      <w:r>
        <w:rPr>
          <w:rFonts w:ascii="Times New Roman" w:hAnsi="Times New Roman" w:cs="Times New Roman"/>
        </w:rPr>
        <w:t>2）设计重现期：设计重现期P取2年。</w:t>
      </w:r>
    </w:p>
    <w:p w14:paraId="7EA16729">
      <w:pPr>
        <w:ind w:firstLine="480"/>
        <w:rPr>
          <w:rFonts w:ascii="Times New Roman" w:hAnsi="Times New Roman" w:cs="Times New Roman"/>
        </w:rPr>
      </w:pPr>
      <w:r>
        <w:rPr>
          <w:rFonts w:ascii="Times New Roman" w:hAnsi="Times New Roman" w:cs="Times New Roman"/>
        </w:rPr>
        <w:t>3）地面集水时间t1取15分钟；</w:t>
      </w:r>
    </w:p>
    <w:p w14:paraId="7F1762FB">
      <w:pPr>
        <w:ind w:firstLine="480"/>
        <w:rPr>
          <w:rFonts w:ascii="Times New Roman" w:hAnsi="Times New Roman" w:cs="Times New Roman"/>
        </w:rPr>
      </w:pPr>
      <w:r>
        <w:rPr>
          <w:rFonts w:ascii="Times New Roman" w:hAnsi="Times New Roman" w:cs="Times New Roman"/>
        </w:rPr>
        <w:t>4）流量公式</w:t>
      </w:r>
    </w:p>
    <w:p w14:paraId="475187F5">
      <w:pPr>
        <w:ind w:firstLine="480"/>
        <w:rPr>
          <w:rFonts w:ascii="Times New Roman" w:hAnsi="Times New Roman" w:cs="Times New Roman"/>
        </w:rPr>
      </w:pPr>
      <w:r>
        <w:rPr>
          <w:rFonts w:ascii="Times New Roman" w:hAnsi="Times New Roman" w:cs="Times New Roman"/>
        </w:rPr>
        <w:t>Q=φ×q×F（L/s）</w:t>
      </w:r>
    </w:p>
    <w:p w14:paraId="7FCEDB72">
      <w:pPr>
        <w:ind w:firstLine="480"/>
        <w:rPr>
          <w:rFonts w:ascii="Times New Roman" w:hAnsi="Times New Roman" w:cs="Times New Roman"/>
        </w:rPr>
      </w:pPr>
      <w:r>
        <w:rPr>
          <w:rFonts w:ascii="Times New Roman" w:hAnsi="Times New Roman" w:cs="Times New Roman"/>
        </w:rPr>
        <w:t>式中：</w:t>
      </w:r>
    </w:p>
    <w:p w14:paraId="6D29BF9E">
      <w:pPr>
        <w:ind w:firstLine="480"/>
        <w:rPr>
          <w:rFonts w:ascii="Times New Roman" w:hAnsi="Times New Roman" w:cs="Times New Roman"/>
        </w:rPr>
      </w:pPr>
      <w:r>
        <w:rPr>
          <w:rFonts w:ascii="Times New Roman" w:hAnsi="Times New Roman" w:cs="Times New Roman"/>
        </w:rPr>
        <w:t>φ——径流系数</w:t>
      </w:r>
    </w:p>
    <w:p w14:paraId="190AA0C5">
      <w:pPr>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q——设计暴雨强度[L/（s·hm2）]</w:t>
      </w:r>
    </w:p>
    <w:p w14:paraId="2764FD80">
      <w:pPr>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F——汇水面积（hm2）</w:t>
      </w:r>
    </w:p>
    <w:p w14:paraId="626CBC32">
      <w:pPr>
        <w:ind w:firstLine="480"/>
        <w:rPr>
          <w:rFonts w:ascii="Times New Roman" w:hAnsi="Times New Roman" w:cs="Times New Roman"/>
        </w:rPr>
      </w:pPr>
      <w:r>
        <w:rPr>
          <w:rFonts w:ascii="Times New Roman" w:hAnsi="Times New Roman" w:cs="Times New Roman"/>
        </w:rPr>
        <w:t>5）径流系数</w:t>
      </w:r>
    </w:p>
    <w:p w14:paraId="7EB9F167">
      <w:pPr>
        <w:ind w:firstLine="480"/>
        <w:rPr>
          <w:rFonts w:ascii="Times New Roman" w:hAnsi="Times New Roman" w:cs="Times New Roman"/>
        </w:rPr>
      </w:pPr>
      <w:r>
        <w:rPr>
          <w:rFonts w:ascii="Times New Roman" w:hAnsi="Times New Roman" w:cs="Times New Roman"/>
        </w:rPr>
        <w:t>根据《室外排水设计标准》GB50014-2021，并结合本工程项目和相关涉及规范标准，建设用地综合径流系数取0.60，绿化用地取0.10。</w:t>
      </w:r>
    </w:p>
    <w:p w14:paraId="09090C25">
      <w:pPr>
        <w:widowControl/>
        <w:spacing w:line="240" w:lineRule="auto"/>
        <w:ind w:firstLine="0" w:firstLineChars="0"/>
        <w:rPr>
          <w:rFonts w:ascii="Times New Roman" w:hAnsi="Times New Roman" w:cs="Times New Roman"/>
          <w:b/>
        </w:rPr>
      </w:pPr>
      <w:r>
        <w:rPr>
          <w:rFonts w:ascii="Times New Roman" w:hAnsi="Times New Roman" w:cs="Times New Roman"/>
          <w:b/>
        </w:rPr>
        <w:br w:type="page"/>
      </w:r>
    </w:p>
    <w:p w14:paraId="703E2940">
      <w:pPr>
        <w:ind w:firstLine="482"/>
        <w:rPr>
          <w:rFonts w:ascii="Times New Roman" w:hAnsi="Times New Roman" w:cs="Times New Roman"/>
          <w:b/>
        </w:rPr>
      </w:pPr>
      <w:r>
        <w:rPr>
          <w:rFonts w:ascii="Times New Roman" w:hAnsi="Times New Roman" w:cs="Times New Roman"/>
          <w:b/>
        </w:rPr>
        <w:t>2、污水管道设计标准</w:t>
      </w:r>
    </w:p>
    <w:p w14:paraId="1A4A9DC0">
      <w:pPr>
        <w:ind w:firstLine="480"/>
        <w:rPr>
          <w:rFonts w:ascii="Times New Roman" w:hAnsi="Times New Roman" w:cs="Times New Roman"/>
        </w:rPr>
      </w:pPr>
      <w:r>
        <w:rPr>
          <w:rFonts w:ascii="Times New Roman" w:hAnsi="Times New Roman" w:cs="Times New Roman"/>
        </w:rPr>
        <w:t>（1）污水量：根据污水规划推算，本设计污水管道设计标准为50m</w:t>
      </w:r>
      <w:r>
        <w:rPr>
          <w:rFonts w:ascii="Times New Roman" w:hAnsi="Times New Roman" w:cs="Times New Roman"/>
          <w:vertAlign w:val="superscript"/>
        </w:rPr>
        <w:t>3</w:t>
      </w:r>
      <w:r>
        <w:rPr>
          <w:rFonts w:ascii="Times New Roman" w:hAnsi="Times New Roman" w:cs="Times New Roman"/>
        </w:rPr>
        <w:t>/（hm</w:t>
      </w:r>
      <w:r>
        <w:rPr>
          <w:rFonts w:ascii="Times New Roman" w:hAnsi="Times New Roman" w:cs="Times New Roman"/>
          <w:vertAlign w:val="superscript"/>
        </w:rPr>
        <w:t>2</w:t>
      </w:r>
      <w:r>
        <w:rPr>
          <w:rFonts w:ascii="Times New Roman" w:hAnsi="Times New Roman" w:cs="Times New Roman"/>
        </w:rPr>
        <w:t>·d）。</w:t>
      </w:r>
    </w:p>
    <w:p w14:paraId="240BAF3A">
      <w:pPr>
        <w:ind w:firstLine="480"/>
        <w:rPr>
          <w:rFonts w:ascii="Times New Roman" w:hAnsi="Times New Roman" w:cs="Times New Roman"/>
        </w:rPr>
      </w:pPr>
      <w:r>
        <w:rPr>
          <w:rFonts w:ascii="Times New Roman" w:hAnsi="Times New Roman" w:cs="Times New Roman"/>
        </w:rPr>
        <w:t>污水管道设计流量计算公式：</w:t>
      </w:r>
    </w:p>
    <w:p w14:paraId="408622FF">
      <w:pPr>
        <w:ind w:firstLine="480"/>
        <w:rPr>
          <w:rFonts w:ascii="Times New Roman" w:hAnsi="Times New Roman" w:cs="Times New Roman"/>
        </w:rPr>
      </w:pPr>
      <w:r>
        <w:rPr>
          <w:rFonts w:ascii="Times New Roman" w:hAnsi="Times New Roman" w:cs="Times New Roman"/>
        </w:rPr>
        <w:t>Q</w:t>
      </w:r>
      <w:r>
        <w:rPr>
          <w:rFonts w:ascii="Times New Roman" w:hAnsi="Times New Roman" w:cs="Times New Roman"/>
          <w:vertAlign w:val="subscript"/>
        </w:rPr>
        <w:t>max</w:t>
      </w:r>
      <w:r>
        <w:rPr>
          <w:rFonts w:ascii="Times New Roman" w:hAnsi="Times New Roman" w:cs="Times New Roman"/>
        </w:rPr>
        <w:t>=K</w:t>
      </w:r>
      <w:r>
        <w:rPr>
          <w:rFonts w:ascii="Times New Roman" w:hAnsi="Times New Roman" w:cs="Times New Roman"/>
          <w:vertAlign w:val="subscript"/>
        </w:rPr>
        <w:t>Z</w:t>
      </w:r>
      <w:r>
        <w:rPr>
          <w:rFonts w:ascii="Times New Roman" w:hAnsi="Times New Roman" w:cs="Times New Roman"/>
        </w:rPr>
        <w:t>Q</w:t>
      </w:r>
      <w:r>
        <w:rPr>
          <w:rFonts w:ascii="Times New Roman" w:hAnsi="Times New Roman" w:cs="Times New Roman"/>
          <w:vertAlign w:val="subscript"/>
        </w:rPr>
        <w:t>P</w:t>
      </w:r>
      <w:r>
        <w:rPr>
          <w:rFonts w:ascii="Times New Roman" w:hAnsi="Times New Roman" w:cs="Times New Roman"/>
        </w:rPr>
        <w:t xml:space="preserve"> （L/s）</w:t>
      </w:r>
    </w:p>
    <w:p w14:paraId="685A78D8">
      <w:pPr>
        <w:ind w:firstLine="480"/>
        <w:rPr>
          <w:rFonts w:ascii="Times New Roman" w:hAnsi="Times New Roman" w:cs="Times New Roman"/>
        </w:rPr>
      </w:pPr>
      <w:r>
        <w:rPr>
          <w:rFonts w:ascii="Times New Roman" w:hAnsi="Times New Roman" w:cs="Times New Roman"/>
        </w:rPr>
        <w:t>式中：</w:t>
      </w:r>
    </w:p>
    <w:p w14:paraId="0508F344">
      <w:pPr>
        <w:ind w:firstLine="480"/>
        <w:rPr>
          <w:rFonts w:ascii="Times New Roman" w:hAnsi="Times New Roman" w:cs="Times New Roman"/>
        </w:rPr>
      </w:pPr>
      <w:r>
        <w:rPr>
          <w:rFonts w:ascii="Times New Roman" w:hAnsi="Times New Roman" w:cs="Times New Roman"/>
        </w:rPr>
        <w:t>Q</w:t>
      </w:r>
      <w:r>
        <w:rPr>
          <w:rFonts w:ascii="Times New Roman" w:hAnsi="Times New Roman" w:cs="Times New Roman"/>
          <w:vertAlign w:val="subscript"/>
        </w:rPr>
        <w:t>max</w:t>
      </w:r>
      <w:r>
        <w:rPr>
          <w:rFonts w:ascii="Times New Roman" w:hAnsi="Times New Roman" w:cs="Times New Roman"/>
        </w:rPr>
        <w:t>——设计最高日最高时污水量（L/s）</w:t>
      </w:r>
    </w:p>
    <w:p w14:paraId="3E3F659F">
      <w:pPr>
        <w:ind w:firstLine="480"/>
        <w:rPr>
          <w:rFonts w:ascii="Times New Roman" w:hAnsi="Times New Roman" w:cs="Times New Roman"/>
        </w:rPr>
      </w:pPr>
      <w:r>
        <w:rPr>
          <w:rFonts w:ascii="Times New Roman" w:hAnsi="Times New Roman" w:cs="Times New Roman"/>
        </w:rPr>
        <w:t>K</w:t>
      </w:r>
      <w:r>
        <w:rPr>
          <w:rFonts w:ascii="Times New Roman" w:hAnsi="Times New Roman" w:cs="Times New Roman"/>
          <w:vertAlign w:val="subscript"/>
        </w:rPr>
        <w:t>Z</w:t>
      </w:r>
      <w:r>
        <w:rPr>
          <w:rFonts w:ascii="Times New Roman" w:hAnsi="Times New Roman" w:cs="Times New Roman"/>
        </w:rPr>
        <w:t>——总变化系数</w:t>
      </w:r>
    </w:p>
    <w:p w14:paraId="12A070E7">
      <w:pPr>
        <w:ind w:firstLine="480"/>
        <w:rPr>
          <w:rFonts w:ascii="Times New Roman" w:hAnsi="Times New Roman" w:cs="Times New Roman"/>
        </w:rPr>
      </w:pPr>
      <w:r>
        <w:rPr>
          <w:rFonts w:ascii="Times New Roman" w:hAnsi="Times New Roman" w:cs="Times New Roman"/>
        </w:rPr>
        <w:tab/>
      </w:r>
      <w:r>
        <w:rPr>
          <w:rFonts w:ascii="Times New Roman" w:hAnsi="Times New Roman" w:cs="Times New Roman"/>
        </w:rPr>
        <w:t>Q</w:t>
      </w:r>
      <w:r>
        <w:rPr>
          <w:rFonts w:ascii="Times New Roman" w:hAnsi="Times New Roman" w:cs="Times New Roman"/>
          <w:vertAlign w:val="subscript"/>
        </w:rPr>
        <w:t>P</w:t>
      </w:r>
      <w:r>
        <w:rPr>
          <w:rFonts w:ascii="Times New Roman" w:hAnsi="Times New Roman" w:cs="Times New Roman"/>
        </w:rPr>
        <w:t>——平均日平均时污水量（L/s）</w:t>
      </w:r>
    </w:p>
    <w:p w14:paraId="082EBC47">
      <w:pPr>
        <w:ind w:firstLine="512"/>
        <w:rPr>
          <w:rFonts w:ascii="Times New Roman" w:hAnsi="Times New Roman" w:eastAsia="宋体" w:cs="Times New Roman"/>
          <w:spacing w:val="8"/>
        </w:rPr>
      </w:pPr>
      <w:r>
        <w:rPr>
          <w:rFonts w:ascii="Times New Roman" w:hAnsi="Times New Roman" w:eastAsia="宋体" w:cs="Times New Roman"/>
          <w:spacing w:val="8"/>
        </w:rPr>
        <w:t>（</w:t>
      </w:r>
      <w:r>
        <w:rPr>
          <w:rFonts w:ascii="Times New Roman" w:hAnsi="Times New Roman" w:cs="Times New Roman"/>
          <w:spacing w:val="8"/>
        </w:rPr>
        <w:t>2</w:t>
      </w:r>
      <w:r>
        <w:rPr>
          <w:rFonts w:ascii="Times New Roman" w:hAnsi="Times New Roman" w:eastAsia="宋体" w:cs="Times New Roman"/>
          <w:spacing w:val="8"/>
        </w:rPr>
        <w:t>）水力计算：</w:t>
      </w:r>
    </w:p>
    <w:p w14:paraId="7B939E47">
      <w:pPr>
        <w:ind w:firstLine="480"/>
        <w:rPr>
          <w:rFonts w:ascii="Times New Roman" w:hAnsi="Times New Roman" w:cs="Times New Roman"/>
        </w:rPr>
      </w:pPr>
      <w:r>
        <w:rPr>
          <w:rFonts w:ascii="Times New Roman" w:hAnsi="Times New Roman" w:cs="Times New Roman"/>
        </w:rPr>
        <w:t>流量公式：Q=A·V</w:t>
      </w:r>
    </w:p>
    <w:p w14:paraId="1141DC51">
      <w:pPr>
        <w:ind w:firstLine="480"/>
        <w:rPr>
          <w:rFonts w:ascii="Times New Roman" w:hAnsi="Times New Roman" w:cs="Times New Roman"/>
        </w:rPr>
      </w:pPr>
      <w:r>
        <w:rPr>
          <w:rFonts w:ascii="Times New Roman" w:hAnsi="Times New Roman" w:cs="Times New Roman"/>
        </w:rPr>
        <w:t>式中：</w:t>
      </w:r>
    </w:p>
    <w:p w14:paraId="38D735F5">
      <w:pPr>
        <w:ind w:firstLine="480"/>
        <w:rPr>
          <w:rFonts w:ascii="Times New Roman" w:hAnsi="Times New Roman" w:cs="Times New Roman"/>
        </w:rPr>
      </w:pPr>
      <w:r>
        <w:rPr>
          <w:rFonts w:ascii="Times New Roman" w:hAnsi="Times New Roman" w:cs="Times New Roman"/>
        </w:rPr>
        <w:t>Q——设计流量（m</w:t>
      </w:r>
      <w:r>
        <w:rPr>
          <w:rFonts w:ascii="Times New Roman" w:hAnsi="Times New Roman" w:cs="Times New Roman"/>
          <w:vertAlign w:val="superscript"/>
        </w:rPr>
        <w:t>3</w:t>
      </w:r>
      <w:r>
        <w:rPr>
          <w:rFonts w:ascii="Times New Roman" w:hAnsi="Times New Roman" w:cs="Times New Roman"/>
        </w:rPr>
        <w:t>/s）</w:t>
      </w:r>
    </w:p>
    <w:p w14:paraId="0EBA02D6">
      <w:pPr>
        <w:ind w:firstLine="480"/>
        <w:rPr>
          <w:rFonts w:ascii="Times New Roman" w:hAnsi="Times New Roman" w:cs="Times New Roman"/>
        </w:rPr>
      </w:pPr>
      <w:r>
        <w:rPr>
          <w:rFonts w:ascii="Times New Roman" w:hAnsi="Times New Roman" w:cs="Times New Roman"/>
        </w:rPr>
        <w:t>A——水流过水断面面积（m</w:t>
      </w:r>
      <w:r>
        <w:rPr>
          <w:rFonts w:ascii="Times New Roman" w:hAnsi="Times New Roman" w:cs="Times New Roman"/>
          <w:vertAlign w:val="superscript"/>
        </w:rPr>
        <w:t>2</w:t>
      </w:r>
      <w:r>
        <w:rPr>
          <w:rFonts w:ascii="Times New Roman" w:hAnsi="Times New Roman" w:cs="Times New Roman"/>
        </w:rPr>
        <w:t>）</w:t>
      </w:r>
    </w:p>
    <w:p w14:paraId="7AE541C1">
      <w:pPr>
        <w:ind w:firstLine="480"/>
        <w:rPr>
          <w:rFonts w:ascii="Times New Roman" w:hAnsi="Times New Roman" w:cs="Times New Roman"/>
        </w:rPr>
      </w:pPr>
      <w:r>
        <w:rPr>
          <w:rFonts w:ascii="Times New Roman" w:hAnsi="Times New Roman" w:cs="Times New Roman"/>
        </w:rPr>
        <w:t>V——设计流速（m/s）</w:t>
      </w:r>
    </w:p>
    <w:p w14:paraId="5232FC9E">
      <w:pPr>
        <w:ind w:firstLine="480"/>
        <w:rPr>
          <w:rFonts w:ascii="Times New Roman" w:hAnsi="Times New Roman" w:cs="Times New Roman"/>
        </w:rPr>
      </w:pPr>
      <w:r>
        <w:rPr>
          <w:rFonts w:ascii="Times New Roman" w:hAnsi="Times New Roman" w:cs="Times New Roman"/>
        </w:rPr>
        <w:t xml:space="preserve">流速公式： </w:t>
      </w:r>
      <w:r>
        <w:rPr>
          <w:rFonts w:ascii="Times New Roman" w:hAnsi="Times New Roman" w:cs="Times New Roman"/>
        </w:rPr>
        <w:drawing>
          <wp:inline distT="0" distB="0" distL="0" distR="0">
            <wp:extent cx="1624330" cy="259080"/>
            <wp:effectExtent l="0" t="0" r="0" b="7620"/>
            <wp:docPr id="9" name="图片 9" descr="C:\Users\Administrator\AppData\Local\Temp\ksohtml252\wp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Administrator\AppData\Local\Temp\ksohtml252\wps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624330" cy="259080"/>
                    </a:xfrm>
                    <a:prstGeom prst="rect">
                      <a:avLst/>
                    </a:prstGeom>
                    <a:noFill/>
                    <a:ln>
                      <a:noFill/>
                    </a:ln>
                  </pic:spPr>
                </pic:pic>
              </a:graphicData>
            </a:graphic>
          </wp:inline>
        </w:drawing>
      </w:r>
    </w:p>
    <w:p w14:paraId="4F694349">
      <w:pPr>
        <w:ind w:firstLine="480"/>
        <w:rPr>
          <w:rFonts w:ascii="Times New Roman" w:hAnsi="Times New Roman" w:cs="Times New Roman"/>
        </w:rPr>
      </w:pPr>
      <w:r>
        <w:rPr>
          <w:rFonts w:ascii="Times New Roman" w:hAnsi="Times New Roman" w:cs="Times New Roman"/>
        </w:rPr>
        <w:t>式中：</w:t>
      </w:r>
    </w:p>
    <w:p w14:paraId="5E25A6EB">
      <w:pPr>
        <w:ind w:firstLine="480"/>
        <w:rPr>
          <w:rFonts w:ascii="Times New Roman" w:hAnsi="Times New Roman" w:cs="Times New Roman"/>
        </w:rPr>
      </w:pPr>
      <w:r>
        <w:rPr>
          <w:rFonts w:ascii="Times New Roman" w:hAnsi="Times New Roman" w:cs="Times New Roman"/>
        </w:rPr>
        <w:t>n——粗糙系数（取0.014）</w:t>
      </w:r>
    </w:p>
    <w:p w14:paraId="5916F7D3">
      <w:pPr>
        <w:ind w:firstLine="480"/>
        <w:rPr>
          <w:rFonts w:ascii="Times New Roman" w:hAnsi="Times New Roman" w:cs="Times New Roman"/>
        </w:rPr>
      </w:pPr>
      <w:r>
        <w:rPr>
          <w:rFonts w:ascii="Times New Roman" w:hAnsi="Times New Roman" w:cs="Times New Roman"/>
        </w:rPr>
        <w:t>R——水力半径（m），R=A/X</w:t>
      </w:r>
    </w:p>
    <w:p w14:paraId="2EF992C6">
      <w:pPr>
        <w:ind w:firstLine="480"/>
        <w:rPr>
          <w:rFonts w:ascii="Times New Roman" w:hAnsi="Times New Roman" w:cs="Times New Roman"/>
        </w:rPr>
      </w:pPr>
      <w:r>
        <w:rPr>
          <w:rFonts w:ascii="Times New Roman" w:hAnsi="Times New Roman" w:cs="Times New Roman"/>
        </w:rPr>
        <w:t>X——湿周（m）</w:t>
      </w:r>
    </w:p>
    <w:p w14:paraId="15EF73B4">
      <w:pPr>
        <w:ind w:firstLine="480"/>
        <w:rPr>
          <w:rFonts w:ascii="Times New Roman" w:hAnsi="Times New Roman" w:eastAsia="Arial Unicode MS" w:cs="Times New Roman"/>
        </w:rPr>
      </w:pPr>
      <w:r>
        <w:rPr>
          <w:rFonts w:ascii="Times New Roman" w:hAnsi="Times New Roman" w:cs="Times New Roman"/>
        </w:rPr>
        <w:t>I——水力坡降</w:t>
      </w:r>
    </w:p>
    <w:p w14:paraId="73DBD5BF">
      <w:pPr>
        <w:ind w:firstLine="512"/>
        <w:rPr>
          <w:rFonts w:ascii="Times New Roman" w:hAnsi="Times New Roman" w:eastAsia="宋体" w:cs="Times New Roman"/>
          <w:spacing w:val="8"/>
        </w:rPr>
      </w:pPr>
      <w:r>
        <w:rPr>
          <w:rFonts w:ascii="Times New Roman" w:hAnsi="Times New Roman" w:eastAsia="宋体" w:cs="Times New Roman"/>
          <w:spacing w:val="8"/>
        </w:rPr>
        <w:t>（</w:t>
      </w:r>
      <w:r>
        <w:rPr>
          <w:rFonts w:ascii="Times New Roman" w:hAnsi="Times New Roman" w:cs="Times New Roman"/>
          <w:spacing w:val="8"/>
        </w:rPr>
        <w:t>3</w:t>
      </w:r>
      <w:r>
        <w:rPr>
          <w:rFonts w:ascii="Times New Roman" w:hAnsi="Times New Roman" w:eastAsia="宋体" w:cs="Times New Roman"/>
          <w:spacing w:val="8"/>
        </w:rPr>
        <w:t>）居住区生活污水总变化系数</w:t>
      </w:r>
      <w:r>
        <w:rPr>
          <w:rFonts w:ascii="Times New Roman" w:hAnsi="Times New Roman" w:cs="Times New Roman"/>
          <w:spacing w:val="8"/>
        </w:rPr>
        <w:t>K</w:t>
      </w:r>
      <w:r>
        <w:rPr>
          <w:rFonts w:ascii="Times New Roman" w:hAnsi="Times New Roman" w:cs="Times New Roman"/>
          <w:spacing w:val="8"/>
          <w:vertAlign w:val="subscript"/>
        </w:rPr>
        <w:t>Z</w:t>
      </w:r>
      <w:r>
        <w:rPr>
          <w:rFonts w:ascii="Times New Roman" w:hAnsi="Times New Roman" w:eastAsia="宋体" w:cs="Times New Roman"/>
          <w:spacing w:val="8"/>
        </w:rPr>
        <w:t>按照《室外排水设计标准》</w:t>
      </w:r>
      <w:r>
        <w:rPr>
          <w:rFonts w:ascii="Times New Roman" w:hAnsi="Times New Roman" w:cs="Times New Roman"/>
          <w:spacing w:val="8"/>
        </w:rPr>
        <w:t>GB50014-2021</w:t>
      </w:r>
      <w:r>
        <w:rPr>
          <w:rFonts w:ascii="Times New Roman" w:hAnsi="Times New Roman" w:eastAsia="宋体" w:cs="Times New Roman"/>
          <w:spacing w:val="8"/>
        </w:rPr>
        <w:t>选用。污水平均日流量为中间值时，采用内插法求得。</w:t>
      </w:r>
    </w:p>
    <w:tbl>
      <w:tblPr>
        <w:tblStyle w:val="29"/>
        <w:tblW w:w="9180" w:type="dxa"/>
        <w:jc w:val="center"/>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1951"/>
        <w:gridCol w:w="903"/>
        <w:gridCol w:w="904"/>
        <w:gridCol w:w="903"/>
        <w:gridCol w:w="904"/>
        <w:gridCol w:w="904"/>
        <w:gridCol w:w="903"/>
        <w:gridCol w:w="904"/>
        <w:gridCol w:w="904"/>
      </w:tblGrid>
      <w:tr w14:paraId="63FC9328">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476" w:hRule="atLeast"/>
          <w:jc w:val="center"/>
        </w:trPr>
        <w:tc>
          <w:tcPr>
            <w:tcW w:w="1951" w:type="dxa"/>
            <w:tcBorders>
              <w:top w:val="single" w:color="000000" w:sz="12" w:space="0"/>
              <w:left w:val="nil"/>
              <w:bottom w:val="single" w:color="000000" w:sz="4" w:space="0"/>
              <w:right w:val="single" w:color="000000" w:sz="4" w:space="0"/>
            </w:tcBorders>
            <w:vAlign w:val="center"/>
          </w:tcPr>
          <w:p w14:paraId="1C262359">
            <w:pPr>
              <w:spacing w:line="240" w:lineRule="auto"/>
              <w:ind w:firstLine="0" w:firstLineChars="0"/>
              <w:jc w:val="center"/>
              <w:rPr>
                <w:rFonts w:ascii="Times New Roman" w:hAnsi="Times New Roman" w:eastAsia="宋体" w:cs="Times New Roman"/>
                <w:bCs/>
                <w:sz w:val="28"/>
                <w:szCs w:val="28"/>
              </w:rPr>
            </w:pPr>
            <w:r>
              <w:rPr>
                <w:rFonts w:ascii="Times New Roman" w:hAnsi="Times New Roman" w:eastAsia="宋体" w:cs="Times New Roman"/>
                <w:bCs/>
              </w:rPr>
              <w:t>平均日流量（</w:t>
            </w:r>
            <w:r>
              <w:rPr>
                <w:rFonts w:ascii="Times New Roman" w:hAnsi="Times New Roman" w:cs="Times New Roman"/>
                <w:spacing w:val="8"/>
              </w:rPr>
              <w:t>L/s</w:t>
            </w:r>
            <w:r>
              <w:rPr>
                <w:rFonts w:ascii="Times New Roman" w:hAnsi="Times New Roman" w:eastAsia="宋体" w:cs="Times New Roman"/>
                <w:bCs/>
              </w:rPr>
              <w:t>）</w:t>
            </w:r>
          </w:p>
        </w:tc>
        <w:tc>
          <w:tcPr>
            <w:tcW w:w="903" w:type="dxa"/>
            <w:tcBorders>
              <w:top w:val="single" w:color="000000" w:sz="12" w:space="0"/>
              <w:left w:val="single" w:color="000000" w:sz="4" w:space="0"/>
              <w:bottom w:val="single" w:color="000000" w:sz="4" w:space="0"/>
              <w:right w:val="single" w:color="000000" w:sz="4" w:space="0"/>
            </w:tcBorders>
            <w:vAlign w:val="center"/>
          </w:tcPr>
          <w:p w14:paraId="5498D5CF">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5</w:t>
            </w:r>
          </w:p>
        </w:tc>
        <w:tc>
          <w:tcPr>
            <w:tcW w:w="904" w:type="dxa"/>
            <w:tcBorders>
              <w:top w:val="single" w:color="000000" w:sz="12" w:space="0"/>
              <w:left w:val="single" w:color="000000" w:sz="4" w:space="0"/>
              <w:bottom w:val="single" w:color="000000" w:sz="4" w:space="0"/>
              <w:right w:val="single" w:color="000000" w:sz="4" w:space="0"/>
            </w:tcBorders>
            <w:vAlign w:val="center"/>
          </w:tcPr>
          <w:p w14:paraId="7262C651">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15</w:t>
            </w:r>
          </w:p>
        </w:tc>
        <w:tc>
          <w:tcPr>
            <w:tcW w:w="903" w:type="dxa"/>
            <w:tcBorders>
              <w:top w:val="single" w:color="000000" w:sz="12" w:space="0"/>
              <w:left w:val="single" w:color="000000" w:sz="4" w:space="0"/>
              <w:bottom w:val="single" w:color="000000" w:sz="4" w:space="0"/>
              <w:right w:val="single" w:color="000000" w:sz="4" w:space="0"/>
            </w:tcBorders>
            <w:vAlign w:val="center"/>
          </w:tcPr>
          <w:p w14:paraId="0A03E7FA">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40</w:t>
            </w:r>
          </w:p>
        </w:tc>
        <w:tc>
          <w:tcPr>
            <w:tcW w:w="904" w:type="dxa"/>
            <w:tcBorders>
              <w:top w:val="single" w:color="000000" w:sz="12" w:space="0"/>
              <w:left w:val="single" w:color="000000" w:sz="4" w:space="0"/>
              <w:bottom w:val="single" w:color="000000" w:sz="4" w:space="0"/>
              <w:right w:val="single" w:color="000000" w:sz="4" w:space="0"/>
            </w:tcBorders>
            <w:vAlign w:val="center"/>
          </w:tcPr>
          <w:p w14:paraId="4B7463A0">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70</w:t>
            </w:r>
          </w:p>
        </w:tc>
        <w:tc>
          <w:tcPr>
            <w:tcW w:w="904" w:type="dxa"/>
            <w:tcBorders>
              <w:top w:val="single" w:color="000000" w:sz="12" w:space="0"/>
              <w:left w:val="single" w:color="000000" w:sz="4" w:space="0"/>
              <w:bottom w:val="single" w:color="000000" w:sz="4" w:space="0"/>
              <w:right w:val="single" w:color="000000" w:sz="4" w:space="0"/>
            </w:tcBorders>
            <w:vAlign w:val="center"/>
          </w:tcPr>
          <w:p w14:paraId="65368673">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100</w:t>
            </w:r>
          </w:p>
        </w:tc>
        <w:tc>
          <w:tcPr>
            <w:tcW w:w="903" w:type="dxa"/>
            <w:tcBorders>
              <w:top w:val="single" w:color="000000" w:sz="12" w:space="0"/>
              <w:left w:val="single" w:color="000000" w:sz="4" w:space="0"/>
              <w:bottom w:val="single" w:color="000000" w:sz="4" w:space="0"/>
              <w:right w:val="single" w:color="000000" w:sz="4" w:space="0"/>
            </w:tcBorders>
            <w:vAlign w:val="center"/>
          </w:tcPr>
          <w:p w14:paraId="727D6931">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200</w:t>
            </w:r>
          </w:p>
        </w:tc>
        <w:tc>
          <w:tcPr>
            <w:tcW w:w="904" w:type="dxa"/>
            <w:tcBorders>
              <w:top w:val="single" w:color="000000" w:sz="12" w:space="0"/>
              <w:left w:val="single" w:color="000000" w:sz="4" w:space="0"/>
              <w:bottom w:val="single" w:color="000000" w:sz="4" w:space="0"/>
              <w:right w:val="single" w:color="000000" w:sz="4" w:space="0"/>
            </w:tcBorders>
            <w:vAlign w:val="center"/>
          </w:tcPr>
          <w:p w14:paraId="47FB6E5E">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500</w:t>
            </w:r>
          </w:p>
        </w:tc>
        <w:tc>
          <w:tcPr>
            <w:tcW w:w="904" w:type="dxa"/>
            <w:tcBorders>
              <w:top w:val="single" w:color="000000" w:sz="12" w:space="0"/>
              <w:left w:val="single" w:color="000000" w:sz="4" w:space="0"/>
              <w:bottom w:val="single" w:color="000000" w:sz="4" w:space="0"/>
              <w:right w:val="nil"/>
            </w:tcBorders>
            <w:vAlign w:val="center"/>
          </w:tcPr>
          <w:p w14:paraId="306E42A4">
            <w:pPr>
              <w:spacing w:line="240" w:lineRule="auto"/>
              <w:ind w:firstLine="0" w:firstLineChars="0"/>
              <w:jc w:val="center"/>
              <w:rPr>
                <w:rFonts w:ascii="Times New Roman" w:hAnsi="Times New Roman" w:eastAsia="宋体" w:cs="Times New Roman"/>
                <w:bCs/>
                <w:sz w:val="28"/>
                <w:szCs w:val="28"/>
              </w:rPr>
            </w:pPr>
            <w:r>
              <w:rPr>
                <w:rFonts w:ascii="Times New Roman" w:hAnsi="Times New Roman" w:eastAsia="宋体" w:cs="Times New Roman"/>
                <w:bCs/>
              </w:rPr>
              <w:t>≥</w:t>
            </w:r>
            <w:r>
              <w:rPr>
                <w:rFonts w:ascii="Times New Roman" w:hAnsi="Times New Roman" w:cs="Times New Roman"/>
                <w:bCs/>
              </w:rPr>
              <w:t>1000</w:t>
            </w:r>
          </w:p>
        </w:tc>
      </w:tr>
      <w:tr w14:paraId="3B7F2CDF">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429" w:hRule="atLeast"/>
          <w:jc w:val="center"/>
        </w:trPr>
        <w:tc>
          <w:tcPr>
            <w:tcW w:w="1951" w:type="dxa"/>
            <w:tcBorders>
              <w:top w:val="single" w:color="000000" w:sz="4" w:space="0"/>
              <w:left w:val="nil"/>
              <w:bottom w:val="single" w:color="000000" w:sz="12" w:space="0"/>
              <w:right w:val="single" w:color="000000" w:sz="4" w:space="0"/>
            </w:tcBorders>
            <w:vAlign w:val="center"/>
          </w:tcPr>
          <w:p w14:paraId="510CACFB">
            <w:pPr>
              <w:spacing w:line="240" w:lineRule="auto"/>
              <w:ind w:firstLine="0" w:firstLineChars="0"/>
              <w:jc w:val="center"/>
              <w:rPr>
                <w:rFonts w:ascii="Times New Roman" w:hAnsi="Times New Roman" w:eastAsia="宋体" w:cs="Times New Roman"/>
                <w:bCs/>
                <w:sz w:val="28"/>
                <w:szCs w:val="28"/>
              </w:rPr>
            </w:pPr>
            <w:r>
              <w:rPr>
                <w:rFonts w:ascii="Times New Roman" w:hAnsi="Times New Roman" w:eastAsia="宋体" w:cs="Times New Roman"/>
                <w:bCs/>
              </w:rPr>
              <w:t>总变化系数</w:t>
            </w:r>
            <w:r>
              <w:rPr>
                <w:rFonts w:ascii="Times New Roman" w:hAnsi="Times New Roman" w:cs="Times New Roman"/>
                <w:bCs/>
              </w:rPr>
              <w:t>K</w:t>
            </w:r>
            <w:r>
              <w:rPr>
                <w:rFonts w:ascii="Times New Roman" w:hAnsi="Times New Roman" w:cs="Times New Roman"/>
                <w:bCs/>
                <w:vertAlign w:val="subscript"/>
              </w:rPr>
              <w:t>Z</w:t>
            </w:r>
          </w:p>
        </w:tc>
        <w:tc>
          <w:tcPr>
            <w:tcW w:w="903" w:type="dxa"/>
            <w:tcBorders>
              <w:top w:val="single" w:color="000000" w:sz="4" w:space="0"/>
              <w:left w:val="single" w:color="000000" w:sz="4" w:space="0"/>
              <w:bottom w:val="single" w:color="000000" w:sz="12" w:space="0"/>
              <w:right w:val="single" w:color="000000" w:sz="4" w:space="0"/>
            </w:tcBorders>
            <w:vAlign w:val="center"/>
          </w:tcPr>
          <w:p w14:paraId="43A8BB3B">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2.7</w:t>
            </w:r>
          </w:p>
        </w:tc>
        <w:tc>
          <w:tcPr>
            <w:tcW w:w="904" w:type="dxa"/>
            <w:tcBorders>
              <w:top w:val="single" w:color="000000" w:sz="4" w:space="0"/>
              <w:left w:val="single" w:color="000000" w:sz="4" w:space="0"/>
              <w:bottom w:val="single" w:color="000000" w:sz="12" w:space="0"/>
              <w:right w:val="single" w:color="000000" w:sz="4" w:space="0"/>
            </w:tcBorders>
            <w:vAlign w:val="center"/>
          </w:tcPr>
          <w:p w14:paraId="6B47C449">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2.4</w:t>
            </w:r>
          </w:p>
        </w:tc>
        <w:tc>
          <w:tcPr>
            <w:tcW w:w="903" w:type="dxa"/>
            <w:tcBorders>
              <w:top w:val="single" w:color="000000" w:sz="4" w:space="0"/>
              <w:left w:val="single" w:color="000000" w:sz="4" w:space="0"/>
              <w:bottom w:val="single" w:color="000000" w:sz="12" w:space="0"/>
              <w:right w:val="single" w:color="000000" w:sz="4" w:space="0"/>
            </w:tcBorders>
            <w:vAlign w:val="center"/>
          </w:tcPr>
          <w:p w14:paraId="16E839E9">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2.1</w:t>
            </w:r>
          </w:p>
        </w:tc>
        <w:tc>
          <w:tcPr>
            <w:tcW w:w="904" w:type="dxa"/>
            <w:tcBorders>
              <w:top w:val="single" w:color="000000" w:sz="4" w:space="0"/>
              <w:left w:val="single" w:color="000000" w:sz="4" w:space="0"/>
              <w:bottom w:val="single" w:color="000000" w:sz="12" w:space="0"/>
              <w:right w:val="single" w:color="000000" w:sz="4" w:space="0"/>
            </w:tcBorders>
            <w:vAlign w:val="center"/>
          </w:tcPr>
          <w:p w14:paraId="3C7D94E1">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2.0</w:t>
            </w:r>
          </w:p>
        </w:tc>
        <w:tc>
          <w:tcPr>
            <w:tcW w:w="904" w:type="dxa"/>
            <w:tcBorders>
              <w:top w:val="single" w:color="000000" w:sz="4" w:space="0"/>
              <w:left w:val="single" w:color="000000" w:sz="4" w:space="0"/>
              <w:bottom w:val="single" w:color="000000" w:sz="12" w:space="0"/>
              <w:right w:val="single" w:color="000000" w:sz="4" w:space="0"/>
            </w:tcBorders>
            <w:vAlign w:val="center"/>
          </w:tcPr>
          <w:p w14:paraId="157523E4">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1.9</w:t>
            </w:r>
          </w:p>
        </w:tc>
        <w:tc>
          <w:tcPr>
            <w:tcW w:w="903" w:type="dxa"/>
            <w:tcBorders>
              <w:top w:val="single" w:color="000000" w:sz="4" w:space="0"/>
              <w:left w:val="single" w:color="000000" w:sz="4" w:space="0"/>
              <w:bottom w:val="single" w:color="000000" w:sz="12" w:space="0"/>
              <w:right w:val="single" w:color="000000" w:sz="4" w:space="0"/>
            </w:tcBorders>
            <w:vAlign w:val="center"/>
          </w:tcPr>
          <w:p w14:paraId="1760CA41">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1.8</w:t>
            </w:r>
          </w:p>
        </w:tc>
        <w:tc>
          <w:tcPr>
            <w:tcW w:w="904" w:type="dxa"/>
            <w:tcBorders>
              <w:top w:val="single" w:color="000000" w:sz="4" w:space="0"/>
              <w:left w:val="single" w:color="000000" w:sz="4" w:space="0"/>
              <w:bottom w:val="single" w:color="000000" w:sz="12" w:space="0"/>
              <w:right w:val="single" w:color="000000" w:sz="4" w:space="0"/>
            </w:tcBorders>
            <w:vAlign w:val="center"/>
          </w:tcPr>
          <w:p w14:paraId="43D3622E">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1.6</w:t>
            </w:r>
          </w:p>
        </w:tc>
        <w:tc>
          <w:tcPr>
            <w:tcW w:w="904" w:type="dxa"/>
            <w:tcBorders>
              <w:top w:val="single" w:color="000000" w:sz="4" w:space="0"/>
              <w:left w:val="single" w:color="000000" w:sz="4" w:space="0"/>
              <w:bottom w:val="single" w:color="000000" w:sz="12" w:space="0"/>
              <w:right w:val="nil"/>
            </w:tcBorders>
            <w:vAlign w:val="center"/>
          </w:tcPr>
          <w:p w14:paraId="386A1F2C">
            <w:pPr>
              <w:spacing w:line="240" w:lineRule="auto"/>
              <w:ind w:firstLine="0" w:firstLineChars="0"/>
              <w:jc w:val="center"/>
              <w:rPr>
                <w:rFonts w:ascii="Times New Roman" w:hAnsi="Times New Roman" w:eastAsia="宋体" w:cs="Times New Roman"/>
                <w:bCs/>
                <w:sz w:val="28"/>
                <w:szCs w:val="28"/>
              </w:rPr>
            </w:pPr>
            <w:r>
              <w:rPr>
                <w:rFonts w:ascii="Times New Roman" w:hAnsi="Times New Roman" w:cs="Times New Roman"/>
                <w:bCs/>
              </w:rPr>
              <w:t>1.5</w:t>
            </w:r>
          </w:p>
        </w:tc>
      </w:tr>
    </w:tbl>
    <w:p w14:paraId="3843604A">
      <w:pPr>
        <w:spacing w:before="240"/>
        <w:ind w:firstLine="480"/>
        <w:rPr>
          <w:rFonts w:ascii="Times New Roman" w:hAnsi="Times New Roman" w:eastAsia="宋体" w:cs="Times New Roman"/>
          <w:spacing w:val="8"/>
          <w:sz w:val="28"/>
          <w:szCs w:val="28"/>
        </w:rPr>
      </w:pPr>
      <w:r>
        <w:rPr>
          <w:rFonts w:ascii="Times New Roman" w:hAnsi="Times New Roman" w:eastAsia="宋体" w:cs="Times New Roman"/>
          <w:bCs/>
        </w:rPr>
        <w:t>（4）</w:t>
      </w:r>
      <w:r>
        <w:rPr>
          <w:rFonts w:ascii="Times New Roman" w:hAnsi="Times New Roman" w:eastAsia="宋体" w:cs="Times New Roman"/>
          <w:spacing w:val="8"/>
        </w:rPr>
        <w:t>最大设计充满度</w:t>
      </w:r>
    </w:p>
    <w:tbl>
      <w:tblPr>
        <w:tblStyle w:val="29"/>
        <w:tblW w:w="9274" w:type="dxa"/>
        <w:tblInd w:w="108" w:type="dxa"/>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4523"/>
        <w:gridCol w:w="4751"/>
      </w:tblGrid>
      <w:tr w14:paraId="5D5912F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07" w:hRule="atLeast"/>
        </w:trPr>
        <w:tc>
          <w:tcPr>
            <w:tcW w:w="4523" w:type="dxa"/>
            <w:tcBorders>
              <w:top w:val="single" w:color="auto" w:sz="12" w:space="0"/>
              <w:left w:val="nil"/>
              <w:bottom w:val="single" w:color="auto" w:sz="6" w:space="0"/>
              <w:right w:val="single" w:color="auto" w:sz="6" w:space="0"/>
            </w:tcBorders>
            <w:vAlign w:val="center"/>
          </w:tcPr>
          <w:p w14:paraId="1B8E7F9F">
            <w:pPr>
              <w:ind w:firstLine="512"/>
              <w:jc w:val="center"/>
              <w:rPr>
                <w:rFonts w:ascii="Times New Roman" w:hAnsi="Times New Roman" w:eastAsia="宋体" w:cs="Times New Roman"/>
                <w:spacing w:val="8"/>
                <w:sz w:val="28"/>
                <w:szCs w:val="28"/>
              </w:rPr>
            </w:pPr>
            <w:r>
              <w:rPr>
                <w:rFonts w:ascii="Times New Roman" w:hAnsi="Times New Roman" w:eastAsia="宋体" w:cs="Times New Roman"/>
                <w:spacing w:val="8"/>
              </w:rPr>
              <w:t>管径或渠高（mm）</w:t>
            </w:r>
          </w:p>
        </w:tc>
        <w:tc>
          <w:tcPr>
            <w:tcW w:w="4751" w:type="dxa"/>
            <w:tcBorders>
              <w:top w:val="single" w:color="auto" w:sz="12" w:space="0"/>
              <w:left w:val="single" w:color="auto" w:sz="6" w:space="0"/>
              <w:bottom w:val="single" w:color="auto" w:sz="6" w:space="0"/>
              <w:right w:val="nil"/>
            </w:tcBorders>
            <w:vAlign w:val="center"/>
          </w:tcPr>
          <w:p w14:paraId="65AF9DDB">
            <w:pPr>
              <w:ind w:firstLine="512"/>
              <w:jc w:val="center"/>
              <w:rPr>
                <w:rFonts w:ascii="Times New Roman" w:hAnsi="Times New Roman" w:eastAsia="宋体" w:cs="Times New Roman"/>
                <w:spacing w:val="8"/>
                <w:sz w:val="28"/>
                <w:szCs w:val="28"/>
              </w:rPr>
            </w:pPr>
            <w:r>
              <w:rPr>
                <w:rFonts w:ascii="Times New Roman" w:hAnsi="Times New Roman" w:eastAsia="宋体" w:cs="Times New Roman"/>
                <w:spacing w:val="8"/>
              </w:rPr>
              <w:t>最大设计充满度</w:t>
            </w:r>
          </w:p>
        </w:tc>
      </w:tr>
      <w:tr w14:paraId="746E2BE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79" w:hRule="atLeast"/>
        </w:trPr>
        <w:tc>
          <w:tcPr>
            <w:tcW w:w="4523" w:type="dxa"/>
            <w:tcBorders>
              <w:top w:val="single" w:color="auto" w:sz="6" w:space="0"/>
              <w:left w:val="nil"/>
              <w:bottom w:val="single" w:color="auto" w:sz="6" w:space="0"/>
              <w:right w:val="single" w:color="auto" w:sz="6" w:space="0"/>
            </w:tcBorders>
            <w:vAlign w:val="center"/>
          </w:tcPr>
          <w:p w14:paraId="63DF4035">
            <w:pPr>
              <w:ind w:firstLine="512"/>
              <w:jc w:val="center"/>
              <w:rPr>
                <w:rFonts w:ascii="Times New Roman" w:hAnsi="Times New Roman" w:eastAsia="Arial Unicode MS" w:cs="Times New Roman"/>
                <w:spacing w:val="8"/>
                <w:sz w:val="28"/>
                <w:szCs w:val="28"/>
              </w:rPr>
            </w:pPr>
            <w:r>
              <w:rPr>
                <w:rFonts w:ascii="Times New Roman" w:hAnsi="Times New Roman" w:cs="Times New Roman"/>
                <w:spacing w:val="8"/>
              </w:rPr>
              <w:t>200~300</w:t>
            </w:r>
          </w:p>
        </w:tc>
        <w:tc>
          <w:tcPr>
            <w:tcW w:w="4751" w:type="dxa"/>
            <w:tcBorders>
              <w:top w:val="single" w:color="auto" w:sz="6" w:space="0"/>
              <w:left w:val="single" w:color="auto" w:sz="6" w:space="0"/>
              <w:bottom w:val="single" w:color="auto" w:sz="6" w:space="0"/>
              <w:right w:val="nil"/>
            </w:tcBorders>
            <w:vAlign w:val="center"/>
          </w:tcPr>
          <w:p w14:paraId="1EFB0535">
            <w:pPr>
              <w:ind w:firstLine="512"/>
              <w:jc w:val="center"/>
              <w:rPr>
                <w:rFonts w:ascii="Times New Roman" w:hAnsi="Times New Roman" w:eastAsia="宋体" w:cs="Times New Roman"/>
                <w:spacing w:val="8"/>
                <w:sz w:val="28"/>
                <w:szCs w:val="28"/>
              </w:rPr>
            </w:pPr>
            <w:r>
              <w:rPr>
                <w:rFonts w:ascii="Times New Roman" w:hAnsi="Times New Roman" w:cs="Times New Roman"/>
                <w:spacing w:val="8"/>
              </w:rPr>
              <w:t>0.55</w:t>
            </w:r>
          </w:p>
        </w:tc>
      </w:tr>
      <w:tr w14:paraId="6CDDC53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45" w:hRule="atLeast"/>
        </w:trPr>
        <w:tc>
          <w:tcPr>
            <w:tcW w:w="4523" w:type="dxa"/>
            <w:tcBorders>
              <w:top w:val="single" w:color="auto" w:sz="6" w:space="0"/>
              <w:left w:val="nil"/>
              <w:bottom w:val="single" w:color="auto" w:sz="6" w:space="0"/>
              <w:right w:val="single" w:color="auto" w:sz="6" w:space="0"/>
            </w:tcBorders>
            <w:vAlign w:val="center"/>
          </w:tcPr>
          <w:p w14:paraId="7173F52D">
            <w:pPr>
              <w:ind w:firstLine="512"/>
              <w:jc w:val="center"/>
              <w:rPr>
                <w:rFonts w:ascii="Times New Roman" w:hAnsi="Times New Roman" w:eastAsia="宋体" w:cs="Times New Roman"/>
                <w:spacing w:val="8"/>
                <w:sz w:val="28"/>
                <w:szCs w:val="28"/>
              </w:rPr>
            </w:pPr>
            <w:r>
              <w:rPr>
                <w:rFonts w:ascii="Times New Roman" w:hAnsi="Times New Roman" w:cs="Times New Roman"/>
                <w:spacing w:val="8"/>
              </w:rPr>
              <w:t>350~450</w:t>
            </w:r>
          </w:p>
        </w:tc>
        <w:tc>
          <w:tcPr>
            <w:tcW w:w="4751" w:type="dxa"/>
            <w:tcBorders>
              <w:top w:val="single" w:color="auto" w:sz="6" w:space="0"/>
              <w:left w:val="single" w:color="auto" w:sz="6" w:space="0"/>
              <w:bottom w:val="single" w:color="auto" w:sz="6" w:space="0"/>
              <w:right w:val="nil"/>
            </w:tcBorders>
            <w:vAlign w:val="center"/>
          </w:tcPr>
          <w:p w14:paraId="47E6B5A8">
            <w:pPr>
              <w:ind w:firstLine="512"/>
              <w:jc w:val="center"/>
              <w:rPr>
                <w:rFonts w:ascii="Times New Roman" w:hAnsi="Times New Roman" w:eastAsia="宋体" w:cs="Times New Roman"/>
                <w:spacing w:val="8"/>
                <w:sz w:val="28"/>
                <w:szCs w:val="28"/>
              </w:rPr>
            </w:pPr>
            <w:r>
              <w:rPr>
                <w:rFonts w:ascii="Times New Roman" w:hAnsi="Times New Roman" w:cs="Times New Roman"/>
                <w:spacing w:val="8"/>
              </w:rPr>
              <w:t>0.65</w:t>
            </w:r>
          </w:p>
        </w:tc>
      </w:tr>
      <w:tr w14:paraId="6B9BB53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51" w:hRule="atLeast"/>
        </w:trPr>
        <w:tc>
          <w:tcPr>
            <w:tcW w:w="4523" w:type="dxa"/>
            <w:tcBorders>
              <w:top w:val="single" w:color="auto" w:sz="6" w:space="0"/>
              <w:left w:val="nil"/>
              <w:bottom w:val="single" w:color="auto" w:sz="6" w:space="0"/>
              <w:right w:val="single" w:color="auto" w:sz="6" w:space="0"/>
            </w:tcBorders>
            <w:vAlign w:val="center"/>
          </w:tcPr>
          <w:p w14:paraId="1C1F80FB">
            <w:pPr>
              <w:ind w:firstLine="512"/>
              <w:jc w:val="center"/>
              <w:rPr>
                <w:rFonts w:ascii="Times New Roman" w:hAnsi="Times New Roman" w:eastAsia="宋体" w:cs="Times New Roman"/>
                <w:spacing w:val="8"/>
                <w:sz w:val="28"/>
                <w:szCs w:val="28"/>
              </w:rPr>
            </w:pPr>
            <w:r>
              <w:rPr>
                <w:rFonts w:ascii="Times New Roman" w:hAnsi="Times New Roman" w:cs="Times New Roman"/>
                <w:spacing w:val="8"/>
              </w:rPr>
              <w:t>500~900</w:t>
            </w:r>
          </w:p>
        </w:tc>
        <w:tc>
          <w:tcPr>
            <w:tcW w:w="4751" w:type="dxa"/>
            <w:tcBorders>
              <w:top w:val="single" w:color="auto" w:sz="6" w:space="0"/>
              <w:left w:val="single" w:color="auto" w:sz="6" w:space="0"/>
              <w:bottom w:val="single" w:color="auto" w:sz="6" w:space="0"/>
              <w:right w:val="nil"/>
            </w:tcBorders>
            <w:vAlign w:val="center"/>
          </w:tcPr>
          <w:p w14:paraId="535B614B">
            <w:pPr>
              <w:ind w:firstLine="512"/>
              <w:jc w:val="center"/>
              <w:rPr>
                <w:rFonts w:ascii="Times New Roman" w:hAnsi="Times New Roman" w:eastAsia="宋体" w:cs="Times New Roman"/>
                <w:spacing w:val="8"/>
                <w:sz w:val="28"/>
                <w:szCs w:val="28"/>
              </w:rPr>
            </w:pPr>
            <w:r>
              <w:rPr>
                <w:rFonts w:ascii="Times New Roman" w:hAnsi="Times New Roman" w:cs="Times New Roman"/>
                <w:spacing w:val="8"/>
              </w:rPr>
              <w:t>0.70</w:t>
            </w:r>
          </w:p>
        </w:tc>
      </w:tr>
      <w:tr w14:paraId="5D9E9CB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16" w:hRule="atLeast"/>
        </w:trPr>
        <w:tc>
          <w:tcPr>
            <w:tcW w:w="4523" w:type="dxa"/>
            <w:tcBorders>
              <w:top w:val="single" w:color="auto" w:sz="6" w:space="0"/>
              <w:left w:val="nil"/>
              <w:bottom w:val="single" w:color="auto" w:sz="12" w:space="0"/>
              <w:right w:val="single" w:color="auto" w:sz="6" w:space="0"/>
            </w:tcBorders>
            <w:vAlign w:val="center"/>
          </w:tcPr>
          <w:p w14:paraId="7E19C04F">
            <w:pPr>
              <w:ind w:firstLine="512"/>
              <w:jc w:val="center"/>
              <w:rPr>
                <w:rFonts w:ascii="Times New Roman" w:hAnsi="Times New Roman" w:eastAsia="宋体" w:cs="Times New Roman"/>
                <w:spacing w:val="8"/>
                <w:sz w:val="28"/>
                <w:szCs w:val="28"/>
              </w:rPr>
            </w:pPr>
            <w:r>
              <w:rPr>
                <w:rFonts w:ascii="Times New Roman" w:hAnsi="Times New Roman" w:eastAsia="宋体" w:cs="Times New Roman"/>
                <w:spacing w:val="8"/>
              </w:rPr>
              <w:t>≥</w:t>
            </w:r>
            <w:r>
              <w:rPr>
                <w:rFonts w:ascii="Times New Roman" w:hAnsi="Times New Roman" w:cs="Times New Roman"/>
                <w:spacing w:val="8"/>
              </w:rPr>
              <w:t>1000</w:t>
            </w:r>
          </w:p>
        </w:tc>
        <w:tc>
          <w:tcPr>
            <w:tcW w:w="4751" w:type="dxa"/>
            <w:tcBorders>
              <w:top w:val="single" w:color="auto" w:sz="6" w:space="0"/>
              <w:left w:val="single" w:color="auto" w:sz="6" w:space="0"/>
              <w:bottom w:val="single" w:color="auto" w:sz="12" w:space="0"/>
              <w:right w:val="nil"/>
            </w:tcBorders>
            <w:vAlign w:val="center"/>
          </w:tcPr>
          <w:p w14:paraId="71317DD9">
            <w:pPr>
              <w:ind w:firstLine="512"/>
              <w:jc w:val="center"/>
              <w:rPr>
                <w:rFonts w:ascii="Times New Roman" w:hAnsi="Times New Roman" w:eastAsia="宋体" w:cs="Times New Roman"/>
                <w:spacing w:val="8"/>
                <w:sz w:val="28"/>
                <w:szCs w:val="28"/>
              </w:rPr>
            </w:pPr>
            <w:r>
              <w:rPr>
                <w:rFonts w:ascii="Times New Roman" w:hAnsi="Times New Roman" w:cs="Times New Roman"/>
                <w:spacing w:val="8"/>
              </w:rPr>
              <w:t>0.75</w:t>
            </w:r>
          </w:p>
        </w:tc>
      </w:tr>
      <w:bookmarkEnd w:id="56"/>
    </w:tbl>
    <w:p w14:paraId="60A8AE3F">
      <w:pPr>
        <w:pStyle w:val="5"/>
        <w:rPr>
          <w:rFonts w:ascii="Times New Roman" w:hAnsi="Times New Roman" w:cs="Times New Roman"/>
        </w:rPr>
      </w:pPr>
      <w:r>
        <w:rPr>
          <w:rFonts w:ascii="Times New Roman" w:hAnsi="Times New Roman" w:cs="Times New Roman"/>
        </w:rPr>
        <w:t>综合管线横断面设计</w:t>
      </w:r>
    </w:p>
    <w:p w14:paraId="4C4BB6A0">
      <w:pPr>
        <w:ind w:firstLine="480"/>
        <w:rPr>
          <w:rFonts w:ascii="Times New Roman" w:hAnsi="Times New Roman" w:cs="Times New Roman"/>
        </w:rPr>
      </w:pPr>
      <w:r>
        <w:rPr>
          <w:rFonts w:ascii="Times New Roman" w:hAnsi="Times New Roman" w:cs="Times New Roman"/>
        </w:rPr>
        <w:t>本工程改造雨污水管主要建设于现状道路下，雨水、污水管道设置在道路双侧的机动车、人行道道下，综合管线之间的最小垂直净距离满足GB50289-2016中表2.2.12的要求，具体详见综合管道标准横断面位置图。</w:t>
      </w:r>
    </w:p>
    <w:p w14:paraId="7538C57D">
      <w:pPr>
        <w:pStyle w:val="5"/>
        <w:rPr>
          <w:rFonts w:ascii="Times New Roman" w:hAnsi="Times New Roman" w:cs="Times New Roman"/>
        </w:rPr>
      </w:pPr>
      <w:bookmarkStart w:id="57" w:name="OLE_LINK52"/>
      <w:r>
        <w:rPr>
          <w:rFonts w:ascii="Times New Roman" w:hAnsi="Times New Roman" w:cs="Times New Roman"/>
        </w:rPr>
        <w:t>管道平面走线设计</w:t>
      </w:r>
    </w:p>
    <w:bookmarkEnd w:id="57"/>
    <w:p w14:paraId="313301C7">
      <w:pPr>
        <w:ind w:firstLine="480"/>
        <w:rPr>
          <w:rFonts w:ascii="Times New Roman" w:hAnsi="Times New Roman" w:cs="Times New Roman"/>
        </w:rPr>
      </w:pPr>
      <w:r>
        <w:rPr>
          <w:rFonts w:ascii="Times New Roman" w:hAnsi="Times New Roman" w:cs="Times New Roman"/>
        </w:rPr>
        <w:t>根据道路现状坡度，结合规划，以及采用顺坡原则考虑排水方向。为收集沿线住户生活污水，原则上新建污水管道每隔50~120m需经检查井向一侧引接纳管，长度现场定，但可根据现场实际增或减接纳管，检查井位置也可根据现场适当调整。现状为合流排水系统的道路，新建雨水管的均设置雨水口收集路面雨水，雨水管道每隔约80~120m设置支管收集周边地块雨水。</w:t>
      </w:r>
    </w:p>
    <w:p w14:paraId="1EBF8B6A">
      <w:pPr>
        <w:ind w:firstLine="480"/>
        <w:rPr>
          <w:rFonts w:ascii="Times New Roman" w:hAnsi="Times New Roman" w:cs="Times New Roman"/>
        </w:rPr>
      </w:pPr>
      <w:r>
        <w:rPr>
          <w:rFonts w:ascii="Times New Roman" w:hAnsi="Times New Roman" w:cs="Times New Roman"/>
        </w:rPr>
        <w:t xml:space="preserve">设计雨污水管道走向如下： </w:t>
      </w:r>
    </w:p>
    <w:p w14:paraId="093F3A7E">
      <w:pPr>
        <w:ind w:firstLine="480"/>
        <w:rPr>
          <w:rFonts w:ascii="Times New Roman" w:hAnsi="Times New Roman" w:cs="Times New Roman"/>
        </w:rPr>
      </w:pPr>
      <w:r>
        <w:rPr>
          <w:rFonts w:ascii="Times New Roman" w:hAnsi="Times New Roman" w:cs="Times New Roman"/>
        </w:rPr>
        <w:t>1、城西片区说明：</w:t>
      </w:r>
    </w:p>
    <w:p w14:paraId="473FC1D2">
      <w:pPr>
        <w:ind w:firstLine="480"/>
        <w:rPr>
          <w:rFonts w:ascii="Times New Roman" w:hAnsi="Times New Roman" w:cs="Times New Roman"/>
        </w:rPr>
      </w:pPr>
      <w:r>
        <w:rPr>
          <w:rFonts w:ascii="Times New Roman" w:hAnsi="Times New Roman" w:cs="Times New Roman"/>
        </w:rPr>
        <w:t>范围包含迎宾大道-宜畔路内雨水污水改造，共计4条污水管线，5条雨水改造线路，详见下表：</w:t>
      </w:r>
    </w:p>
    <w:tbl>
      <w:tblPr>
        <w:tblStyle w:val="29"/>
        <w:tblW w:w="10116" w:type="dxa"/>
        <w:jc w:val="center"/>
        <w:tblLayout w:type="autofit"/>
        <w:tblCellMar>
          <w:top w:w="0" w:type="dxa"/>
          <w:left w:w="108" w:type="dxa"/>
          <w:bottom w:w="0" w:type="dxa"/>
          <w:right w:w="108" w:type="dxa"/>
        </w:tblCellMar>
      </w:tblPr>
      <w:tblGrid>
        <w:gridCol w:w="992"/>
        <w:gridCol w:w="2693"/>
        <w:gridCol w:w="2671"/>
        <w:gridCol w:w="3760"/>
      </w:tblGrid>
      <w:tr w14:paraId="2C2F81AC">
        <w:tblPrEx>
          <w:tblCellMar>
            <w:top w:w="0" w:type="dxa"/>
            <w:left w:w="108" w:type="dxa"/>
            <w:bottom w:w="0" w:type="dxa"/>
            <w:right w:w="108" w:type="dxa"/>
          </w:tblCellMar>
        </w:tblPrEx>
        <w:trPr>
          <w:trHeight w:val="555" w:hRule="atLeast"/>
          <w:tblHeader/>
          <w:jc w:val="center"/>
        </w:trPr>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14:paraId="4F4AD6CC">
            <w:pPr>
              <w:pStyle w:val="53"/>
            </w:pPr>
            <w:r>
              <w:t>序号</w:t>
            </w:r>
          </w:p>
        </w:tc>
        <w:tc>
          <w:tcPr>
            <w:tcW w:w="2693" w:type="dxa"/>
            <w:tcBorders>
              <w:top w:val="single" w:color="auto" w:sz="4" w:space="0"/>
              <w:left w:val="nil"/>
              <w:bottom w:val="single" w:color="auto" w:sz="4" w:space="0"/>
              <w:right w:val="single" w:color="auto" w:sz="4" w:space="0"/>
            </w:tcBorders>
            <w:shd w:val="clear" w:color="auto" w:fill="auto"/>
            <w:vAlign w:val="center"/>
          </w:tcPr>
          <w:p w14:paraId="78A5C4C0">
            <w:pPr>
              <w:pStyle w:val="53"/>
            </w:pPr>
            <w:r>
              <w:t>线路名称</w:t>
            </w:r>
          </w:p>
        </w:tc>
        <w:tc>
          <w:tcPr>
            <w:tcW w:w="2671" w:type="dxa"/>
            <w:tcBorders>
              <w:top w:val="single" w:color="auto" w:sz="4" w:space="0"/>
              <w:left w:val="nil"/>
              <w:bottom w:val="single" w:color="auto" w:sz="4" w:space="0"/>
              <w:right w:val="single" w:color="auto" w:sz="4" w:space="0"/>
            </w:tcBorders>
            <w:shd w:val="clear" w:color="auto" w:fill="auto"/>
            <w:vAlign w:val="center"/>
          </w:tcPr>
          <w:p w14:paraId="74125A18">
            <w:pPr>
              <w:pStyle w:val="53"/>
            </w:pPr>
            <w:r>
              <w:t>建设内容</w:t>
            </w:r>
          </w:p>
        </w:tc>
        <w:tc>
          <w:tcPr>
            <w:tcW w:w="3760" w:type="dxa"/>
            <w:tcBorders>
              <w:top w:val="single" w:color="auto" w:sz="4" w:space="0"/>
              <w:left w:val="nil"/>
              <w:bottom w:val="single" w:color="auto" w:sz="4" w:space="0"/>
              <w:right w:val="single" w:color="auto" w:sz="4" w:space="0"/>
            </w:tcBorders>
            <w:shd w:val="clear" w:color="auto" w:fill="auto"/>
            <w:vAlign w:val="center"/>
          </w:tcPr>
          <w:p w14:paraId="7AF70AEC">
            <w:pPr>
              <w:pStyle w:val="53"/>
            </w:pPr>
            <w:r>
              <w:t>备注</w:t>
            </w:r>
          </w:p>
        </w:tc>
      </w:tr>
      <w:tr w14:paraId="2F2E3519">
        <w:tblPrEx>
          <w:tblCellMar>
            <w:top w:w="0" w:type="dxa"/>
            <w:left w:w="108" w:type="dxa"/>
            <w:bottom w:w="0" w:type="dxa"/>
            <w:right w:w="108" w:type="dxa"/>
          </w:tblCellMar>
        </w:tblPrEx>
        <w:trPr>
          <w:trHeight w:val="1140" w:hRule="atLeast"/>
          <w:jc w:val="center"/>
        </w:trPr>
        <w:tc>
          <w:tcPr>
            <w:tcW w:w="992" w:type="dxa"/>
            <w:tcBorders>
              <w:top w:val="nil"/>
              <w:left w:val="single" w:color="auto" w:sz="4" w:space="0"/>
              <w:bottom w:val="single" w:color="auto" w:sz="4" w:space="0"/>
              <w:right w:val="single" w:color="auto" w:sz="4" w:space="0"/>
            </w:tcBorders>
            <w:shd w:val="clear" w:color="auto" w:fill="auto"/>
            <w:vAlign w:val="center"/>
          </w:tcPr>
          <w:p w14:paraId="229767DE">
            <w:pPr>
              <w:pStyle w:val="53"/>
            </w:pPr>
            <w:r>
              <w:t>污水-01</w:t>
            </w:r>
          </w:p>
        </w:tc>
        <w:tc>
          <w:tcPr>
            <w:tcW w:w="2693" w:type="dxa"/>
            <w:tcBorders>
              <w:top w:val="nil"/>
              <w:left w:val="nil"/>
              <w:bottom w:val="single" w:color="auto" w:sz="4" w:space="0"/>
              <w:right w:val="single" w:color="auto" w:sz="4" w:space="0"/>
            </w:tcBorders>
            <w:shd w:val="clear" w:color="auto" w:fill="auto"/>
            <w:vAlign w:val="center"/>
          </w:tcPr>
          <w:p w14:paraId="26E7A791">
            <w:pPr>
              <w:pStyle w:val="53"/>
              <w:rPr>
                <w:color w:val="FF0000"/>
              </w:rPr>
            </w:pPr>
            <w:r>
              <w:rPr>
                <w:color w:val="FF0000"/>
              </w:rPr>
              <w:t>周水路-鹏岭路东侧</w:t>
            </w:r>
          </w:p>
          <w:p w14:paraId="3C8BBBAF">
            <w:pPr>
              <w:pStyle w:val="53"/>
            </w:pPr>
            <w:r>
              <w:t>（金宜大道北面）</w:t>
            </w:r>
          </w:p>
        </w:tc>
        <w:tc>
          <w:tcPr>
            <w:tcW w:w="2671" w:type="dxa"/>
            <w:tcBorders>
              <w:top w:val="nil"/>
              <w:left w:val="nil"/>
              <w:bottom w:val="single" w:color="auto" w:sz="4" w:space="0"/>
              <w:right w:val="single" w:color="auto" w:sz="4" w:space="0"/>
            </w:tcBorders>
            <w:shd w:val="clear" w:color="auto" w:fill="auto"/>
          </w:tcPr>
          <w:p w14:paraId="2A4665EE">
            <w:pPr>
              <w:pStyle w:val="53"/>
            </w:pPr>
            <w:r>
              <w:t>由西向东收集沿线</w:t>
            </w:r>
            <w:r>
              <w:rPr>
                <w:rFonts w:hint="eastAsia"/>
                <w:color w:val="FF0000"/>
              </w:rPr>
              <w:t>北面</w:t>
            </w:r>
            <w:r>
              <w:t>污水汇集至鹏岭路</w:t>
            </w:r>
            <w:r>
              <w:rPr>
                <w:rFonts w:hint="eastAsia"/>
              </w:rPr>
              <w:t>东侧</w:t>
            </w:r>
            <w:r>
              <w:t>现状市政污水主管</w:t>
            </w:r>
          </w:p>
        </w:tc>
        <w:tc>
          <w:tcPr>
            <w:tcW w:w="3760" w:type="dxa"/>
            <w:vMerge w:val="restart"/>
            <w:tcBorders>
              <w:top w:val="nil"/>
              <w:left w:val="nil"/>
              <w:right w:val="single" w:color="auto" w:sz="4" w:space="0"/>
            </w:tcBorders>
            <w:shd w:val="clear" w:color="auto" w:fill="auto"/>
          </w:tcPr>
          <w:p w14:paraId="73E9F77D">
            <w:pPr>
              <w:pStyle w:val="53"/>
            </w:pPr>
            <w:r>
              <w:t>规划污水管道管径DN600，单侧布管，设计为双侧布管；设计排向与规划一致。现状南面现状已存在DN600污水管道，但现状管未成系统，排向及标高存在问题，故按改建考虑。</w:t>
            </w:r>
          </w:p>
        </w:tc>
      </w:tr>
      <w:tr w14:paraId="13D02E6D">
        <w:tblPrEx>
          <w:tblCellMar>
            <w:top w:w="0" w:type="dxa"/>
            <w:left w:w="108" w:type="dxa"/>
            <w:bottom w:w="0" w:type="dxa"/>
            <w:right w:w="108" w:type="dxa"/>
          </w:tblCellMar>
        </w:tblPrEx>
        <w:trPr>
          <w:trHeight w:val="1155" w:hRule="atLeast"/>
          <w:jc w:val="center"/>
        </w:trPr>
        <w:tc>
          <w:tcPr>
            <w:tcW w:w="992" w:type="dxa"/>
            <w:tcBorders>
              <w:top w:val="nil"/>
              <w:left w:val="single" w:color="auto" w:sz="4" w:space="0"/>
              <w:bottom w:val="single" w:color="auto" w:sz="4" w:space="0"/>
              <w:right w:val="single" w:color="auto" w:sz="4" w:space="0"/>
            </w:tcBorders>
            <w:shd w:val="clear" w:color="auto" w:fill="auto"/>
            <w:vAlign w:val="center"/>
          </w:tcPr>
          <w:p w14:paraId="6A282006">
            <w:pPr>
              <w:pStyle w:val="53"/>
            </w:pPr>
            <w:r>
              <w:t>污水-02</w:t>
            </w:r>
          </w:p>
        </w:tc>
        <w:tc>
          <w:tcPr>
            <w:tcW w:w="2693" w:type="dxa"/>
            <w:tcBorders>
              <w:top w:val="nil"/>
              <w:left w:val="nil"/>
              <w:bottom w:val="single" w:color="auto" w:sz="4" w:space="0"/>
              <w:right w:val="single" w:color="auto" w:sz="4" w:space="0"/>
            </w:tcBorders>
            <w:shd w:val="clear" w:color="auto" w:fill="auto"/>
            <w:vAlign w:val="center"/>
          </w:tcPr>
          <w:p w14:paraId="68661D4D">
            <w:pPr>
              <w:pStyle w:val="53"/>
              <w:rPr>
                <w:rFonts w:hint="eastAsia"/>
                <w:color w:val="FF0000"/>
              </w:rPr>
            </w:pPr>
            <w:r>
              <w:rPr>
                <w:color w:val="FF0000"/>
              </w:rPr>
              <w:t>宜畔路-鹏岭路东侧</w:t>
            </w:r>
          </w:p>
          <w:p w14:paraId="1AED3149">
            <w:pPr>
              <w:pStyle w:val="53"/>
            </w:pPr>
            <w:r>
              <w:t>（金宜大道南面）</w:t>
            </w:r>
          </w:p>
        </w:tc>
        <w:tc>
          <w:tcPr>
            <w:tcW w:w="2671" w:type="dxa"/>
            <w:tcBorders>
              <w:top w:val="nil"/>
              <w:left w:val="nil"/>
              <w:bottom w:val="single" w:color="auto" w:sz="4" w:space="0"/>
              <w:right w:val="single" w:color="auto" w:sz="4" w:space="0"/>
            </w:tcBorders>
            <w:shd w:val="clear" w:color="auto" w:fill="auto"/>
          </w:tcPr>
          <w:p w14:paraId="3C88BB9E">
            <w:pPr>
              <w:pStyle w:val="53"/>
            </w:pPr>
            <w:r>
              <w:t>由西向东收集沿线南面污水汇集至鹏岭路</w:t>
            </w:r>
            <w:r>
              <w:rPr>
                <w:rFonts w:hint="eastAsia"/>
              </w:rPr>
              <w:t>东侧</w:t>
            </w:r>
            <w:r>
              <w:t>现状市政污水主管</w:t>
            </w:r>
          </w:p>
        </w:tc>
        <w:tc>
          <w:tcPr>
            <w:tcW w:w="3760" w:type="dxa"/>
            <w:vMerge w:val="continue"/>
            <w:tcBorders>
              <w:left w:val="nil"/>
              <w:bottom w:val="single" w:color="auto" w:sz="4" w:space="0"/>
              <w:right w:val="single" w:color="auto" w:sz="4" w:space="0"/>
            </w:tcBorders>
            <w:shd w:val="clear" w:color="auto" w:fill="auto"/>
          </w:tcPr>
          <w:p w14:paraId="3B2C9A58">
            <w:pPr>
              <w:pStyle w:val="53"/>
            </w:pPr>
          </w:p>
        </w:tc>
      </w:tr>
      <w:tr w14:paraId="74B7E980">
        <w:tblPrEx>
          <w:tblCellMar>
            <w:top w:w="0" w:type="dxa"/>
            <w:left w:w="108" w:type="dxa"/>
            <w:bottom w:w="0" w:type="dxa"/>
            <w:right w:w="108" w:type="dxa"/>
          </w:tblCellMar>
        </w:tblPrEx>
        <w:trPr>
          <w:trHeight w:val="705" w:hRule="atLeast"/>
          <w:jc w:val="center"/>
        </w:trPr>
        <w:tc>
          <w:tcPr>
            <w:tcW w:w="992" w:type="dxa"/>
            <w:tcBorders>
              <w:top w:val="nil"/>
              <w:left w:val="single" w:color="auto" w:sz="4" w:space="0"/>
              <w:bottom w:val="single" w:color="auto" w:sz="4" w:space="0"/>
              <w:right w:val="single" w:color="auto" w:sz="4" w:space="0"/>
            </w:tcBorders>
            <w:shd w:val="clear" w:color="auto" w:fill="auto"/>
            <w:vAlign w:val="center"/>
          </w:tcPr>
          <w:p w14:paraId="3047C67F">
            <w:pPr>
              <w:pStyle w:val="53"/>
            </w:pPr>
            <w:r>
              <w:t>污水-03</w:t>
            </w:r>
          </w:p>
        </w:tc>
        <w:tc>
          <w:tcPr>
            <w:tcW w:w="2693" w:type="dxa"/>
            <w:tcBorders>
              <w:top w:val="nil"/>
              <w:left w:val="nil"/>
              <w:bottom w:val="single" w:color="auto" w:sz="4" w:space="0"/>
              <w:right w:val="single" w:color="auto" w:sz="4" w:space="0"/>
            </w:tcBorders>
            <w:shd w:val="clear" w:color="auto" w:fill="auto"/>
            <w:vAlign w:val="center"/>
          </w:tcPr>
          <w:p w14:paraId="1EDF6D24">
            <w:pPr>
              <w:pStyle w:val="53"/>
            </w:pPr>
            <w:r>
              <w:t>江高路（龙溪路西段-金宜大道）</w:t>
            </w:r>
          </w:p>
        </w:tc>
        <w:tc>
          <w:tcPr>
            <w:tcW w:w="2671" w:type="dxa"/>
            <w:tcBorders>
              <w:top w:val="nil"/>
              <w:left w:val="nil"/>
              <w:bottom w:val="single" w:color="auto" w:sz="4" w:space="0"/>
              <w:right w:val="single" w:color="auto" w:sz="4" w:space="0"/>
            </w:tcBorders>
            <w:shd w:val="clear" w:color="auto" w:fill="auto"/>
          </w:tcPr>
          <w:p w14:paraId="3C6381C4">
            <w:pPr>
              <w:pStyle w:val="53"/>
            </w:pPr>
            <w:r>
              <w:t>由南往北走向收集沿线污水汇入污水-01管线</w:t>
            </w:r>
          </w:p>
        </w:tc>
        <w:tc>
          <w:tcPr>
            <w:tcW w:w="3760" w:type="dxa"/>
            <w:tcBorders>
              <w:top w:val="nil"/>
              <w:left w:val="nil"/>
              <w:bottom w:val="single" w:color="auto" w:sz="4" w:space="0"/>
              <w:right w:val="single" w:color="auto" w:sz="4" w:space="0"/>
            </w:tcBorders>
            <w:shd w:val="clear" w:color="auto" w:fill="auto"/>
          </w:tcPr>
          <w:p w14:paraId="661B0268">
            <w:pPr>
              <w:pStyle w:val="53"/>
            </w:pPr>
            <w:r>
              <w:t>规划未说明本段污水管管径及流向，现状无污水管道。</w:t>
            </w:r>
          </w:p>
        </w:tc>
      </w:tr>
      <w:tr w14:paraId="3509BD79">
        <w:tblPrEx>
          <w:tblCellMar>
            <w:top w:w="0" w:type="dxa"/>
            <w:left w:w="108" w:type="dxa"/>
            <w:bottom w:w="0" w:type="dxa"/>
            <w:right w:w="108" w:type="dxa"/>
          </w:tblCellMar>
        </w:tblPrEx>
        <w:trPr>
          <w:trHeight w:val="1170" w:hRule="atLeast"/>
          <w:jc w:val="center"/>
        </w:trPr>
        <w:tc>
          <w:tcPr>
            <w:tcW w:w="992" w:type="dxa"/>
            <w:tcBorders>
              <w:top w:val="nil"/>
              <w:left w:val="single" w:color="auto" w:sz="4" w:space="0"/>
              <w:bottom w:val="single" w:color="auto" w:sz="4" w:space="0"/>
              <w:right w:val="single" w:color="auto" w:sz="4" w:space="0"/>
            </w:tcBorders>
            <w:shd w:val="clear" w:color="auto" w:fill="auto"/>
            <w:vAlign w:val="center"/>
          </w:tcPr>
          <w:p w14:paraId="2553A9FA">
            <w:pPr>
              <w:pStyle w:val="53"/>
            </w:pPr>
            <w:r>
              <w:t>污水-04</w:t>
            </w:r>
          </w:p>
        </w:tc>
        <w:tc>
          <w:tcPr>
            <w:tcW w:w="2693" w:type="dxa"/>
            <w:tcBorders>
              <w:top w:val="nil"/>
              <w:left w:val="nil"/>
              <w:bottom w:val="single" w:color="auto" w:sz="4" w:space="0"/>
              <w:right w:val="single" w:color="auto" w:sz="4" w:space="0"/>
            </w:tcBorders>
            <w:shd w:val="clear" w:color="auto" w:fill="auto"/>
            <w:vAlign w:val="center"/>
          </w:tcPr>
          <w:p w14:paraId="30B892A4">
            <w:pPr>
              <w:pStyle w:val="53"/>
            </w:pPr>
            <w:r>
              <w:t>山谷高中改造点</w:t>
            </w:r>
          </w:p>
          <w:p w14:paraId="216CEB4D">
            <w:pPr>
              <w:pStyle w:val="53"/>
            </w:pPr>
            <w:r>
              <w:t>（高家堡西路-粤州西路）</w:t>
            </w:r>
          </w:p>
        </w:tc>
        <w:tc>
          <w:tcPr>
            <w:tcW w:w="2671" w:type="dxa"/>
            <w:tcBorders>
              <w:top w:val="nil"/>
              <w:left w:val="nil"/>
              <w:bottom w:val="single" w:color="auto" w:sz="4" w:space="0"/>
              <w:right w:val="single" w:color="auto" w:sz="4" w:space="0"/>
            </w:tcBorders>
            <w:shd w:val="clear" w:color="auto" w:fill="auto"/>
          </w:tcPr>
          <w:p w14:paraId="5AD1DA86">
            <w:pPr>
              <w:pStyle w:val="53"/>
            </w:pPr>
            <w:r>
              <w:t>南往北走向，沿着现状土渠布管，收集沿线各小区污水排放汇集至粤州西路现状市政污水主管</w:t>
            </w:r>
          </w:p>
        </w:tc>
        <w:tc>
          <w:tcPr>
            <w:tcW w:w="3760" w:type="dxa"/>
            <w:tcBorders>
              <w:top w:val="nil"/>
              <w:left w:val="nil"/>
              <w:bottom w:val="single" w:color="auto" w:sz="4" w:space="0"/>
              <w:right w:val="single" w:color="auto" w:sz="4" w:space="0"/>
            </w:tcBorders>
            <w:shd w:val="clear" w:color="auto" w:fill="auto"/>
          </w:tcPr>
          <w:p w14:paraId="5345C598">
            <w:pPr>
              <w:pStyle w:val="53"/>
            </w:pPr>
            <w:r>
              <w:t>规划未说明本段污水管管径及流向，现状无污水管道。</w:t>
            </w:r>
          </w:p>
        </w:tc>
      </w:tr>
      <w:tr w14:paraId="7A0B510E">
        <w:tblPrEx>
          <w:tblCellMar>
            <w:top w:w="0" w:type="dxa"/>
            <w:left w:w="108" w:type="dxa"/>
            <w:bottom w:w="0" w:type="dxa"/>
            <w:right w:w="108" w:type="dxa"/>
          </w:tblCellMar>
        </w:tblPrEx>
        <w:trPr>
          <w:trHeight w:val="345" w:hRule="atLeast"/>
          <w:jc w:val="center"/>
        </w:trPr>
        <w:tc>
          <w:tcPr>
            <w:tcW w:w="10116" w:type="dxa"/>
            <w:gridSpan w:val="4"/>
            <w:tcBorders>
              <w:top w:val="nil"/>
              <w:left w:val="single" w:color="auto" w:sz="4" w:space="0"/>
              <w:bottom w:val="single" w:color="auto" w:sz="4" w:space="0"/>
              <w:right w:val="single" w:color="auto" w:sz="4" w:space="0"/>
            </w:tcBorders>
            <w:shd w:val="clear" w:color="auto" w:fill="auto"/>
            <w:vAlign w:val="center"/>
          </w:tcPr>
          <w:p w14:paraId="714C3D90">
            <w:pPr>
              <w:pStyle w:val="53"/>
            </w:pPr>
            <w:r>
              <w:t>　</w:t>
            </w:r>
          </w:p>
        </w:tc>
      </w:tr>
      <w:tr w14:paraId="25E5FE36">
        <w:tblPrEx>
          <w:tblCellMar>
            <w:top w:w="0" w:type="dxa"/>
            <w:left w:w="108" w:type="dxa"/>
            <w:bottom w:w="0" w:type="dxa"/>
            <w:right w:w="108" w:type="dxa"/>
          </w:tblCellMar>
        </w:tblPrEx>
        <w:trPr>
          <w:trHeight w:val="1530" w:hRule="atLeast"/>
          <w:jc w:val="center"/>
        </w:trPr>
        <w:tc>
          <w:tcPr>
            <w:tcW w:w="992" w:type="dxa"/>
            <w:tcBorders>
              <w:top w:val="nil"/>
              <w:left w:val="single" w:color="auto" w:sz="4" w:space="0"/>
              <w:bottom w:val="single" w:color="auto" w:sz="4" w:space="0"/>
              <w:right w:val="single" w:color="auto" w:sz="4" w:space="0"/>
            </w:tcBorders>
            <w:shd w:val="clear" w:color="auto" w:fill="auto"/>
            <w:vAlign w:val="center"/>
          </w:tcPr>
          <w:p w14:paraId="4B8C6C52">
            <w:pPr>
              <w:pStyle w:val="53"/>
            </w:pPr>
            <w:r>
              <w:t>雨水-01</w:t>
            </w:r>
          </w:p>
        </w:tc>
        <w:tc>
          <w:tcPr>
            <w:tcW w:w="2693" w:type="dxa"/>
            <w:tcBorders>
              <w:top w:val="nil"/>
              <w:left w:val="nil"/>
              <w:bottom w:val="single" w:color="auto" w:sz="4" w:space="0"/>
              <w:right w:val="single" w:color="auto" w:sz="4" w:space="0"/>
            </w:tcBorders>
            <w:shd w:val="clear" w:color="auto" w:fill="auto"/>
            <w:vAlign w:val="center"/>
          </w:tcPr>
          <w:p w14:paraId="38427F7B">
            <w:pPr>
              <w:pStyle w:val="53"/>
            </w:pPr>
            <w:r>
              <w:t>江洲路</w:t>
            </w:r>
          </w:p>
          <w:p w14:paraId="3A25E9CC">
            <w:pPr>
              <w:pStyle w:val="53"/>
            </w:pPr>
            <w:r>
              <w:t>（迎宾大道-月山路）</w:t>
            </w:r>
          </w:p>
        </w:tc>
        <w:tc>
          <w:tcPr>
            <w:tcW w:w="2671" w:type="dxa"/>
            <w:tcBorders>
              <w:top w:val="nil"/>
              <w:left w:val="nil"/>
              <w:bottom w:val="single" w:color="auto" w:sz="4" w:space="0"/>
              <w:right w:val="single" w:color="auto" w:sz="4" w:space="0"/>
            </w:tcBorders>
            <w:shd w:val="clear" w:color="auto" w:fill="auto"/>
          </w:tcPr>
          <w:p w14:paraId="720B0173">
            <w:pPr>
              <w:pStyle w:val="53"/>
            </w:pPr>
            <w:r>
              <w:t>汇集南面相交道路雨水由东向西排入月山路，改造现状</w:t>
            </w:r>
            <w:r>
              <w:rPr>
                <w:rFonts w:hint="eastAsia"/>
                <w:color w:val="FF0000"/>
              </w:rPr>
              <w:t>合流制</w:t>
            </w:r>
            <w:r>
              <w:rPr>
                <w:color w:val="FF0000"/>
              </w:rPr>
              <w:t>排水暗沟</w:t>
            </w:r>
            <w:r>
              <w:t>作为污水</w:t>
            </w:r>
            <w:r>
              <w:rPr>
                <w:color w:val="FF0000"/>
              </w:rPr>
              <w:t>暗沟</w:t>
            </w:r>
            <w:r>
              <w:t>并增加检查井，达到雨污分流</w:t>
            </w:r>
          </w:p>
        </w:tc>
        <w:tc>
          <w:tcPr>
            <w:tcW w:w="3760" w:type="dxa"/>
            <w:tcBorders>
              <w:top w:val="nil"/>
              <w:left w:val="nil"/>
              <w:bottom w:val="single" w:color="auto" w:sz="4" w:space="0"/>
              <w:right w:val="single" w:color="auto" w:sz="4" w:space="0"/>
            </w:tcBorders>
            <w:shd w:val="clear" w:color="auto" w:fill="auto"/>
          </w:tcPr>
          <w:p w14:paraId="472D48BB">
            <w:pPr>
              <w:pStyle w:val="53"/>
            </w:pPr>
            <w:r>
              <w:t>规划未说明本段雨水管管径及流向，现状无污水管道；由于本段总体中间低，两端高，总体西侧偏低，且西侧现状有一条水系，因此设计考虑往西排入现状水系。</w:t>
            </w:r>
          </w:p>
        </w:tc>
      </w:tr>
      <w:tr w14:paraId="0BA22DA8">
        <w:tblPrEx>
          <w:tblCellMar>
            <w:top w:w="0" w:type="dxa"/>
            <w:left w:w="108" w:type="dxa"/>
            <w:bottom w:w="0" w:type="dxa"/>
            <w:right w:w="108" w:type="dxa"/>
          </w:tblCellMar>
        </w:tblPrEx>
        <w:trPr>
          <w:trHeight w:val="1500" w:hRule="atLeast"/>
          <w:jc w:val="center"/>
        </w:trPr>
        <w:tc>
          <w:tcPr>
            <w:tcW w:w="992" w:type="dxa"/>
            <w:tcBorders>
              <w:top w:val="nil"/>
              <w:left w:val="single" w:color="auto" w:sz="4" w:space="0"/>
              <w:bottom w:val="single" w:color="auto" w:sz="4" w:space="0"/>
              <w:right w:val="single" w:color="auto" w:sz="4" w:space="0"/>
            </w:tcBorders>
            <w:shd w:val="clear" w:color="auto" w:fill="auto"/>
            <w:vAlign w:val="center"/>
          </w:tcPr>
          <w:p w14:paraId="044189ED">
            <w:pPr>
              <w:pStyle w:val="53"/>
            </w:pPr>
            <w:r>
              <w:t>雨水-02</w:t>
            </w:r>
          </w:p>
        </w:tc>
        <w:tc>
          <w:tcPr>
            <w:tcW w:w="2693" w:type="dxa"/>
            <w:tcBorders>
              <w:top w:val="nil"/>
              <w:left w:val="nil"/>
              <w:bottom w:val="single" w:color="auto" w:sz="4" w:space="0"/>
              <w:right w:val="single" w:color="auto" w:sz="4" w:space="0"/>
            </w:tcBorders>
            <w:shd w:val="clear" w:color="auto" w:fill="auto"/>
            <w:vAlign w:val="center"/>
          </w:tcPr>
          <w:p w14:paraId="416D3A00">
            <w:pPr>
              <w:pStyle w:val="53"/>
            </w:pPr>
            <w:r>
              <w:t>粤州西路</w:t>
            </w:r>
          </w:p>
          <w:p w14:paraId="42F4F5E0">
            <w:pPr>
              <w:pStyle w:val="53"/>
            </w:pPr>
            <w:r>
              <w:t>（迎宾大道-德佳花园）</w:t>
            </w:r>
          </w:p>
        </w:tc>
        <w:tc>
          <w:tcPr>
            <w:tcW w:w="2671" w:type="dxa"/>
            <w:tcBorders>
              <w:top w:val="nil"/>
              <w:left w:val="nil"/>
              <w:bottom w:val="single" w:color="auto" w:sz="4" w:space="0"/>
              <w:right w:val="single" w:color="auto" w:sz="4" w:space="0"/>
            </w:tcBorders>
            <w:shd w:val="clear" w:color="auto" w:fill="auto"/>
          </w:tcPr>
          <w:p w14:paraId="2E4352EE">
            <w:pPr>
              <w:pStyle w:val="53"/>
            </w:pPr>
            <w:r>
              <w:t>由东向西收集粤州西路两侧支管雨水排入粤州西路规划道路箱涵</w:t>
            </w:r>
          </w:p>
        </w:tc>
        <w:tc>
          <w:tcPr>
            <w:tcW w:w="3760" w:type="dxa"/>
            <w:tcBorders>
              <w:top w:val="nil"/>
              <w:left w:val="nil"/>
              <w:bottom w:val="single" w:color="auto" w:sz="4" w:space="0"/>
              <w:right w:val="single" w:color="auto" w:sz="4" w:space="0"/>
            </w:tcBorders>
            <w:shd w:val="clear" w:color="auto" w:fill="auto"/>
          </w:tcPr>
          <w:p w14:paraId="5F46A158">
            <w:pPr>
              <w:pStyle w:val="53"/>
            </w:pPr>
            <w:r>
              <w:t>规划未说明本段雨水管管径及流向，现状无污水管道；由于本段总体中间低，两端高，总体西侧偏低，且西侧现状有一条水系，因此设计考虑往西排入现状水系。</w:t>
            </w:r>
          </w:p>
        </w:tc>
      </w:tr>
      <w:tr w14:paraId="730EA154">
        <w:tblPrEx>
          <w:tblCellMar>
            <w:top w:w="0" w:type="dxa"/>
            <w:left w:w="108" w:type="dxa"/>
            <w:bottom w:w="0" w:type="dxa"/>
            <w:right w:w="108" w:type="dxa"/>
          </w:tblCellMar>
        </w:tblPrEx>
        <w:trPr>
          <w:trHeight w:val="390" w:hRule="atLeast"/>
          <w:jc w:val="center"/>
        </w:trPr>
        <w:tc>
          <w:tcPr>
            <w:tcW w:w="992" w:type="dxa"/>
            <w:tcBorders>
              <w:top w:val="nil"/>
              <w:left w:val="single" w:color="auto" w:sz="4" w:space="0"/>
              <w:bottom w:val="single" w:color="auto" w:sz="4" w:space="0"/>
              <w:right w:val="single" w:color="auto" w:sz="4" w:space="0"/>
            </w:tcBorders>
            <w:shd w:val="clear" w:color="auto" w:fill="auto"/>
            <w:vAlign w:val="center"/>
          </w:tcPr>
          <w:p w14:paraId="2E8C80DC">
            <w:pPr>
              <w:pStyle w:val="53"/>
            </w:pPr>
            <w:r>
              <w:t>雨水-03</w:t>
            </w:r>
          </w:p>
        </w:tc>
        <w:tc>
          <w:tcPr>
            <w:tcW w:w="2693" w:type="dxa"/>
            <w:tcBorders>
              <w:top w:val="nil"/>
              <w:left w:val="nil"/>
              <w:bottom w:val="single" w:color="auto" w:sz="4" w:space="0"/>
              <w:right w:val="single" w:color="auto" w:sz="4" w:space="0"/>
            </w:tcBorders>
            <w:shd w:val="clear" w:color="auto" w:fill="auto"/>
            <w:vAlign w:val="center"/>
          </w:tcPr>
          <w:p w14:paraId="590F1BE4">
            <w:pPr>
              <w:pStyle w:val="53"/>
            </w:pPr>
            <w:r>
              <w:t>永丰路（江州路-电厂路）</w:t>
            </w:r>
          </w:p>
        </w:tc>
        <w:tc>
          <w:tcPr>
            <w:tcW w:w="2671" w:type="dxa"/>
            <w:vMerge w:val="restart"/>
            <w:tcBorders>
              <w:top w:val="single" w:color="auto" w:sz="4" w:space="0"/>
              <w:left w:val="single" w:color="auto" w:sz="4" w:space="0"/>
              <w:bottom w:val="single" w:color="auto" w:sz="4" w:space="0"/>
              <w:right w:val="single" w:color="auto" w:sz="4" w:space="0"/>
            </w:tcBorders>
            <w:shd w:val="clear" w:color="auto" w:fill="auto"/>
          </w:tcPr>
          <w:p w14:paraId="7403B6A9">
            <w:pPr>
              <w:pStyle w:val="53"/>
            </w:pPr>
            <w:r>
              <w:t>改造现状雨污河流问题，将雨水分流汇入粤州西路雨水主管</w:t>
            </w:r>
          </w:p>
        </w:tc>
        <w:tc>
          <w:tcPr>
            <w:tcW w:w="3760" w:type="dxa"/>
            <w:vMerge w:val="restart"/>
            <w:tcBorders>
              <w:top w:val="single" w:color="auto" w:sz="4" w:space="0"/>
              <w:left w:val="single" w:color="auto" w:sz="4" w:space="0"/>
              <w:bottom w:val="single" w:color="auto" w:sz="4" w:space="0"/>
              <w:right w:val="single" w:color="auto" w:sz="4" w:space="0"/>
            </w:tcBorders>
            <w:shd w:val="clear" w:color="auto" w:fill="auto"/>
          </w:tcPr>
          <w:p w14:paraId="1C55B4C5">
            <w:pPr>
              <w:pStyle w:val="53"/>
            </w:pPr>
            <w:r>
              <w:t>规划未说明本段雨水管管径及流向，现状无污水管道；设计考虑将雨水分流汇入粤州西路和江洲路雨水主管。</w:t>
            </w:r>
          </w:p>
        </w:tc>
      </w:tr>
      <w:tr w14:paraId="37D69EBF">
        <w:tblPrEx>
          <w:tblCellMar>
            <w:top w:w="0" w:type="dxa"/>
            <w:left w:w="108" w:type="dxa"/>
            <w:bottom w:w="0" w:type="dxa"/>
            <w:right w:w="108" w:type="dxa"/>
          </w:tblCellMar>
        </w:tblPrEx>
        <w:trPr>
          <w:trHeight w:val="390" w:hRule="atLeast"/>
          <w:jc w:val="center"/>
        </w:trPr>
        <w:tc>
          <w:tcPr>
            <w:tcW w:w="992" w:type="dxa"/>
            <w:tcBorders>
              <w:top w:val="nil"/>
              <w:left w:val="single" w:color="auto" w:sz="4" w:space="0"/>
              <w:bottom w:val="single" w:color="auto" w:sz="4" w:space="0"/>
              <w:right w:val="single" w:color="auto" w:sz="4" w:space="0"/>
            </w:tcBorders>
            <w:shd w:val="clear" w:color="auto" w:fill="auto"/>
            <w:vAlign w:val="center"/>
          </w:tcPr>
          <w:p w14:paraId="60C91E4B">
            <w:pPr>
              <w:pStyle w:val="53"/>
            </w:pPr>
            <w:r>
              <w:t>雨水-04</w:t>
            </w:r>
          </w:p>
        </w:tc>
        <w:tc>
          <w:tcPr>
            <w:tcW w:w="2693" w:type="dxa"/>
            <w:tcBorders>
              <w:top w:val="nil"/>
              <w:left w:val="nil"/>
              <w:bottom w:val="single" w:color="auto" w:sz="4" w:space="0"/>
              <w:right w:val="single" w:color="auto" w:sz="4" w:space="0"/>
            </w:tcBorders>
            <w:shd w:val="clear" w:color="auto" w:fill="auto"/>
            <w:vAlign w:val="center"/>
          </w:tcPr>
          <w:p w14:paraId="60A6FBE3">
            <w:pPr>
              <w:pStyle w:val="53"/>
            </w:pPr>
            <w:r>
              <w:t>文广路（江州路-电厂路）</w:t>
            </w:r>
          </w:p>
        </w:tc>
        <w:tc>
          <w:tcPr>
            <w:tcW w:w="2671" w:type="dxa"/>
            <w:vMerge w:val="continue"/>
            <w:tcBorders>
              <w:top w:val="single" w:color="auto" w:sz="4" w:space="0"/>
              <w:left w:val="single" w:color="auto" w:sz="4" w:space="0"/>
              <w:bottom w:val="single" w:color="auto" w:sz="4" w:space="0"/>
              <w:right w:val="single" w:color="auto" w:sz="4" w:space="0"/>
            </w:tcBorders>
            <w:vAlign w:val="center"/>
          </w:tcPr>
          <w:p w14:paraId="72984E06">
            <w:pPr>
              <w:pStyle w:val="53"/>
            </w:pPr>
          </w:p>
        </w:tc>
        <w:tc>
          <w:tcPr>
            <w:tcW w:w="3760" w:type="dxa"/>
            <w:vMerge w:val="continue"/>
            <w:tcBorders>
              <w:top w:val="single" w:color="auto" w:sz="4" w:space="0"/>
              <w:left w:val="single" w:color="auto" w:sz="4" w:space="0"/>
              <w:bottom w:val="single" w:color="auto" w:sz="4" w:space="0"/>
              <w:right w:val="single" w:color="auto" w:sz="4" w:space="0"/>
            </w:tcBorders>
            <w:vAlign w:val="center"/>
          </w:tcPr>
          <w:p w14:paraId="0F688C91">
            <w:pPr>
              <w:pStyle w:val="53"/>
            </w:pPr>
          </w:p>
        </w:tc>
      </w:tr>
      <w:tr w14:paraId="193BE65D">
        <w:tblPrEx>
          <w:tblCellMar>
            <w:top w:w="0" w:type="dxa"/>
            <w:left w:w="108" w:type="dxa"/>
            <w:bottom w:w="0" w:type="dxa"/>
            <w:right w:w="108" w:type="dxa"/>
          </w:tblCellMar>
        </w:tblPrEx>
        <w:trPr>
          <w:trHeight w:val="390" w:hRule="atLeast"/>
          <w:jc w:val="center"/>
        </w:trPr>
        <w:tc>
          <w:tcPr>
            <w:tcW w:w="992" w:type="dxa"/>
            <w:tcBorders>
              <w:top w:val="nil"/>
              <w:left w:val="single" w:color="auto" w:sz="4" w:space="0"/>
              <w:bottom w:val="single" w:color="auto" w:sz="4" w:space="0"/>
              <w:right w:val="single" w:color="auto" w:sz="4" w:space="0"/>
            </w:tcBorders>
            <w:shd w:val="clear" w:color="auto" w:fill="auto"/>
            <w:vAlign w:val="center"/>
          </w:tcPr>
          <w:p w14:paraId="0AAAE720">
            <w:pPr>
              <w:pStyle w:val="53"/>
            </w:pPr>
            <w:r>
              <w:t>雨水-05</w:t>
            </w:r>
          </w:p>
        </w:tc>
        <w:tc>
          <w:tcPr>
            <w:tcW w:w="2693" w:type="dxa"/>
            <w:tcBorders>
              <w:top w:val="nil"/>
              <w:left w:val="nil"/>
              <w:bottom w:val="single" w:color="auto" w:sz="4" w:space="0"/>
              <w:right w:val="single" w:color="auto" w:sz="4" w:space="0"/>
            </w:tcBorders>
            <w:shd w:val="clear" w:color="auto" w:fill="auto"/>
            <w:vAlign w:val="center"/>
          </w:tcPr>
          <w:p w14:paraId="32D40023">
            <w:pPr>
              <w:pStyle w:val="53"/>
            </w:pPr>
            <w:r>
              <w:t>思贤路（江州路-电厂路）</w:t>
            </w:r>
          </w:p>
        </w:tc>
        <w:tc>
          <w:tcPr>
            <w:tcW w:w="2671" w:type="dxa"/>
            <w:vMerge w:val="continue"/>
            <w:tcBorders>
              <w:top w:val="single" w:color="auto" w:sz="4" w:space="0"/>
              <w:left w:val="single" w:color="auto" w:sz="4" w:space="0"/>
              <w:bottom w:val="single" w:color="auto" w:sz="4" w:space="0"/>
              <w:right w:val="single" w:color="auto" w:sz="4" w:space="0"/>
            </w:tcBorders>
            <w:vAlign w:val="center"/>
          </w:tcPr>
          <w:p w14:paraId="4938F004">
            <w:pPr>
              <w:pStyle w:val="53"/>
            </w:pPr>
          </w:p>
        </w:tc>
        <w:tc>
          <w:tcPr>
            <w:tcW w:w="3760" w:type="dxa"/>
            <w:vMerge w:val="continue"/>
            <w:tcBorders>
              <w:top w:val="single" w:color="auto" w:sz="4" w:space="0"/>
              <w:left w:val="single" w:color="auto" w:sz="4" w:space="0"/>
              <w:bottom w:val="single" w:color="auto" w:sz="4" w:space="0"/>
              <w:right w:val="single" w:color="auto" w:sz="4" w:space="0"/>
            </w:tcBorders>
            <w:vAlign w:val="center"/>
          </w:tcPr>
          <w:p w14:paraId="75CEACAA">
            <w:pPr>
              <w:pStyle w:val="53"/>
            </w:pPr>
          </w:p>
        </w:tc>
      </w:tr>
    </w:tbl>
    <w:p w14:paraId="612BDB28">
      <w:pPr>
        <w:ind w:firstLine="480"/>
        <w:rPr>
          <w:rFonts w:ascii="Times New Roman" w:hAnsi="Times New Roman" w:cs="Times New Roman"/>
        </w:rPr>
      </w:pPr>
      <w:r>
        <w:rPr>
          <w:rFonts w:ascii="Times New Roman" w:hAnsi="Times New Roman" w:cs="Times New Roman"/>
        </w:rPr>
        <w:t xml:space="preserve">2、水电总厂改造片区说明：  </w:t>
      </w:r>
    </w:p>
    <w:p w14:paraId="679AEFF0">
      <w:pPr>
        <w:ind w:firstLine="480"/>
        <w:rPr>
          <w:rFonts w:ascii="Times New Roman" w:hAnsi="Times New Roman" w:cs="Times New Roman"/>
        </w:rPr>
      </w:pPr>
      <w:r>
        <w:rPr>
          <w:rFonts w:ascii="Times New Roman" w:hAnsi="Times New Roman" w:cs="Times New Roman"/>
        </w:rPr>
        <w:t>该区域管道改造雨水污水各1条，详见下表：</w:t>
      </w:r>
    </w:p>
    <w:tbl>
      <w:tblPr>
        <w:tblStyle w:val="29"/>
        <w:tblW w:w="10505" w:type="dxa"/>
        <w:tblInd w:w="93" w:type="dxa"/>
        <w:tblLayout w:type="autofit"/>
        <w:tblCellMar>
          <w:top w:w="0" w:type="dxa"/>
          <w:left w:w="108" w:type="dxa"/>
          <w:bottom w:w="0" w:type="dxa"/>
          <w:right w:w="108" w:type="dxa"/>
        </w:tblCellMar>
      </w:tblPr>
      <w:tblGrid>
        <w:gridCol w:w="1080"/>
        <w:gridCol w:w="3560"/>
        <w:gridCol w:w="2800"/>
        <w:gridCol w:w="3065"/>
      </w:tblGrid>
      <w:tr w14:paraId="6042AD60">
        <w:tblPrEx>
          <w:tblCellMar>
            <w:top w:w="0" w:type="dxa"/>
            <w:left w:w="108" w:type="dxa"/>
            <w:bottom w:w="0" w:type="dxa"/>
            <w:right w:w="108" w:type="dxa"/>
          </w:tblCellMar>
        </w:tblPrEx>
        <w:trPr>
          <w:trHeight w:val="555" w:hRule="atLeast"/>
        </w:trPr>
        <w:tc>
          <w:tcPr>
            <w:tcW w:w="1080" w:type="dxa"/>
            <w:tcBorders>
              <w:top w:val="single" w:color="auto" w:sz="4" w:space="0"/>
              <w:left w:val="single" w:color="auto" w:sz="4" w:space="0"/>
              <w:bottom w:val="single" w:color="auto" w:sz="4" w:space="0"/>
              <w:right w:val="single" w:color="auto" w:sz="4" w:space="0"/>
            </w:tcBorders>
            <w:shd w:val="clear" w:color="auto" w:fill="auto"/>
            <w:vAlign w:val="center"/>
          </w:tcPr>
          <w:p w14:paraId="6C8FF04A">
            <w:pPr>
              <w:pStyle w:val="53"/>
            </w:pPr>
            <w:r>
              <w:t>序号</w:t>
            </w:r>
          </w:p>
        </w:tc>
        <w:tc>
          <w:tcPr>
            <w:tcW w:w="3560" w:type="dxa"/>
            <w:tcBorders>
              <w:top w:val="single" w:color="auto" w:sz="4" w:space="0"/>
              <w:left w:val="nil"/>
              <w:bottom w:val="single" w:color="auto" w:sz="4" w:space="0"/>
              <w:right w:val="single" w:color="auto" w:sz="4" w:space="0"/>
            </w:tcBorders>
            <w:shd w:val="clear" w:color="auto" w:fill="auto"/>
            <w:vAlign w:val="center"/>
          </w:tcPr>
          <w:p w14:paraId="402ADF01">
            <w:pPr>
              <w:pStyle w:val="53"/>
            </w:pPr>
            <w:r>
              <w:t>线路名称</w:t>
            </w:r>
          </w:p>
        </w:tc>
        <w:tc>
          <w:tcPr>
            <w:tcW w:w="2800" w:type="dxa"/>
            <w:tcBorders>
              <w:top w:val="single" w:color="auto" w:sz="4" w:space="0"/>
              <w:left w:val="nil"/>
              <w:bottom w:val="single" w:color="auto" w:sz="4" w:space="0"/>
              <w:right w:val="single" w:color="auto" w:sz="4" w:space="0"/>
            </w:tcBorders>
            <w:shd w:val="clear" w:color="auto" w:fill="auto"/>
            <w:vAlign w:val="center"/>
          </w:tcPr>
          <w:p w14:paraId="76720B28">
            <w:pPr>
              <w:pStyle w:val="53"/>
            </w:pPr>
            <w:r>
              <w:t>建设内容</w:t>
            </w:r>
          </w:p>
        </w:tc>
        <w:tc>
          <w:tcPr>
            <w:tcW w:w="3065" w:type="dxa"/>
            <w:tcBorders>
              <w:top w:val="single" w:color="auto" w:sz="4" w:space="0"/>
              <w:left w:val="nil"/>
              <w:bottom w:val="single" w:color="auto" w:sz="4" w:space="0"/>
              <w:right w:val="single" w:color="auto" w:sz="4" w:space="0"/>
            </w:tcBorders>
            <w:shd w:val="clear" w:color="auto" w:fill="auto"/>
            <w:vAlign w:val="center"/>
          </w:tcPr>
          <w:p w14:paraId="63A6A94D">
            <w:pPr>
              <w:pStyle w:val="53"/>
            </w:pPr>
            <w:r>
              <w:t>备注</w:t>
            </w:r>
          </w:p>
        </w:tc>
      </w:tr>
      <w:tr w14:paraId="2E01D7E4">
        <w:tblPrEx>
          <w:tblCellMar>
            <w:top w:w="0" w:type="dxa"/>
            <w:left w:w="108" w:type="dxa"/>
            <w:bottom w:w="0" w:type="dxa"/>
            <w:right w:w="108" w:type="dxa"/>
          </w:tblCellMar>
        </w:tblPrEx>
        <w:trPr>
          <w:trHeight w:val="1091"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54CEC60B">
            <w:pPr>
              <w:pStyle w:val="53"/>
            </w:pPr>
            <w:r>
              <w:t>污水-05</w:t>
            </w:r>
          </w:p>
        </w:tc>
        <w:tc>
          <w:tcPr>
            <w:tcW w:w="3560" w:type="dxa"/>
            <w:tcBorders>
              <w:top w:val="nil"/>
              <w:left w:val="nil"/>
              <w:bottom w:val="single" w:color="auto" w:sz="4" w:space="0"/>
              <w:right w:val="single" w:color="auto" w:sz="4" w:space="0"/>
            </w:tcBorders>
            <w:shd w:val="clear" w:color="auto" w:fill="auto"/>
            <w:vAlign w:val="center"/>
          </w:tcPr>
          <w:p w14:paraId="74304393">
            <w:pPr>
              <w:pStyle w:val="53"/>
            </w:pPr>
            <w:r>
              <w:t>西屏路-中山大道-黄莺路-春意路（万红路）-山谷路-江滨西路</w:t>
            </w:r>
          </w:p>
        </w:tc>
        <w:tc>
          <w:tcPr>
            <w:tcW w:w="2800" w:type="dxa"/>
            <w:tcBorders>
              <w:top w:val="nil"/>
              <w:left w:val="nil"/>
              <w:bottom w:val="single" w:color="auto" w:sz="4" w:space="0"/>
              <w:right w:val="single" w:color="auto" w:sz="4" w:space="0"/>
            </w:tcBorders>
            <w:shd w:val="clear" w:color="auto" w:fill="auto"/>
          </w:tcPr>
          <w:p w14:paraId="1957DD05">
            <w:pPr>
              <w:pStyle w:val="53"/>
            </w:pPr>
            <w:r>
              <w:t>由南往北收集沿线污水汇集至龙江河现状市政污水主管</w:t>
            </w:r>
          </w:p>
        </w:tc>
        <w:tc>
          <w:tcPr>
            <w:tcW w:w="3065" w:type="dxa"/>
            <w:tcBorders>
              <w:top w:val="nil"/>
              <w:left w:val="nil"/>
              <w:bottom w:val="single" w:color="auto" w:sz="4" w:space="0"/>
              <w:right w:val="single" w:color="auto" w:sz="4" w:space="0"/>
            </w:tcBorders>
            <w:shd w:val="clear" w:color="auto" w:fill="auto"/>
          </w:tcPr>
          <w:p w14:paraId="5E0E2763">
            <w:pPr>
              <w:pStyle w:val="53"/>
            </w:pPr>
            <w:r>
              <w:t>黄莺路规划污水管道DN600，现在无污水管道。</w:t>
            </w:r>
          </w:p>
        </w:tc>
      </w:tr>
      <w:tr w14:paraId="5A96300D">
        <w:tblPrEx>
          <w:tblCellMar>
            <w:top w:w="0" w:type="dxa"/>
            <w:left w:w="108" w:type="dxa"/>
            <w:bottom w:w="0" w:type="dxa"/>
            <w:right w:w="108" w:type="dxa"/>
          </w:tblCellMar>
        </w:tblPrEx>
        <w:trPr>
          <w:trHeight w:val="285" w:hRule="atLeast"/>
        </w:trPr>
        <w:tc>
          <w:tcPr>
            <w:tcW w:w="10505" w:type="dxa"/>
            <w:gridSpan w:val="4"/>
            <w:tcBorders>
              <w:top w:val="nil"/>
              <w:left w:val="single" w:color="auto" w:sz="4" w:space="0"/>
              <w:bottom w:val="single" w:color="auto" w:sz="4" w:space="0"/>
              <w:right w:val="single" w:color="auto" w:sz="4" w:space="0"/>
            </w:tcBorders>
            <w:shd w:val="clear" w:color="auto" w:fill="auto"/>
            <w:vAlign w:val="center"/>
          </w:tcPr>
          <w:p w14:paraId="38A410BE">
            <w:pPr>
              <w:pStyle w:val="53"/>
            </w:pPr>
            <w:r>
              <w:t>　</w:t>
            </w:r>
          </w:p>
        </w:tc>
      </w:tr>
      <w:tr w14:paraId="2BA95210">
        <w:tblPrEx>
          <w:tblCellMar>
            <w:top w:w="0" w:type="dxa"/>
            <w:left w:w="108" w:type="dxa"/>
            <w:bottom w:w="0" w:type="dxa"/>
            <w:right w:w="108" w:type="dxa"/>
          </w:tblCellMar>
        </w:tblPrEx>
        <w:trPr>
          <w:trHeight w:val="1185" w:hRule="atLeast"/>
        </w:trPr>
        <w:tc>
          <w:tcPr>
            <w:tcW w:w="1080" w:type="dxa"/>
            <w:tcBorders>
              <w:top w:val="nil"/>
              <w:left w:val="single" w:color="auto" w:sz="4" w:space="0"/>
              <w:bottom w:val="single" w:color="auto" w:sz="4" w:space="0"/>
              <w:right w:val="single" w:color="auto" w:sz="4" w:space="0"/>
            </w:tcBorders>
            <w:shd w:val="clear" w:color="auto" w:fill="auto"/>
            <w:vAlign w:val="center"/>
          </w:tcPr>
          <w:p w14:paraId="065BF562">
            <w:pPr>
              <w:pStyle w:val="53"/>
            </w:pPr>
            <w:r>
              <w:t>雨水-06</w:t>
            </w:r>
          </w:p>
        </w:tc>
        <w:tc>
          <w:tcPr>
            <w:tcW w:w="3560" w:type="dxa"/>
            <w:tcBorders>
              <w:top w:val="nil"/>
              <w:left w:val="nil"/>
              <w:bottom w:val="single" w:color="auto" w:sz="4" w:space="0"/>
              <w:right w:val="single" w:color="auto" w:sz="4" w:space="0"/>
            </w:tcBorders>
            <w:shd w:val="clear" w:color="auto" w:fill="auto"/>
            <w:vAlign w:val="center"/>
          </w:tcPr>
          <w:p w14:paraId="2F1ABBF2">
            <w:pPr>
              <w:pStyle w:val="53"/>
            </w:pPr>
            <w:r>
              <w:t>西屏路</w:t>
            </w:r>
          </w:p>
          <w:p w14:paraId="5757E15C">
            <w:pPr>
              <w:pStyle w:val="53"/>
            </w:pPr>
            <w:r>
              <w:t>（龙降路-迎宾大道）</w:t>
            </w:r>
          </w:p>
        </w:tc>
        <w:tc>
          <w:tcPr>
            <w:tcW w:w="2800" w:type="dxa"/>
            <w:tcBorders>
              <w:top w:val="nil"/>
              <w:left w:val="nil"/>
              <w:bottom w:val="single" w:color="auto" w:sz="4" w:space="0"/>
              <w:right w:val="single" w:color="auto" w:sz="4" w:space="0"/>
            </w:tcBorders>
            <w:shd w:val="clear" w:color="auto" w:fill="auto"/>
          </w:tcPr>
          <w:p w14:paraId="68DBCE59">
            <w:pPr>
              <w:pStyle w:val="53"/>
            </w:pPr>
            <w:r>
              <w:t>分流龙降路南面排出的地表水由东向西经西屏路排入迎宾大道现状雨水管</w:t>
            </w:r>
          </w:p>
        </w:tc>
        <w:tc>
          <w:tcPr>
            <w:tcW w:w="3065" w:type="dxa"/>
            <w:tcBorders>
              <w:top w:val="nil"/>
              <w:left w:val="nil"/>
              <w:bottom w:val="single" w:color="auto" w:sz="4" w:space="0"/>
              <w:right w:val="single" w:color="auto" w:sz="4" w:space="0"/>
            </w:tcBorders>
            <w:shd w:val="clear" w:color="auto" w:fill="auto"/>
          </w:tcPr>
          <w:p w14:paraId="2AF2C5EF">
            <w:pPr>
              <w:pStyle w:val="53"/>
            </w:pPr>
            <w:r>
              <w:t>规划未说明本段雨水管管径及流向，现状无污水管道。</w:t>
            </w:r>
          </w:p>
        </w:tc>
      </w:tr>
    </w:tbl>
    <w:p w14:paraId="46329854">
      <w:pPr>
        <w:ind w:firstLine="0" w:firstLineChars="0"/>
        <w:rPr>
          <w:rFonts w:ascii="Times New Roman" w:hAnsi="Times New Roman" w:cs="Times New Roman"/>
        </w:rPr>
      </w:pPr>
      <w:r>
        <w:rPr>
          <w:rFonts w:ascii="Times New Roman" w:hAnsi="Times New Roman" w:cs="Times New Roman"/>
        </w:rPr>
        <w:t xml:space="preserve">3、南山路-九龙路改造片区说明：  </w:t>
      </w:r>
    </w:p>
    <w:p w14:paraId="6EAF4824">
      <w:pPr>
        <w:ind w:firstLine="480"/>
        <w:rPr>
          <w:rFonts w:ascii="Times New Roman" w:hAnsi="Times New Roman" w:cs="Times New Roman"/>
        </w:rPr>
      </w:pPr>
      <w:r>
        <w:rPr>
          <w:rFonts w:ascii="Times New Roman" w:hAnsi="Times New Roman" w:cs="Times New Roman"/>
        </w:rPr>
        <w:t>该区</w:t>
      </w:r>
      <w:r>
        <w:rPr>
          <w:rFonts w:ascii="Times New Roman" w:hAnsi="Times New Roman" w:cs="Times New Roman"/>
        </w:rPr>
        <w:tab/>
      </w:r>
      <w:r>
        <w:rPr>
          <w:rFonts w:ascii="Times New Roman" w:hAnsi="Times New Roman" w:cs="Times New Roman"/>
        </w:rPr>
        <w:t>域管道改造雨水管道共计2条，污水管道1条，详见下表：</w:t>
      </w:r>
    </w:p>
    <w:tbl>
      <w:tblPr>
        <w:tblStyle w:val="29"/>
        <w:tblW w:w="10189" w:type="dxa"/>
        <w:jc w:val="center"/>
        <w:tblLayout w:type="autofit"/>
        <w:tblCellMar>
          <w:top w:w="0" w:type="dxa"/>
          <w:left w:w="108" w:type="dxa"/>
          <w:bottom w:w="0" w:type="dxa"/>
          <w:right w:w="108" w:type="dxa"/>
        </w:tblCellMar>
      </w:tblPr>
      <w:tblGrid>
        <w:gridCol w:w="992"/>
        <w:gridCol w:w="2637"/>
        <w:gridCol w:w="2800"/>
        <w:gridCol w:w="3760"/>
      </w:tblGrid>
      <w:tr w14:paraId="468B7E1F">
        <w:tblPrEx>
          <w:tblCellMar>
            <w:top w:w="0" w:type="dxa"/>
            <w:left w:w="108" w:type="dxa"/>
            <w:bottom w:w="0" w:type="dxa"/>
            <w:right w:w="108" w:type="dxa"/>
          </w:tblCellMar>
        </w:tblPrEx>
        <w:trPr>
          <w:trHeight w:val="555" w:hRule="atLeast"/>
          <w:jc w:val="center"/>
        </w:trPr>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14:paraId="4947B2C9">
            <w:pPr>
              <w:pStyle w:val="53"/>
            </w:pPr>
            <w:r>
              <w:t>序号</w:t>
            </w:r>
          </w:p>
        </w:tc>
        <w:tc>
          <w:tcPr>
            <w:tcW w:w="2637" w:type="dxa"/>
            <w:tcBorders>
              <w:top w:val="single" w:color="auto" w:sz="4" w:space="0"/>
              <w:left w:val="nil"/>
              <w:bottom w:val="single" w:color="auto" w:sz="4" w:space="0"/>
              <w:right w:val="single" w:color="auto" w:sz="4" w:space="0"/>
            </w:tcBorders>
            <w:shd w:val="clear" w:color="auto" w:fill="auto"/>
            <w:vAlign w:val="center"/>
          </w:tcPr>
          <w:p w14:paraId="411708F9">
            <w:pPr>
              <w:pStyle w:val="53"/>
            </w:pPr>
            <w:r>
              <w:t>线路名称</w:t>
            </w:r>
          </w:p>
        </w:tc>
        <w:tc>
          <w:tcPr>
            <w:tcW w:w="2800" w:type="dxa"/>
            <w:tcBorders>
              <w:top w:val="single" w:color="auto" w:sz="4" w:space="0"/>
              <w:left w:val="nil"/>
              <w:bottom w:val="single" w:color="auto" w:sz="4" w:space="0"/>
              <w:right w:val="single" w:color="auto" w:sz="4" w:space="0"/>
            </w:tcBorders>
            <w:shd w:val="clear" w:color="auto" w:fill="auto"/>
            <w:vAlign w:val="center"/>
          </w:tcPr>
          <w:p w14:paraId="2151740D">
            <w:pPr>
              <w:pStyle w:val="53"/>
            </w:pPr>
            <w:r>
              <w:t>建设内容</w:t>
            </w:r>
          </w:p>
        </w:tc>
        <w:tc>
          <w:tcPr>
            <w:tcW w:w="3760" w:type="dxa"/>
            <w:tcBorders>
              <w:top w:val="single" w:color="auto" w:sz="4" w:space="0"/>
              <w:left w:val="nil"/>
              <w:bottom w:val="single" w:color="auto" w:sz="4" w:space="0"/>
              <w:right w:val="single" w:color="auto" w:sz="4" w:space="0"/>
            </w:tcBorders>
            <w:shd w:val="clear" w:color="auto" w:fill="auto"/>
            <w:vAlign w:val="center"/>
          </w:tcPr>
          <w:p w14:paraId="2B6AB5AB">
            <w:pPr>
              <w:pStyle w:val="53"/>
            </w:pPr>
            <w:r>
              <w:t>备注</w:t>
            </w:r>
          </w:p>
        </w:tc>
      </w:tr>
      <w:tr w14:paraId="1B42F6E3">
        <w:tblPrEx>
          <w:tblCellMar>
            <w:top w:w="0" w:type="dxa"/>
            <w:left w:w="108" w:type="dxa"/>
            <w:bottom w:w="0" w:type="dxa"/>
            <w:right w:w="108" w:type="dxa"/>
          </w:tblCellMar>
        </w:tblPrEx>
        <w:trPr>
          <w:trHeight w:val="540" w:hRule="atLeast"/>
          <w:jc w:val="center"/>
        </w:trPr>
        <w:tc>
          <w:tcPr>
            <w:tcW w:w="992" w:type="dxa"/>
            <w:tcBorders>
              <w:top w:val="nil"/>
              <w:left w:val="single" w:color="auto" w:sz="4" w:space="0"/>
              <w:bottom w:val="single" w:color="auto" w:sz="4" w:space="0"/>
              <w:right w:val="single" w:color="auto" w:sz="4" w:space="0"/>
            </w:tcBorders>
            <w:shd w:val="clear" w:color="auto" w:fill="auto"/>
            <w:vAlign w:val="center"/>
          </w:tcPr>
          <w:p w14:paraId="089090AB">
            <w:pPr>
              <w:pStyle w:val="53"/>
            </w:pPr>
            <w:r>
              <w:t>污水-06</w:t>
            </w:r>
          </w:p>
        </w:tc>
        <w:tc>
          <w:tcPr>
            <w:tcW w:w="2637" w:type="dxa"/>
            <w:tcBorders>
              <w:top w:val="nil"/>
              <w:left w:val="nil"/>
              <w:bottom w:val="single" w:color="auto" w:sz="4" w:space="0"/>
              <w:right w:val="single" w:color="auto" w:sz="4" w:space="0"/>
            </w:tcBorders>
            <w:shd w:val="clear" w:color="auto" w:fill="auto"/>
            <w:vAlign w:val="center"/>
          </w:tcPr>
          <w:p w14:paraId="5C46443B">
            <w:pPr>
              <w:pStyle w:val="53"/>
            </w:pPr>
            <w:r>
              <w:t>多灵路</w:t>
            </w:r>
          </w:p>
          <w:p w14:paraId="580C6D13">
            <w:pPr>
              <w:pStyle w:val="53"/>
            </w:pPr>
            <w:r>
              <w:t>（中山大道-龙溪路中段）</w:t>
            </w:r>
          </w:p>
        </w:tc>
        <w:tc>
          <w:tcPr>
            <w:tcW w:w="2800" w:type="dxa"/>
            <w:tcBorders>
              <w:top w:val="nil"/>
              <w:left w:val="nil"/>
              <w:bottom w:val="single" w:color="auto" w:sz="4" w:space="0"/>
              <w:right w:val="single" w:color="auto" w:sz="4" w:space="0"/>
            </w:tcBorders>
            <w:shd w:val="clear" w:color="auto" w:fill="auto"/>
          </w:tcPr>
          <w:p w14:paraId="04665B91">
            <w:pPr>
              <w:pStyle w:val="53"/>
            </w:pPr>
            <w:r>
              <w:t>收集周边居民排放的污水汇入龙溪路市政污水管</w:t>
            </w:r>
          </w:p>
        </w:tc>
        <w:tc>
          <w:tcPr>
            <w:tcW w:w="3760" w:type="dxa"/>
            <w:tcBorders>
              <w:top w:val="nil"/>
              <w:left w:val="nil"/>
              <w:bottom w:val="single" w:color="auto" w:sz="4" w:space="0"/>
              <w:right w:val="single" w:color="auto" w:sz="4" w:space="0"/>
            </w:tcBorders>
            <w:shd w:val="clear" w:color="auto" w:fill="auto"/>
          </w:tcPr>
          <w:p w14:paraId="6ACBBD46">
            <w:pPr>
              <w:pStyle w:val="53"/>
            </w:pPr>
            <w:r>
              <w:t>规划未说明本段污水管管径及流向，现状无污水管道。</w:t>
            </w:r>
          </w:p>
        </w:tc>
      </w:tr>
      <w:tr w14:paraId="0B7F5D5F">
        <w:tblPrEx>
          <w:tblCellMar>
            <w:top w:w="0" w:type="dxa"/>
            <w:left w:w="108" w:type="dxa"/>
            <w:bottom w:w="0" w:type="dxa"/>
            <w:right w:w="108" w:type="dxa"/>
          </w:tblCellMar>
        </w:tblPrEx>
        <w:trPr>
          <w:trHeight w:val="285" w:hRule="atLeast"/>
          <w:jc w:val="center"/>
        </w:trPr>
        <w:tc>
          <w:tcPr>
            <w:tcW w:w="10189" w:type="dxa"/>
            <w:gridSpan w:val="4"/>
            <w:tcBorders>
              <w:top w:val="nil"/>
              <w:left w:val="single" w:color="auto" w:sz="4" w:space="0"/>
              <w:bottom w:val="single" w:color="auto" w:sz="4" w:space="0"/>
              <w:right w:val="single" w:color="auto" w:sz="4" w:space="0"/>
            </w:tcBorders>
            <w:shd w:val="clear" w:color="auto" w:fill="auto"/>
            <w:vAlign w:val="center"/>
          </w:tcPr>
          <w:p w14:paraId="7375AE37">
            <w:pPr>
              <w:pStyle w:val="53"/>
            </w:pPr>
          </w:p>
        </w:tc>
      </w:tr>
      <w:tr w14:paraId="534EC9D6">
        <w:tblPrEx>
          <w:tblCellMar>
            <w:top w:w="0" w:type="dxa"/>
            <w:left w:w="108" w:type="dxa"/>
            <w:bottom w:w="0" w:type="dxa"/>
            <w:right w:w="108" w:type="dxa"/>
          </w:tblCellMar>
        </w:tblPrEx>
        <w:trPr>
          <w:trHeight w:val="810" w:hRule="atLeast"/>
          <w:jc w:val="center"/>
        </w:trPr>
        <w:tc>
          <w:tcPr>
            <w:tcW w:w="992" w:type="dxa"/>
            <w:tcBorders>
              <w:top w:val="nil"/>
              <w:left w:val="single" w:color="auto" w:sz="4" w:space="0"/>
              <w:bottom w:val="single" w:color="auto" w:sz="4" w:space="0"/>
              <w:right w:val="single" w:color="auto" w:sz="4" w:space="0"/>
            </w:tcBorders>
            <w:shd w:val="clear" w:color="auto" w:fill="auto"/>
            <w:vAlign w:val="center"/>
          </w:tcPr>
          <w:p w14:paraId="4150E95C">
            <w:pPr>
              <w:pStyle w:val="53"/>
            </w:pPr>
            <w:r>
              <w:t>雨水-07</w:t>
            </w:r>
          </w:p>
        </w:tc>
        <w:tc>
          <w:tcPr>
            <w:tcW w:w="2637" w:type="dxa"/>
            <w:tcBorders>
              <w:top w:val="nil"/>
              <w:left w:val="nil"/>
              <w:bottom w:val="single" w:color="auto" w:sz="4" w:space="0"/>
              <w:right w:val="single" w:color="auto" w:sz="4" w:space="0"/>
            </w:tcBorders>
            <w:shd w:val="clear" w:color="auto" w:fill="auto"/>
            <w:vAlign w:val="center"/>
          </w:tcPr>
          <w:p w14:paraId="57E8F43A">
            <w:pPr>
              <w:pStyle w:val="53"/>
            </w:pPr>
            <w:r>
              <w:t>车江路</w:t>
            </w:r>
          </w:p>
          <w:p w14:paraId="5004EBF9">
            <w:pPr>
              <w:pStyle w:val="53"/>
            </w:pPr>
            <w:r>
              <w:t>（龙溪路-车江路）</w:t>
            </w:r>
          </w:p>
        </w:tc>
        <w:tc>
          <w:tcPr>
            <w:tcW w:w="2800" w:type="dxa"/>
            <w:tcBorders>
              <w:top w:val="nil"/>
              <w:left w:val="nil"/>
              <w:bottom w:val="single" w:color="auto" w:sz="4" w:space="0"/>
              <w:right w:val="single" w:color="auto" w:sz="4" w:space="0"/>
            </w:tcBorders>
            <w:shd w:val="clear" w:color="auto" w:fill="auto"/>
          </w:tcPr>
          <w:p w14:paraId="57DB73EF">
            <w:pPr>
              <w:pStyle w:val="53"/>
            </w:pPr>
            <w:r>
              <w:t>收集燕山社区地表水经龙溪路，车江路，山谷路，汇入现状排洪渠内</w:t>
            </w:r>
          </w:p>
        </w:tc>
        <w:tc>
          <w:tcPr>
            <w:tcW w:w="3760" w:type="dxa"/>
            <w:tcBorders>
              <w:top w:val="nil"/>
              <w:left w:val="nil"/>
              <w:bottom w:val="single" w:color="auto" w:sz="4" w:space="0"/>
              <w:right w:val="single" w:color="auto" w:sz="4" w:space="0"/>
            </w:tcBorders>
            <w:shd w:val="clear" w:color="auto" w:fill="auto"/>
          </w:tcPr>
          <w:p w14:paraId="70EFCD01">
            <w:pPr>
              <w:pStyle w:val="53"/>
            </w:pPr>
            <w:r>
              <w:t>规划雨水管管径DN800~DN1200,流向自南向北排入现状排洪渠；设计排向与规划一致。</w:t>
            </w:r>
          </w:p>
        </w:tc>
      </w:tr>
      <w:tr w14:paraId="587A7383">
        <w:tblPrEx>
          <w:tblCellMar>
            <w:top w:w="0" w:type="dxa"/>
            <w:left w:w="108" w:type="dxa"/>
            <w:bottom w:w="0" w:type="dxa"/>
            <w:right w:w="108" w:type="dxa"/>
          </w:tblCellMar>
        </w:tblPrEx>
        <w:trPr>
          <w:trHeight w:val="1080" w:hRule="atLeast"/>
          <w:jc w:val="center"/>
        </w:trPr>
        <w:tc>
          <w:tcPr>
            <w:tcW w:w="992" w:type="dxa"/>
            <w:tcBorders>
              <w:top w:val="nil"/>
              <w:left w:val="single" w:color="auto" w:sz="4" w:space="0"/>
              <w:bottom w:val="single" w:color="auto" w:sz="4" w:space="0"/>
              <w:right w:val="single" w:color="auto" w:sz="4" w:space="0"/>
            </w:tcBorders>
            <w:shd w:val="clear" w:color="auto" w:fill="auto"/>
            <w:vAlign w:val="center"/>
          </w:tcPr>
          <w:p w14:paraId="33CA58FF">
            <w:pPr>
              <w:pStyle w:val="53"/>
            </w:pPr>
            <w:r>
              <w:t>雨水-08</w:t>
            </w:r>
          </w:p>
        </w:tc>
        <w:tc>
          <w:tcPr>
            <w:tcW w:w="2637" w:type="dxa"/>
            <w:tcBorders>
              <w:top w:val="nil"/>
              <w:left w:val="nil"/>
              <w:bottom w:val="single" w:color="auto" w:sz="4" w:space="0"/>
              <w:right w:val="single" w:color="auto" w:sz="4" w:space="0"/>
            </w:tcBorders>
            <w:shd w:val="clear" w:color="auto" w:fill="auto"/>
            <w:vAlign w:val="center"/>
          </w:tcPr>
          <w:p w14:paraId="6C036E55">
            <w:pPr>
              <w:pStyle w:val="53"/>
            </w:pPr>
            <w:r>
              <w:t>西屏路</w:t>
            </w:r>
          </w:p>
          <w:p w14:paraId="0E2A93C2">
            <w:pPr>
              <w:pStyle w:val="53"/>
            </w:pPr>
            <w:r>
              <w:t>（弘园路-南山路）</w:t>
            </w:r>
          </w:p>
        </w:tc>
        <w:tc>
          <w:tcPr>
            <w:tcW w:w="2800" w:type="dxa"/>
            <w:tcBorders>
              <w:top w:val="nil"/>
              <w:left w:val="nil"/>
              <w:bottom w:val="single" w:color="auto" w:sz="4" w:space="0"/>
              <w:right w:val="single" w:color="auto" w:sz="4" w:space="0"/>
            </w:tcBorders>
            <w:shd w:val="clear" w:color="auto" w:fill="auto"/>
          </w:tcPr>
          <w:p w14:paraId="5E6DA115">
            <w:pPr>
              <w:pStyle w:val="53"/>
            </w:pPr>
            <w:r>
              <w:t>收集西屏路南面地表水，由东往西经西屏路排入南山路现状排洪渠</w:t>
            </w:r>
          </w:p>
        </w:tc>
        <w:tc>
          <w:tcPr>
            <w:tcW w:w="3760" w:type="dxa"/>
            <w:tcBorders>
              <w:top w:val="nil"/>
              <w:left w:val="nil"/>
              <w:bottom w:val="single" w:color="auto" w:sz="4" w:space="0"/>
              <w:right w:val="single" w:color="auto" w:sz="4" w:space="0"/>
            </w:tcBorders>
            <w:shd w:val="clear" w:color="auto" w:fill="auto"/>
          </w:tcPr>
          <w:p w14:paraId="23409E7F">
            <w:pPr>
              <w:pStyle w:val="53"/>
            </w:pPr>
            <w:r>
              <w:t>规划未说明本段雨水管管径及流向，现状无污水管道。</w:t>
            </w:r>
          </w:p>
        </w:tc>
      </w:tr>
    </w:tbl>
    <w:p w14:paraId="4C285310">
      <w:pPr>
        <w:ind w:firstLine="480"/>
        <w:rPr>
          <w:rFonts w:ascii="Times New Roman" w:hAnsi="Times New Roman" w:cs="Times New Roman"/>
        </w:rPr>
      </w:pPr>
      <w:r>
        <w:rPr>
          <w:rFonts w:ascii="Times New Roman" w:hAnsi="Times New Roman" w:cs="Times New Roman"/>
        </w:rPr>
        <w:t xml:space="preserve">4、城东改造片区说明：  </w:t>
      </w:r>
    </w:p>
    <w:p w14:paraId="1BE91C3E">
      <w:pPr>
        <w:ind w:firstLine="480"/>
        <w:rPr>
          <w:rFonts w:ascii="Times New Roman" w:hAnsi="Times New Roman" w:cs="Times New Roman"/>
        </w:rPr>
      </w:pPr>
      <w:r>
        <w:rPr>
          <w:rFonts w:ascii="Times New Roman" w:hAnsi="Times New Roman" w:cs="Times New Roman"/>
        </w:rPr>
        <w:t>该区域管道改造雨水管道共计3条，污水管道4条，详见下表：</w:t>
      </w:r>
    </w:p>
    <w:tbl>
      <w:tblPr>
        <w:tblStyle w:val="29"/>
        <w:tblW w:w="10280" w:type="dxa"/>
        <w:jc w:val="center"/>
        <w:tblLayout w:type="autofit"/>
        <w:tblCellMar>
          <w:top w:w="0" w:type="dxa"/>
          <w:left w:w="108" w:type="dxa"/>
          <w:bottom w:w="0" w:type="dxa"/>
          <w:right w:w="108" w:type="dxa"/>
        </w:tblCellMar>
      </w:tblPr>
      <w:tblGrid>
        <w:gridCol w:w="1067"/>
        <w:gridCol w:w="2551"/>
        <w:gridCol w:w="3304"/>
        <w:gridCol w:w="3358"/>
      </w:tblGrid>
      <w:tr w14:paraId="68141419">
        <w:tblPrEx>
          <w:tblCellMar>
            <w:top w:w="0" w:type="dxa"/>
            <w:left w:w="108" w:type="dxa"/>
            <w:bottom w:w="0" w:type="dxa"/>
            <w:right w:w="108" w:type="dxa"/>
          </w:tblCellMar>
        </w:tblPrEx>
        <w:trPr>
          <w:trHeight w:val="555" w:hRule="atLeast"/>
          <w:jc w:val="center"/>
        </w:trPr>
        <w:tc>
          <w:tcPr>
            <w:tcW w:w="1067" w:type="dxa"/>
            <w:tcBorders>
              <w:top w:val="single" w:color="auto" w:sz="4" w:space="0"/>
              <w:left w:val="single" w:color="auto" w:sz="4" w:space="0"/>
              <w:bottom w:val="single" w:color="auto" w:sz="4" w:space="0"/>
              <w:right w:val="single" w:color="auto" w:sz="4" w:space="0"/>
            </w:tcBorders>
            <w:shd w:val="clear" w:color="auto" w:fill="auto"/>
            <w:vAlign w:val="center"/>
          </w:tcPr>
          <w:p w14:paraId="73812941">
            <w:pPr>
              <w:pStyle w:val="53"/>
            </w:pPr>
            <w:r>
              <w:t>序号</w:t>
            </w:r>
          </w:p>
        </w:tc>
        <w:tc>
          <w:tcPr>
            <w:tcW w:w="2551" w:type="dxa"/>
            <w:tcBorders>
              <w:top w:val="single" w:color="auto" w:sz="4" w:space="0"/>
              <w:left w:val="nil"/>
              <w:bottom w:val="single" w:color="auto" w:sz="4" w:space="0"/>
              <w:right w:val="single" w:color="auto" w:sz="4" w:space="0"/>
            </w:tcBorders>
            <w:shd w:val="clear" w:color="auto" w:fill="auto"/>
            <w:vAlign w:val="center"/>
          </w:tcPr>
          <w:p w14:paraId="28A7779E">
            <w:pPr>
              <w:pStyle w:val="53"/>
            </w:pPr>
            <w:r>
              <w:t>线路名称</w:t>
            </w:r>
          </w:p>
        </w:tc>
        <w:tc>
          <w:tcPr>
            <w:tcW w:w="3304" w:type="dxa"/>
            <w:tcBorders>
              <w:top w:val="single" w:color="auto" w:sz="4" w:space="0"/>
              <w:left w:val="nil"/>
              <w:bottom w:val="single" w:color="auto" w:sz="4" w:space="0"/>
              <w:right w:val="single" w:color="auto" w:sz="4" w:space="0"/>
            </w:tcBorders>
            <w:shd w:val="clear" w:color="auto" w:fill="auto"/>
            <w:vAlign w:val="center"/>
          </w:tcPr>
          <w:p w14:paraId="3C53E821">
            <w:pPr>
              <w:pStyle w:val="53"/>
            </w:pPr>
            <w:r>
              <w:t>建设内容</w:t>
            </w:r>
          </w:p>
        </w:tc>
        <w:tc>
          <w:tcPr>
            <w:tcW w:w="3358" w:type="dxa"/>
            <w:tcBorders>
              <w:top w:val="single" w:color="auto" w:sz="4" w:space="0"/>
              <w:left w:val="nil"/>
              <w:bottom w:val="single" w:color="auto" w:sz="4" w:space="0"/>
              <w:right w:val="single" w:color="auto" w:sz="4" w:space="0"/>
            </w:tcBorders>
            <w:shd w:val="clear" w:color="auto" w:fill="auto"/>
            <w:vAlign w:val="center"/>
          </w:tcPr>
          <w:p w14:paraId="35F82489">
            <w:pPr>
              <w:pStyle w:val="53"/>
            </w:pPr>
            <w:r>
              <w:t>备注</w:t>
            </w:r>
          </w:p>
        </w:tc>
      </w:tr>
      <w:tr w14:paraId="6D03C26A">
        <w:tblPrEx>
          <w:tblCellMar>
            <w:top w:w="0" w:type="dxa"/>
            <w:left w:w="108" w:type="dxa"/>
            <w:bottom w:w="0" w:type="dxa"/>
            <w:right w:w="108" w:type="dxa"/>
          </w:tblCellMar>
        </w:tblPrEx>
        <w:trPr>
          <w:trHeight w:val="1350" w:hRule="atLeast"/>
          <w:jc w:val="center"/>
        </w:trPr>
        <w:tc>
          <w:tcPr>
            <w:tcW w:w="1067" w:type="dxa"/>
            <w:tcBorders>
              <w:top w:val="nil"/>
              <w:left w:val="single" w:color="auto" w:sz="4" w:space="0"/>
              <w:bottom w:val="single" w:color="auto" w:sz="4" w:space="0"/>
              <w:right w:val="single" w:color="auto" w:sz="4" w:space="0"/>
            </w:tcBorders>
            <w:shd w:val="clear" w:color="auto" w:fill="auto"/>
            <w:vAlign w:val="center"/>
          </w:tcPr>
          <w:p w14:paraId="1CA99249">
            <w:pPr>
              <w:pStyle w:val="53"/>
            </w:pPr>
            <w:r>
              <w:t>污水-07</w:t>
            </w:r>
          </w:p>
        </w:tc>
        <w:tc>
          <w:tcPr>
            <w:tcW w:w="2551" w:type="dxa"/>
            <w:tcBorders>
              <w:top w:val="nil"/>
              <w:left w:val="nil"/>
              <w:bottom w:val="single" w:color="auto" w:sz="4" w:space="0"/>
              <w:right w:val="single" w:color="auto" w:sz="4" w:space="0"/>
            </w:tcBorders>
            <w:shd w:val="clear" w:color="auto" w:fill="auto"/>
            <w:vAlign w:val="center"/>
          </w:tcPr>
          <w:p w14:paraId="146CFF1B">
            <w:pPr>
              <w:pStyle w:val="53"/>
            </w:pPr>
            <w:r>
              <w:t>福龙路-城中市场</w:t>
            </w:r>
          </w:p>
        </w:tc>
        <w:tc>
          <w:tcPr>
            <w:tcW w:w="3304" w:type="dxa"/>
            <w:tcBorders>
              <w:top w:val="nil"/>
              <w:left w:val="nil"/>
              <w:bottom w:val="single" w:color="auto" w:sz="4" w:space="0"/>
              <w:right w:val="single" w:color="auto" w:sz="4" w:space="0"/>
            </w:tcBorders>
            <w:shd w:val="clear" w:color="auto" w:fill="auto"/>
          </w:tcPr>
          <w:p w14:paraId="4CA83F43">
            <w:pPr>
              <w:pStyle w:val="53"/>
            </w:pPr>
            <w:r>
              <w:t>解决雨污合流现状，将管线周边排放的污水收集到新建污水管，经过现状排洪渠内由西往东走向汇入城中市场市政污水管</w:t>
            </w:r>
          </w:p>
        </w:tc>
        <w:tc>
          <w:tcPr>
            <w:tcW w:w="3358" w:type="dxa"/>
            <w:tcBorders>
              <w:top w:val="nil"/>
              <w:left w:val="nil"/>
              <w:bottom w:val="single" w:color="auto" w:sz="4" w:space="0"/>
              <w:right w:val="single" w:color="auto" w:sz="4" w:space="0"/>
            </w:tcBorders>
            <w:shd w:val="clear" w:color="auto" w:fill="auto"/>
          </w:tcPr>
          <w:p w14:paraId="5BF55854">
            <w:pPr>
              <w:pStyle w:val="53"/>
            </w:pPr>
            <w:r>
              <w:t>规划未说明本段污水管管径及流向，现状无污水管道。</w:t>
            </w:r>
          </w:p>
        </w:tc>
      </w:tr>
      <w:tr w14:paraId="69BFA7CA">
        <w:tblPrEx>
          <w:tblCellMar>
            <w:top w:w="0" w:type="dxa"/>
            <w:left w:w="108" w:type="dxa"/>
            <w:bottom w:w="0" w:type="dxa"/>
            <w:right w:w="108" w:type="dxa"/>
          </w:tblCellMar>
        </w:tblPrEx>
        <w:trPr>
          <w:trHeight w:val="1080" w:hRule="atLeast"/>
          <w:jc w:val="center"/>
        </w:trPr>
        <w:tc>
          <w:tcPr>
            <w:tcW w:w="1067" w:type="dxa"/>
            <w:tcBorders>
              <w:top w:val="nil"/>
              <w:left w:val="single" w:color="auto" w:sz="4" w:space="0"/>
              <w:bottom w:val="single" w:color="auto" w:sz="4" w:space="0"/>
              <w:right w:val="single" w:color="auto" w:sz="4" w:space="0"/>
            </w:tcBorders>
            <w:shd w:val="clear" w:color="auto" w:fill="auto"/>
            <w:vAlign w:val="center"/>
          </w:tcPr>
          <w:p w14:paraId="7474EB00">
            <w:pPr>
              <w:pStyle w:val="53"/>
            </w:pPr>
            <w:r>
              <w:t>污水-08</w:t>
            </w:r>
          </w:p>
        </w:tc>
        <w:tc>
          <w:tcPr>
            <w:tcW w:w="2551" w:type="dxa"/>
            <w:tcBorders>
              <w:top w:val="nil"/>
              <w:left w:val="nil"/>
              <w:bottom w:val="single" w:color="auto" w:sz="4" w:space="0"/>
              <w:right w:val="single" w:color="auto" w:sz="4" w:space="0"/>
            </w:tcBorders>
            <w:shd w:val="clear" w:color="auto" w:fill="auto"/>
            <w:vAlign w:val="center"/>
          </w:tcPr>
          <w:p w14:paraId="72D5321D">
            <w:pPr>
              <w:pStyle w:val="53"/>
            </w:pPr>
            <w:r>
              <w:t>石花路</w:t>
            </w:r>
          </w:p>
        </w:tc>
        <w:tc>
          <w:tcPr>
            <w:tcW w:w="3304" w:type="dxa"/>
            <w:tcBorders>
              <w:top w:val="nil"/>
              <w:left w:val="nil"/>
              <w:bottom w:val="single" w:color="auto" w:sz="4" w:space="0"/>
              <w:right w:val="single" w:color="auto" w:sz="4" w:space="0"/>
            </w:tcBorders>
            <w:shd w:val="clear" w:color="auto" w:fill="auto"/>
          </w:tcPr>
          <w:p w14:paraId="76FAB3F0">
            <w:pPr>
              <w:pStyle w:val="53"/>
            </w:pPr>
            <w:r>
              <w:t>解决雨污合流现状，将石花小区周边污水收集汇入解放路市政污水管网，实线雨污分流</w:t>
            </w:r>
          </w:p>
        </w:tc>
        <w:tc>
          <w:tcPr>
            <w:tcW w:w="3358" w:type="dxa"/>
            <w:tcBorders>
              <w:top w:val="nil"/>
              <w:left w:val="nil"/>
              <w:bottom w:val="single" w:color="auto" w:sz="4" w:space="0"/>
              <w:right w:val="single" w:color="auto" w:sz="4" w:space="0"/>
            </w:tcBorders>
            <w:shd w:val="clear" w:color="auto" w:fill="auto"/>
          </w:tcPr>
          <w:p w14:paraId="267BD864">
            <w:pPr>
              <w:pStyle w:val="53"/>
            </w:pPr>
            <w:r>
              <w:t>规划未说明本段污水管管径及流向，现状无污水管道。</w:t>
            </w:r>
          </w:p>
        </w:tc>
      </w:tr>
      <w:tr w14:paraId="0B2DD932">
        <w:tblPrEx>
          <w:tblCellMar>
            <w:top w:w="0" w:type="dxa"/>
            <w:left w:w="108" w:type="dxa"/>
            <w:bottom w:w="0" w:type="dxa"/>
            <w:right w:w="108" w:type="dxa"/>
          </w:tblCellMar>
        </w:tblPrEx>
        <w:trPr>
          <w:trHeight w:val="540" w:hRule="atLeast"/>
          <w:jc w:val="center"/>
        </w:trPr>
        <w:tc>
          <w:tcPr>
            <w:tcW w:w="1067" w:type="dxa"/>
            <w:tcBorders>
              <w:top w:val="nil"/>
              <w:left w:val="single" w:color="auto" w:sz="4" w:space="0"/>
              <w:bottom w:val="single" w:color="auto" w:sz="4" w:space="0"/>
              <w:right w:val="single" w:color="auto" w:sz="4" w:space="0"/>
            </w:tcBorders>
            <w:shd w:val="clear" w:color="auto" w:fill="auto"/>
            <w:vAlign w:val="center"/>
          </w:tcPr>
          <w:p w14:paraId="73A49162">
            <w:pPr>
              <w:pStyle w:val="53"/>
            </w:pPr>
            <w:r>
              <w:t>污水-09</w:t>
            </w:r>
          </w:p>
        </w:tc>
        <w:tc>
          <w:tcPr>
            <w:tcW w:w="2551" w:type="dxa"/>
            <w:tcBorders>
              <w:top w:val="nil"/>
              <w:left w:val="nil"/>
              <w:bottom w:val="single" w:color="auto" w:sz="4" w:space="0"/>
              <w:right w:val="single" w:color="auto" w:sz="4" w:space="0"/>
            </w:tcBorders>
            <w:shd w:val="clear" w:color="auto" w:fill="auto"/>
            <w:vAlign w:val="center"/>
          </w:tcPr>
          <w:p w14:paraId="46F4BF8A">
            <w:pPr>
              <w:pStyle w:val="53"/>
            </w:pPr>
            <w:r>
              <w:t>城南广场污水改造</w:t>
            </w:r>
          </w:p>
        </w:tc>
        <w:tc>
          <w:tcPr>
            <w:tcW w:w="3304" w:type="dxa"/>
            <w:tcBorders>
              <w:top w:val="nil"/>
              <w:left w:val="nil"/>
              <w:bottom w:val="single" w:color="auto" w:sz="4" w:space="0"/>
              <w:right w:val="single" w:color="auto" w:sz="4" w:space="0"/>
            </w:tcBorders>
            <w:shd w:val="clear" w:color="auto" w:fill="auto"/>
          </w:tcPr>
          <w:p w14:paraId="6656B7AD">
            <w:pPr>
              <w:pStyle w:val="53"/>
            </w:pPr>
            <w:r>
              <w:t>收集城南广场周边污水汇入现有污水系统</w:t>
            </w:r>
          </w:p>
        </w:tc>
        <w:tc>
          <w:tcPr>
            <w:tcW w:w="3358" w:type="dxa"/>
            <w:tcBorders>
              <w:top w:val="nil"/>
              <w:left w:val="nil"/>
              <w:bottom w:val="single" w:color="auto" w:sz="4" w:space="0"/>
              <w:right w:val="single" w:color="auto" w:sz="4" w:space="0"/>
            </w:tcBorders>
            <w:shd w:val="clear" w:color="auto" w:fill="auto"/>
          </w:tcPr>
          <w:p w14:paraId="764D88E8">
            <w:pPr>
              <w:pStyle w:val="53"/>
            </w:pPr>
            <w:r>
              <w:t>规划未说明本段污水管管径及流向，现状无污水管道。</w:t>
            </w:r>
          </w:p>
        </w:tc>
      </w:tr>
      <w:tr w14:paraId="3000541D">
        <w:tblPrEx>
          <w:tblCellMar>
            <w:top w:w="0" w:type="dxa"/>
            <w:left w:w="108" w:type="dxa"/>
            <w:bottom w:w="0" w:type="dxa"/>
            <w:right w:w="108" w:type="dxa"/>
          </w:tblCellMar>
        </w:tblPrEx>
        <w:trPr>
          <w:trHeight w:val="810" w:hRule="atLeast"/>
          <w:jc w:val="center"/>
        </w:trPr>
        <w:tc>
          <w:tcPr>
            <w:tcW w:w="1067" w:type="dxa"/>
            <w:tcBorders>
              <w:top w:val="nil"/>
              <w:left w:val="single" w:color="auto" w:sz="4" w:space="0"/>
              <w:bottom w:val="single" w:color="auto" w:sz="4" w:space="0"/>
              <w:right w:val="single" w:color="auto" w:sz="4" w:space="0"/>
            </w:tcBorders>
            <w:shd w:val="clear" w:color="auto" w:fill="auto"/>
            <w:vAlign w:val="center"/>
          </w:tcPr>
          <w:p w14:paraId="58C5D535">
            <w:pPr>
              <w:pStyle w:val="53"/>
            </w:pPr>
            <w:r>
              <w:t>污水-10</w:t>
            </w:r>
          </w:p>
        </w:tc>
        <w:tc>
          <w:tcPr>
            <w:tcW w:w="2551" w:type="dxa"/>
            <w:tcBorders>
              <w:top w:val="nil"/>
              <w:left w:val="nil"/>
              <w:bottom w:val="single" w:color="auto" w:sz="4" w:space="0"/>
              <w:right w:val="single" w:color="auto" w:sz="4" w:space="0"/>
            </w:tcBorders>
            <w:shd w:val="clear" w:color="auto" w:fill="auto"/>
            <w:vAlign w:val="center"/>
          </w:tcPr>
          <w:p w14:paraId="0EE75533">
            <w:pPr>
              <w:pStyle w:val="53"/>
            </w:pPr>
            <w:r>
              <w:t>鹤岭路-东升路</w:t>
            </w:r>
          </w:p>
        </w:tc>
        <w:tc>
          <w:tcPr>
            <w:tcW w:w="3304" w:type="dxa"/>
            <w:tcBorders>
              <w:top w:val="nil"/>
              <w:left w:val="nil"/>
              <w:bottom w:val="single" w:color="auto" w:sz="4" w:space="0"/>
              <w:right w:val="single" w:color="auto" w:sz="4" w:space="0"/>
            </w:tcBorders>
            <w:shd w:val="clear" w:color="auto" w:fill="auto"/>
          </w:tcPr>
          <w:p w14:paraId="7F3DF78E">
            <w:pPr>
              <w:pStyle w:val="53"/>
            </w:pPr>
            <w:r>
              <w:t>主要解决玻璃岭安置区，浙大南路西面居民区，沙岭社区污水排放收集</w:t>
            </w:r>
          </w:p>
        </w:tc>
        <w:tc>
          <w:tcPr>
            <w:tcW w:w="3358" w:type="dxa"/>
            <w:tcBorders>
              <w:top w:val="nil"/>
              <w:left w:val="nil"/>
              <w:bottom w:val="single" w:color="auto" w:sz="4" w:space="0"/>
              <w:right w:val="single" w:color="auto" w:sz="4" w:space="0"/>
            </w:tcBorders>
            <w:shd w:val="clear" w:color="auto" w:fill="auto"/>
          </w:tcPr>
          <w:p w14:paraId="1EF2A21E">
            <w:pPr>
              <w:pStyle w:val="53"/>
            </w:pPr>
            <w:r>
              <w:t>规划未说明本段污水管管径及流向，现状无污水管道。</w:t>
            </w:r>
          </w:p>
        </w:tc>
      </w:tr>
      <w:tr w14:paraId="1356AD90">
        <w:tblPrEx>
          <w:tblCellMar>
            <w:top w:w="0" w:type="dxa"/>
            <w:left w:w="108" w:type="dxa"/>
            <w:bottom w:w="0" w:type="dxa"/>
            <w:right w:w="108" w:type="dxa"/>
          </w:tblCellMar>
        </w:tblPrEx>
        <w:trPr>
          <w:trHeight w:val="285" w:hRule="atLeast"/>
          <w:jc w:val="center"/>
        </w:trPr>
        <w:tc>
          <w:tcPr>
            <w:tcW w:w="10280" w:type="dxa"/>
            <w:gridSpan w:val="4"/>
            <w:tcBorders>
              <w:top w:val="nil"/>
              <w:left w:val="single" w:color="auto" w:sz="4" w:space="0"/>
              <w:bottom w:val="single" w:color="auto" w:sz="4" w:space="0"/>
              <w:right w:val="single" w:color="auto" w:sz="4" w:space="0"/>
            </w:tcBorders>
            <w:shd w:val="clear" w:color="auto" w:fill="auto"/>
            <w:vAlign w:val="center"/>
          </w:tcPr>
          <w:p w14:paraId="386E5958">
            <w:pPr>
              <w:pStyle w:val="53"/>
            </w:pPr>
          </w:p>
        </w:tc>
      </w:tr>
      <w:tr w14:paraId="355E4EAC">
        <w:tblPrEx>
          <w:tblCellMar>
            <w:top w:w="0" w:type="dxa"/>
            <w:left w:w="108" w:type="dxa"/>
            <w:bottom w:w="0" w:type="dxa"/>
            <w:right w:w="108" w:type="dxa"/>
          </w:tblCellMar>
        </w:tblPrEx>
        <w:trPr>
          <w:trHeight w:val="825" w:hRule="atLeast"/>
          <w:jc w:val="center"/>
        </w:trPr>
        <w:tc>
          <w:tcPr>
            <w:tcW w:w="1067" w:type="dxa"/>
            <w:tcBorders>
              <w:top w:val="nil"/>
              <w:left w:val="single" w:color="auto" w:sz="4" w:space="0"/>
              <w:bottom w:val="single" w:color="auto" w:sz="4" w:space="0"/>
              <w:right w:val="single" w:color="auto" w:sz="4" w:space="0"/>
            </w:tcBorders>
            <w:shd w:val="clear" w:color="auto" w:fill="auto"/>
            <w:vAlign w:val="center"/>
          </w:tcPr>
          <w:p w14:paraId="216E9E77">
            <w:pPr>
              <w:pStyle w:val="53"/>
            </w:pPr>
            <w:r>
              <w:t>雨水-09</w:t>
            </w:r>
          </w:p>
        </w:tc>
        <w:tc>
          <w:tcPr>
            <w:tcW w:w="2551" w:type="dxa"/>
            <w:tcBorders>
              <w:top w:val="nil"/>
              <w:left w:val="nil"/>
              <w:bottom w:val="single" w:color="auto" w:sz="4" w:space="0"/>
              <w:right w:val="single" w:color="auto" w:sz="4" w:space="0"/>
            </w:tcBorders>
            <w:shd w:val="clear" w:color="auto" w:fill="auto"/>
            <w:vAlign w:val="center"/>
          </w:tcPr>
          <w:p w14:paraId="5A681DF9">
            <w:pPr>
              <w:pStyle w:val="53"/>
            </w:pPr>
            <w:r>
              <w:t>马草巷</w:t>
            </w:r>
          </w:p>
        </w:tc>
        <w:tc>
          <w:tcPr>
            <w:tcW w:w="3304" w:type="dxa"/>
            <w:tcBorders>
              <w:top w:val="nil"/>
              <w:left w:val="nil"/>
              <w:bottom w:val="single" w:color="auto" w:sz="4" w:space="0"/>
              <w:right w:val="single" w:color="auto" w:sz="4" w:space="0"/>
            </w:tcBorders>
            <w:shd w:val="clear" w:color="auto" w:fill="auto"/>
          </w:tcPr>
          <w:p w14:paraId="6E3770E5">
            <w:pPr>
              <w:pStyle w:val="53"/>
            </w:pPr>
            <w:r>
              <w:t>解决该片区雨污分流现状问题,改造后原有排水管作为污水收集管</w:t>
            </w:r>
          </w:p>
        </w:tc>
        <w:tc>
          <w:tcPr>
            <w:tcW w:w="3358" w:type="dxa"/>
            <w:tcBorders>
              <w:top w:val="nil"/>
              <w:left w:val="nil"/>
              <w:bottom w:val="single" w:color="auto" w:sz="4" w:space="0"/>
              <w:right w:val="single" w:color="auto" w:sz="4" w:space="0"/>
            </w:tcBorders>
            <w:shd w:val="clear" w:color="auto" w:fill="auto"/>
          </w:tcPr>
          <w:p w14:paraId="56882CB9">
            <w:pPr>
              <w:pStyle w:val="53"/>
            </w:pPr>
            <w:r>
              <w:t>规划未说明本段雨水管管径及流向，现状无雨水管道。</w:t>
            </w:r>
          </w:p>
        </w:tc>
      </w:tr>
      <w:tr w14:paraId="3197C39B">
        <w:tblPrEx>
          <w:tblCellMar>
            <w:top w:w="0" w:type="dxa"/>
            <w:left w:w="108" w:type="dxa"/>
            <w:bottom w:w="0" w:type="dxa"/>
            <w:right w:w="108" w:type="dxa"/>
          </w:tblCellMar>
        </w:tblPrEx>
        <w:trPr>
          <w:trHeight w:val="810" w:hRule="atLeast"/>
          <w:jc w:val="center"/>
        </w:trPr>
        <w:tc>
          <w:tcPr>
            <w:tcW w:w="1067" w:type="dxa"/>
            <w:tcBorders>
              <w:top w:val="nil"/>
              <w:left w:val="single" w:color="auto" w:sz="4" w:space="0"/>
              <w:bottom w:val="single" w:color="auto" w:sz="4" w:space="0"/>
              <w:right w:val="single" w:color="auto" w:sz="4" w:space="0"/>
            </w:tcBorders>
            <w:shd w:val="clear" w:color="auto" w:fill="auto"/>
            <w:vAlign w:val="center"/>
          </w:tcPr>
          <w:p w14:paraId="7A0ACBE4">
            <w:pPr>
              <w:pStyle w:val="53"/>
            </w:pPr>
            <w:r>
              <w:t>雨水-10</w:t>
            </w:r>
          </w:p>
        </w:tc>
        <w:tc>
          <w:tcPr>
            <w:tcW w:w="2551" w:type="dxa"/>
            <w:tcBorders>
              <w:top w:val="nil"/>
              <w:left w:val="nil"/>
              <w:bottom w:val="single" w:color="auto" w:sz="4" w:space="0"/>
              <w:right w:val="single" w:color="auto" w:sz="4" w:space="0"/>
            </w:tcBorders>
            <w:shd w:val="clear" w:color="auto" w:fill="auto"/>
            <w:vAlign w:val="center"/>
          </w:tcPr>
          <w:p w14:paraId="46737E07">
            <w:pPr>
              <w:pStyle w:val="53"/>
            </w:pPr>
            <w:r>
              <w:t>龙溪路与刘三姐大道</w:t>
            </w:r>
          </w:p>
          <w:p w14:paraId="2EE9B66C">
            <w:pPr>
              <w:pStyle w:val="53"/>
            </w:pPr>
            <w:r>
              <w:t>交叉口</w:t>
            </w:r>
          </w:p>
        </w:tc>
        <w:tc>
          <w:tcPr>
            <w:tcW w:w="3304" w:type="dxa"/>
            <w:tcBorders>
              <w:top w:val="nil"/>
              <w:left w:val="nil"/>
              <w:bottom w:val="single" w:color="auto" w:sz="4" w:space="0"/>
              <w:right w:val="single" w:color="auto" w:sz="4" w:space="0"/>
            </w:tcBorders>
            <w:shd w:val="clear" w:color="auto" w:fill="auto"/>
          </w:tcPr>
          <w:p w14:paraId="2A0E58F0">
            <w:pPr>
              <w:pStyle w:val="53"/>
            </w:pPr>
            <w:r>
              <w:t>解决配件厂雨季地表水排放，分流汇入龙溪路东段市政雨水管网</w:t>
            </w:r>
          </w:p>
        </w:tc>
        <w:tc>
          <w:tcPr>
            <w:tcW w:w="3358" w:type="dxa"/>
            <w:tcBorders>
              <w:top w:val="nil"/>
              <w:left w:val="nil"/>
              <w:bottom w:val="single" w:color="auto" w:sz="4" w:space="0"/>
              <w:right w:val="single" w:color="auto" w:sz="4" w:space="0"/>
            </w:tcBorders>
            <w:shd w:val="clear" w:color="auto" w:fill="auto"/>
          </w:tcPr>
          <w:p w14:paraId="450F92DD">
            <w:pPr>
              <w:pStyle w:val="53"/>
            </w:pPr>
            <w:r>
              <w:t>规划雨水管道管径DN1000，流向自西向东，现状无雨水管道。</w:t>
            </w:r>
          </w:p>
        </w:tc>
      </w:tr>
      <w:tr w14:paraId="5881BA48">
        <w:tblPrEx>
          <w:tblCellMar>
            <w:top w:w="0" w:type="dxa"/>
            <w:left w:w="108" w:type="dxa"/>
            <w:bottom w:w="0" w:type="dxa"/>
            <w:right w:w="108" w:type="dxa"/>
          </w:tblCellMar>
        </w:tblPrEx>
        <w:trPr>
          <w:trHeight w:val="660" w:hRule="atLeast"/>
          <w:jc w:val="center"/>
        </w:trPr>
        <w:tc>
          <w:tcPr>
            <w:tcW w:w="1067" w:type="dxa"/>
            <w:tcBorders>
              <w:top w:val="nil"/>
              <w:left w:val="single" w:color="auto" w:sz="4" w:space="0"/>
              <w:bottom w:val="single" w:color="auto" w:sz="4" w:space="0"/>
              <w:right w:val="single" w:color="auto" w:sz="4" w:space="0"/>
            </w:tcBorders>
            <w:shd w:val="clear" w:color="auto" w:fill="auto"/>
            <w:vAlign w:val="center"/>
          </w:tcPr>
          <w:p w14:paraId="4CC359BD">
            <w:pPr>
              <w:pStyle w:val="53"/>
            </w:pPr>
            <w:r>
              <w:t>雨水-11</w:t>
            </w:r>
          </w:p>
        </w:tc>
        <w:tc>
          <w:tcPr>
            <w:tcW w:w="2551" w:type="dxa"/>
            <w:tcBorders>
              <w:top w:val="nil"/>
              <w:left w:val="nil"/>
              <w:bottom w:val="single" w:color="auto" w:sz="4" w:space="0"/>
              <w:right w:val="single" w:color="auto" w:sz="4" w:space="0"/>
            </w:tcBorders>
            <w:shd w:val="clear" w:color="auto" w:fill="auto"/>
            <w:vAlign w:val="center"/>
          </w:tcPr>
          <w:p w14:paraId="4AEBC925">
            <w:pPr>
              <w:pStyle w:val="53"/>
            </w:pPr>
            <w:r>
              <w:t>福龙路-共和路</w:t>
            </w:r>
          </w:p>
        </w:tc>
        <w:tc>
          <w:tcPr>
            <w:tcW w:w="3304" w:type="dxa"/>
            <w:tcBorders>
              <w:top w:val="nil"/>
              <w:left w:val="nil"/>
              <w:bottom w:val="single" w:color="auto" w:sz="4" w:space="0"/>
              <w:right w:val="single" w:color="auto" w:sz="4" w:space="0"/>
            </w:tcBorders>
            <w:shd w:val="clear" w:color="auto" w:fill="auto"/>
          </w:tcPr>
          <w:p w14:paraId="4B3149CB">
            <w:pPr>
              <w:pStyle w:val="53"/>
            </w:pPr>
            <w:r>
              <w:t>解决该片区雨污分流现状问题</w:t>
            </w:r>
          </w:p>
        </w:tc>
        <w:tc>
          <w:tcPr>
            <w:tcW w:w="3358" w:type="dxa"/>
            <w:tcBorders>
              <w:top w:val="nil"/>
              <w:left w:val="nil"/>
              <w:bottom w:val="single" w:color="auto" w:sz="4" w:space="0"/>
              <w:right w:val="single" w:color="auto" w:sz="4" w:space="0"/>
            </w:tcBorders>
            <w:shd w:val="clear" w:color="auto" w:fill="auto"/>
          </w:tcPr>
          <w:p w14:paraId="71CBA5D1">
            <w:pPr>
              <w:pStyle w:val="53"/>
            </w:pPr>
            <w:r>
              <w:t>规划未说明本段雨水管管径及流向，现状无雨水管道。</w:t>
            </w:r>
          </w:p>
        </w:tc>
      </w:tr>
    </w:tbl>
    <w:p w14:paraId="731CA2EA">
      <w:pPr>
        <w:ind w:firstLine="480"/>
        <w:rPr>
          <w:rFonts w:ascii="Times New Roman" w:hAnsi="Times New Roman" w:cs="Times New Roman"/>
        </w:rPr>
      </w:pPr>
      <w:r>
        <w:rPr>
          <w:rFonts w:ascii="Times New Roman" w:hAnsi="Times New Roman" w:cs="Times New Roman"/>
        </w:rPr>
        <w:t xml:space="preserve">5、原体委后门改造点：  </w:t>
      </w:r>
    </w:p>
    <w:p w14:paraId="640CF469">
      <w:pPr>
        <w:ind w:firstLine="480"/>
        <w:rPr>
          <w:rFonts w:ascii="Times New Roman" w:hAnsi="Times New Roman" w:cs="Times New Roman"/>
        </w:rPr>
      </w:pPr>
      <w:r>
        <w:rPr>
          <w:rFonts w:ascii="Times New Roman" w:hAnsi="Times New Roman" w:cs="Times New Roman"/>
        </w:rPr>
        <w:t>该区域管道改造污水管道1条，起终点连接现状污水管，详见下表：</w:t>
      </w:r>
    </w:p>
    <w:tbl>
      <w:tblPr>
        <w:tblStyle w:val="29"/>
        <w:tblW w:w="10221" w:type="dxa"/>
        <w:jc w:val="center"/>
        <w:tblLayout w:type="autofit"/>
        <w:tblCellMar>
          <w:top w:w="0" w:type="dxa"/>
          <w:left w:w="108" w:type="dxa"/>
          <w:bottom w:w="0" w:type="dxa"/>
          <w:right w:w="108" w:type="dxa"/>
        </w:tblCellMar>
      </w:tblPr>
      <w:tblGrid>
        <w:gridCol w:w="1080"/>
        <w:gridCol w:w="2337"/>
        <w:gridCol w:w="3686"/>
        <w:gridCol w:w="3118"/>
      </w:tblGrid>
      <w:tr w14:paraId="35028EF4">
        <w:tblPrEx>
          <w:tblCellMar>
            <w:top w:w="0" w:type="dxa"/>
            <w:left w:w="108" w:type="dxa"/>
            <w:bottom w:w="0" w:type="dxa"/>
            <w:right w:w="108" w:type="dxa"/>
          </w:tblCellMar>
        </w:tblPrEx>
        <w:trPr>
          <w:trHeight w:val="555" w:hRule="atLeast"/>
          <w:jc w:val="center"/>
        </w:trPr>
        <w:tc>
          <w:tcPr>
            <w:tcW w:w="1080" w:type="dxa"/>
            <w:tcBorders>
              <w:top w:val="single" w:color="auto" w:sz="4" w:space="0"/>
              <w:left w:val="single" w:color="auto" w:sz="4" w:space="0"/>
              <w:bottom w:val="single" w:color="auto" w:sz="4" w:space="0"/>
              <w:right w:val="single" w:color="auto" w:sz="4" w:space="0"/>
            </w:tcBorders>
            <w:shd w:val="clear" w:color="auto" w:fill="auto"/>
            <w:vAlign w:val="center"/>
          </w:tcPr>
          <w:p w14:paraId="70CCE2A6">
            <w:pPr>
              <w:pStyle w:val="53"/>
            </w:pPr>
            <w:r>
              <w:t>序号</w:t>
            </w:r>
          </w:p>
        </w:tc>
        <w:tc>
          <w:tcPr>
            <w:tcW w:w="2337" w:type="dxa"/>
            <w:tcBorders>
              <w:top w:val="single" w:color="auto" w:sz="4" w:space="0"/>
              <w:left w:val="nil"/>
              <w:bottom w:val="single" w:color="auto" w:sz="4" w:space="0"/>
              <w:right w:val="single" w:color="auto" w:sz="4" w:space="0"/>
            </w:tcBorders>
            <w:shd w:val="clear" w:color="auto" w:fill="auto"/>
            <w:vAlign w:val="center"/>
          </w:tcPr>
          <w:p w14:paraId="6046C496">
            <w:pPr>
              <w:pStyle w:val="53"/>
            </w:pPr>
            <w:r>
              <w:t>线路名称</w:t>
            </w:r>
          </w:p>
        </w:tc>
        <w:tc>
          <w:tcPr>
            <w:tcW w:w="3686" w:type="dxa"/>
            <w:tcBorders>
              <w:top w:val="single" w:color="auto" w:sz="4" w:space="0"/>
              <w:left w:val="nil"/>
              <w:bottom w:val="single" w:color="auto" w:sz="4" w:space="0"/>
              <w:right w:val="single" w:color="auto" w:sz="4" w:space="0"/>
            </w:tcBorders>
            <w:shd w:val="clear" w:color="auto" w:fill="auto"/>
            <w:vAlign w:val="center"/>
          </w:tcPr>
          <w:p w14:paraId="17B31AF2">
            <w:pPr>
              <w:pStyle w:val="53"/>
            </w:pPr>
            <w:r>
              <w:t>建设内容</w:t>
            </w:r>
          </w:p>
        </w:tc>
        <w:tc>
          <w:tcPr>
            <w:tcW w:w="3118" w:type="dxa"/>
            <w:tcBorders>
              <w:top w:val="single" w:color="auto" w:sz="4" w:space="0"/>
              <w:left w:val="nil"/>
              <w:bottom w:val="single" w:color="auto" w:sz="4" w:space="0"/>
              <w:right w:val="single" w:color="auto" w:sz="4" w:space="0"/>
            </w:tcBorders>
            <w:shd w:val="clear" w:color="auto" w:fill="auto"/>
            <w:vAlign w:val="center"/>
          </w:tcPr>
          <w:p w14:paraId="790B86AC">
            <w:pPr>
              <w:pStyle w:val="53"/>
            </w:pPr>
            <w:r>
              <w:t>备注</w:t>
            </w:r>
          </w:p>
        </w:tc>
      </w:tr>
      <w:tr w14:paraId="24C5DB0C">
        <w:tblPrEx>
          <w:tblCellMar>
            <w:top w:w="0" w:type="dxa"/>
            <w:left w:w="108" w:type="dxa"/>
            <w:bottom w:w="0" w:type="dxa"/>
            <w:right w:w="108" w:type="dxa"/>
          </w:tblCellMar>
        </w:tblPrEx>
        <w:trPr>
          <w:trHeight w:val="1080" w:hRule="atLeast"/>
          <w:jc w:val="center"/>
        </w:trPr>
        <w:tc>
          <w:tcPr>
            <w:tcW w:w="1080" w:type="dxa"/>
            <w:tcBorders>
              <w:top w:val="nil"/>
              <w:left w:val="single" w:color="auto" w:sz="4" w:space="0"/>
              <w:bottom w:val="single" w:color="auto" w:sz="4" w:space="0"/>
              <w:right w:val="single" w:color="auto" w:sz="4" w:space="0"/>
            </w:tcBorders>
            <w:shd w:val="clear" w:color="auto" w:fill="auto"/>
            <w:vAlign w:val="center"/>
          </w:tcPr>
          <w:p w14:paraId="51DBD41C">
            <w:pPr>
              <w:pStyle w:val="53"/>
            </w:pPr>
            <w:r>
              <w:t>污水-11</w:t>
            </w:r>
          </w:p>
        </w:tc>
        <w:tc>
          <w:tcPr>
            <w:tcW w:w="2337" w:type="dxa"/>
            <w:tcBorders>
              <w:top w:val="nil"/>
              <w:left w:val="nil"/>
              <w:bottom w:val="single" w:color="auto" w:sz="4" w:space="0"/>
              <w:right w:val="single" w:color="auto" w:sz="4" w:space="0"/>
            </w:tcBorders>
            <w:shd w:val="clear" w:color="auto" w:fill="auto"/>
            <w:vAlign w:val="center"/>
          </w:tcPr>
          <w:p w14:paraId="0A5BD17A">
            <w:pPr>
              <w:pStyle w:val="53"/>
            </w:pPr>
            <w:r>
              <w:t>原体委后门改造点</w:t>
            </w:r>
          </w:p>
        </w:tc>
        <w:tc>
          <w:tcPr>
            <w:tcW w:w="3686" w:type="dxa"/>
            <w:tcBorders>
              <w:top w:val="nil"/>
              <w:left w:val="nil"/>
              <w:bottom w:val="single" w:color="auto" w:sz="4" w:space="0"/>
              <w:right w:val="single" w:color="auto" w:sz="4" w:space="0"/>
            </w:tcBorders>
            <w:shd w:val="clear" w:color="auto" w:fill="auto"/>
          </w:tcPr>
          <w:p w14:paraId="3678F532">
            <w:pPr>
              <w:pStyle w:val="53"/>
            </w:pPr>
            <w:r>
              <w:t>该改造点主要解决了职业中专、区民族中学、农校片区污水汇集至河池学院污水主管</w:t>
            </w:r>
          </w:p>
        </w:tc>
        <w:tc>
          <w:tcPr>
            <w:tcW w:w="3118" w:type="dxa"/>
            <w:tcBorders>
              <w:top w:val="nil"/>
              <w:left w:val="nil"/>
              <w:bottom w:val="single" w:color="auto" w:sz="4" w:space="0"/>
              <w:right w:val="single" w:color="auto" w:sz="4" w:space="0"/>
            </w:tcBorders>
            <w:shd w:val="clear" w:color="auto" w:fill="auto"/>
          </w:tcPr>
          <w:p w14:paraId="49F56517">
            <w:pPr>
              <w:pStyle w:val="53"/>
            </w:pPr>
            <w:r>
              <w:t>规划未说明本段污水管管径及流向，现状无污水管道。</w:t>
            </w:r>
          </w:p>
        </w:tc>
      </w:tr>
    </w:tbl>
    <w:p w14:paraId="302141F7">
      <w:pPr>
        <w:ind w:firstLine="480"/>
        <w:rPr>
          <w:rFonts w:ascii="Times New Roman" w:hAnsi="Times New Roman" w:cs="Times New Roman"/>
        </w:rPr>
      </w:pPr>
      <w:r>
        <w:rPr>
          <w:rFonts w:ascii="Times New Roman" w:hAnsi="Times New Roman" w:cs="Times New Roman"/>
        </w:rPr>
        <w:t xml:space="preserve">6、龙水路宜山庙安置区改造点：  </w:t>
      </w:r>
    </w:p>
    <w:p w14:paraId="61248549">
      <w:pPr>
        <w:ind w:firstLine="480"/>
        <w:rPr>
          <w:rFonts w:ascii="Times New Roman" w:hAnsi="Times New Roman" w:cs="Times New Roman"/>
        </w:rPr>
      </w:pPr>
      <w:r>
        <w:rPr>
          <w:rFonts w:ascii="Times New Roman" w:hAnsi="Times New Roman" w:cs="Times New Roman"/>
        </w:rPr>
        <w:t>该区域管道改造污水管道2条，起终点连接现状污水管，详见下表：</w:t>
      </w:r>
    </w:p>
    <w:tbl>
      <w:tblPr>
        <w:tblStyle w:val="29"/>
        <w:tblW w:w="10192" w:type="dxa"/>
        <w:jc w:val="center"/>
        <w:tblLayout w:type="autofit"/>
        <w:tblCellMar>
          <w:top w:w="0" w:type="dxa"/>
          <w:left w:w="108" w:type="dxa"/>
          <w:bottom w:w="0" w:type="dxa"/>
          <w:right w:w="108" w:type="dxa"/>
        </w:tblCellMar>
      </w:tblPr>
      <w:tblGrid>
        <w:gridCol w:w="1134"/>
        <w:gridCol w:w="2498"/>
        <w:gridCol w:w="2800"/>
        <w:gridCol w:w="3760"/>
      </w:tblGrid>
      <w:tr w14:paraId="149B868F">
        <w:tblPrEx>
          <w:tblCellMar>
            <w:top w:w="0" w:type="dxa"/>
            <w:left w:w="108" w:type="dxa"/>
            <w:bottom w:w="0" w:type="dxa"/>
            <w:right w:w="108" w:type="dxa"/>
          </w:tblCellMar>
        </w:tblPrEx>
        <w:trPr>
          <w:trHeight w:val="555"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05FBDCA8">
            <w:pPr>
              <w:pStyle w:val="53"/>
            </w:pPr>
            <w:r>
              <w:t>序号</w:t>
            </w:r>
          </w:p>
        </w:tc>
        <w:tc>
          <w:tcPr>
            <w:tcW w:w="2498" w:type="dxa"/>
            <w:tcBorders>
              <w:top w:val="single" w:color="auto" w:sz="4" w:space="0"/>
              <w:left w:val="nil"/>
              <w:bottom w:val="single" w:color="auto" w:sz="4" w:space="0"/>
              <w:right w:val="single" w:color="auto" w:sz="4" w:space="0"/>
            </w:tcBorders>
            <w:shd w:val="clear" w:color="auto" w:fill="auto"/>
            <w:vAlign w:val="center"/>
          </w:tcPr>
          <w:p w14:paraId="4D04F7B3">
            <w:pPr>
              <w:pStyle w:val="53"/>
            </w:pPr>
            <w:r>
              <w:t>线路名称</w:t>
            </w:r>
          </w:p>
        </w:tc>
        <w:tc>
          <w:tcPr>
            <w:tcW w:w="2800" w:type="dxa"/>
            <w:tcBorders>
              <w:top w:val="single" w:color="auto" w:sz="4" w:space="0"/>
              <w:left w:val="nil"/>
              <w:bottom w:val="single" w:color="auto" w:sz="4" w:space="0"/>
              <w:right w:val="single" w:color="auto" w:sz="4" w:space="0"/>
            </w:tcBorders>
            <w:shd w:val="clear" w:color="auto" w:fill="auto"/>
            <w:vAlign w:val="center"/>
          </w:tcPr>
          <w:p w14:paraId="769AAFA5">
            <w:pPr>
              <w:pStyle w:val="53"/>
            </w:pPr>
            <w:r>
              <w:t>建设内容</w:t>
            </w:r>
          </w:p>
        </w:tc>
        <w:tc>
          <w:tcPr>
            <w:tcW w:w="3760" w:type="dxa"/>
            <w:tcBorders>
              <w:top w:val="single" w:color="auto" w:sz="4" w:space="0"/>
              <w:left w:val="nil"/>
              <w:bottom w:val="single" w:color="auto" w:sz="4" w:space="0"/>
              <w:right w:val="single" w:color="auto" w:sz="4" w:space="0"/>
            </w:tcBorders>
            <w:shd w:val="clear" w:color="auto" w:fill="auto"/>
            <w:vAlign w:val="center"/>
          </w:tcPr>
          <w:p w14:paraId="04761A06">
            <w:pPr>
              <w:pStyle w:val="53"/>
            </w:pPr>
            <w:r>
              <w:t>备注</w:t>
            </w:r>
          </w:p>
        </w:tc>
      </w:tr>
      <w:tr w14:paraId="77926974">
        <w:tblPrEx>
          <w:tblCellMar>
            <w:top w:w="0" w:type="dxa"/>
            <w:left w:w="108" w:type="dxa"/>
            <w:bottom w:w="0" w:type="dxa"/>
            <w:right w:w="108" w:type="dxa"/>
          </w:tblCellMar>
        </w:tblPrEx>
        <w:trPr>
          <w:trHeight w:val="540" w:hRule="atLeast"/>
          <w:jc w:val="center"/>
        </w:trPr>
        <w:tc>
          <w:tcPr>
            <w:tcW w:w="1134" w:type="dxa"/>
            <w:tcBorders>
              <w:top w:val="nil"/>
              <w:left w:val="single" w:color="auto" w:sz="4" w:space="0"/>
              <w:bottom w:val="single" w:color="auto" w:sz="4" w:space="0"/>
              <w:right w:val="single" w:color="auto" w:sz="4" w:space="0"/>
            </w:tcBorders>
            <w:shd w:val="clear" w:color="auto" w:fill="auto"/>
            <w:vAlign w:val="center"/>
          </w:tcPr>
          <w:p w14:paraId="36FF2A01">
            <w:pPr>
              <w:pStyle w:val="53"/>
            </w:pPr>
            <w:r>
              <w:t>污水-12</w:t>
            </w:r>
          </w:p>
        </w:tc>
        <w:tc>
          <w:tcPr>
            <w:tcW w:w="2498" w:type="dxa"/>
            <w:tcBorders>
              <w:top w:val="nil"/>
              <w:left w:val="nil"/>
              <w:bottom w:val="single" w:color="auto" w:sz="4" w:space="0"/>
              <w:right w:val="single" w:color="auto" w:sz="4" w:space="0"/>
            </w:tcBorders>
            <w:shd w:val="clear" w:color="auto" w:fill="auto"/>
            <w:vAlign w:val="center"/>
          </w:tcPr>
          <w:p w14:paraId="2C432B88">
            <w:pPr>
              <w:pStyle w:val="53"/>
            </w:pPr>
            <w:r>
              <w:t>宜山庙安置区北面支管</w:t>
            </w:r>
          </w:p>
        </w:tc>
        <w:tc>
          <w:tcPr>
            <w:tcW w:w="2800" w:type="dxa"/>
            <w:tcBorders>
              <w:top w:val="nil"/>
              <w:left w:val="nil"/>
              <w:bottom w:val="single" w:color="auto" w:sz="4" w:space="0"/>
              <w:right w:val="single" w:color="auto" w:sz="4" w:space="0"/>
            </w:tcBorders>
            <w:shd w:val="clear" w:color="auto" w:fill="auto"/>
          </w:tcPr>
          <w:p w14:paraId="46094927">
            <w:pPr>
              <w:pStyle w:val="53"/>
            </w:pPr>
            <w:r>
              <w:t>收集宜州庙安置区北面污水汇入现状污水主管</w:t>
            </w:r>
          </w:p>
        </w:tc>
        <w:tc>
          <w:tcPr>
            <w:tcW w:w="3760" w:type="dxa"/>
            <w:tcBorders>
              <w:top w:val="nil"/>
              <w:left w:val="nil"/>
              <w:bottom w:val="single" w:color="auto" w:sz="4" w:space="0"/>
              <w:right w:val="single" w:color="auto" w:sz="4" w:space="0"/>
            </w:tcBorders>
            <w:shd w:val="clear" w:color="auto" w:fill="auto"/>
          </w:tcPr>
          <w:p w14:paraId="6E19C62C">
            <w:pPr>
              <w:pStyle w:val="53"/>
            </w:pPr>
            <w:r>
              <w:t>规划未说明本段污水管管径及流向，现状无污水管道。</w:t>
            </w:r>
          </w:p>
        </w:tc>
      </w:tr>
      <w:tr w14:paraId="44175D49">
        <w:tblPrEx>
          <w:tblCellMar>
            <w:top w:w="0" w:type="dxa"/>
            <w:left w:w="108" w:type="dxa"/>
            <w:bottom w:w="0" w:type="dxa"/>
            <w:right w:w="108" w:type="dxa"/>
          </w:tblCellMar>
        </w:tblPrEx>
        <w:trPr>
          <w:trHeight w:val="540" w:hRule="atLeast"/>
          <w:jc w:val="center"/>
        </w:trPr>
        <w:tc>
          <w:tcPr>
            <w:tcW w:w="1134" w:type="dxa"/>
            <w:tcBorders>
              <w:top w:val="nil"/>
              <w:left w:val="single" w:color="auto" w:sz="4" w:space="0"/>
              <w:bottom w:val="single" w:color="auto" w:sz="4" w:space="0"/>
              <w:right w:val="single" w:color="auto" w:sz="4" w:space="0"/>
            </w:tcBorders>
            <w:shd w:val="clear" w:color="auto" w:fill="auto"/>
            <w:vAlign w:val="center"/>
          </w:tcPr>
          <w:p w14:paraId="28AD2D7D">
            <w:pPr>
              <w:pStyle w:val="53"/>
            </w:pPr>
            <w:r>
              <w:t>污水-13</w:t>
            </w:r>
          </w:p>
        </w:tc>
        <w:tc>
          <w:tcPr>
            <w:tcW w:w="2498" w:type="dxa"/>
            <w:tcBorders>
              <w:top w:val="nil"/>
              <w:left w:val="nil"/>
              <w:bottom w:val="single" w:color="auto" w:sz="4" w:space="0"/>
              <w:right w:val="single" w:color="auto" w:sz="4" w:space="0"/>
            </w:tcBorders>
            <w:shd w:val="clear" w:color="auto" w:fill="auto"/>
            <w:vAlign w:val="center"/>
          </w:tcPr>
          <w:p w14:paraId="28D13C4B">
            <w:pPr>
              <w:pStyle w:val="53"/>
            </w:pPr>
            <w:r>
              <w:t>宜山庙安置区南面支管</w:t>
            </w:r>
          </w:p>
        </w:tc>
        <w:tc>
          <w:tcPr>
            <w:tcW w:w="2800" w:type="dxa"/>
            <w:tcBorders>
              <w:top w:val="nil"/>
              <w:left w:val="nil"/>
              <w:bottom w:val="single" w:color="auto" w:sz="4" w:space="0"/>
              <w:right w:val="single" w:color="auto" w:sz="4" w:space="0"/>
            </w:tcBorders>
            <w:shd w:val="clear" w:color="auto" w:fill="auto"/>
          </w:tcPr>
          <w:p w14:paraId="1B9AE636">
            <w:pPr>
              <w:pStyle w:val="53"/>
            </w:pPr>
            <w:r>
              <w:t>收集宜州庙安置区南面污水汇入现状污水主管</w:t>
            </w:r>
          </w:p>
        </w:tc>
        <w:tc>
          <w:tcPr>
            <w:tcW w:w="3760" w:type="dxa"/>
            <w:tcBorders>
              <w:top w:val="nil"/>
              <w:left w:val="nil"/>
              <w:bottom w:val="single" w:color="auto" w:sz="4" w:space="0"/>
              <w:right w:val="single" w:color="auto" w:sz="4" w:space="0"/>
            </w:tcBorders>
            <w:shd w:val="clear" w:color="auto" w:fill="auto"/>
          </w:tcPr>
          <w:p w14:paraId="76EEA108">
            <w:pPr>
              <w:pStyle w:val="53"/>
            </w:pPr>
            <w:r>
              <w:t>规划未说明本段污水管管径及流向，现状无污水管道。</w:t>
            </w:r>
          </w:p>
        </w:tc>
      </w:tr>
    </w:tbl>
    <w:p w14:paraId="31BF9266">
      <w:pPr>
        <w:ind w:firstLine="480"/>
        <w:rPr>
          <w:rFonts w:ascii="Times New Roman" w:hAnsi="Times New Roman" w:cs="Times New Roman"/>
        </w:rPr>
      </w:pPr>
      <w:r>
        <w:rPr>
          <w:rFonts w:ascii="Times New Roman" w:hAnsi="Times New Roman" w:cs="Times New Roman"/>
        </w:rPr>
        <w:t xml:space="preserve">7、中山大道两侧，冯京路北侧：  </w:t>
      </w:r>
    </w:p>
    <w:p w14:paraId="412A4D97">
      <w:pPr>
        <w:ind w:firstLine="480"/>
        <w:rPr>
          <w:rFonts w:ascii="Times New Roman" w:hAnsi="Times New Roman" w:cs="Times New Roman"/>
        </w:rPr>
      </w:pPr>
      <w:r>
        <w:rPr>
          <w:rFonts w:ascii="Times New Roman" w:hAnsi="Times New Roman" w:cs="Times New Roman"/>
        </w:rPr>
        <w:t>该区域管道改造污水管道5条，起终点连接现状污水管，详见下表：</w:t>
      </w:r>
    </w:p>
    <w:tbl>
      <w:tblPr>
        <w:tblStyle w:val="29"/>
        <w:tblW w:w="10221" w:type="dxa"/>
        <w:jc w:val="center"/>
        <w:tblLayout w:type="autofit"/>
        <w:tblCellMar>
          <w:top w:w="0" w:type="dxa"/>
          <w:left w:w="108" w:type="dxa"/>
          <w:bottom w:w="0" w:type="dxa"/>
          <w:right w:w="108" w:type="dxa"/>
        </w:tblCellMar>
      </w:tblPr>
      <w:tblGrid>
        <w:gridCol w:w="1080"/>
        <w:gridCol w:w="2763"/>
        <w:gridCol w:w="2409"/>
        <w:gridCol w:w="3969"/>
      </w:tblGrid>
      <w:tr w14:paraId="628E9122">
        <w:tblPrEx>
          <w:tblCellMar>
            <w:top w:w="0" w:type="dxa"/>
            <w:left w:w="108" w:type="dxa"/>
            <w:bottom w:w="0" w:type="dxa"/>
            <w:right w:w="108" w:type="dxa"/>
          </w:tblCellMar>
        </w:tblPrEx>
        <w:trPr>
          <w:trHeight w:val="555" w:hRule="atLeast"/>
          <w:jc w:val="center"/>
        </w:trPr>
        <w:tc>
          <w:tcPr>
            <w:tcW w:w="1080" w:type="dxa"/>
            <w:tcBorders>
              <w:top w:val="single" w:color="auto" w:sz="4" w:space="0"/>
              <w:left w:val="single" w:color="auto" w:sz="4" w:space="0"/>
              <w:bottom w:val="single" w:color="auto" w:sz="4" w:space="0"/>
              <w:right w:val="single" w:color="auto" w:sz="4" w:space="0"/>
            </w:tcBorders>
            <w:shd w:val="clear" w:color="auto" w:fill="auto"/>
            <w:vAlign w:val="center"/>
          </w:tcPr>
          <w:p w14:paraId="1C7726E5">
            <w:pPr>
              <w:pStyle w:val="53"/>
            </w:pPr>
            <w:r>
              <w:t>序号</w:t>
            </w:r>
          </w:p>
        </w:tc>
        <w:tc>
          <w:tcPr>
            <w:tcW w:w="2763" w:type="dxa"/>
            <w:tcBorders>
              <w:top w:val="single" w:color="auto" w:sz="4" w:space="0"/>
              <w:left w:val="nil"/>
              <w:bottom w:val="single" w:color="auto" w:sz="4" w:space="0"/>
              <w:right w:val="single" w:color="auto" w:sz="4" w:space="0"/>
            </w:tcBorders>
            <w:shd w:val="clear" w:color="auto" w:fill="auto"/>
            <w:vAlign w:val="center"/>
          </w:tcPr>
          <w:p w14:paraId="6EACC9AF">
            <w:pPr>
              <w:pStyle w:val="53"/>
            </w:pPr>
            <w:r>
              <w:t>线路名称</w:t>
            </w:r>
          </w:p>
        </w:tc>
        <w:tc>
          <w:tcPr>
            <w:tcW w:w="2409" w:type="dxa"/>
            <w:tcBorders>
              <w:top w:val="single" w:color="auto" w:sz="4" w:space="0"/>
              <w:left w:val="nil"/>
              <w:bottom w:val="single" w:color="auto" w:sz="4" w:space="0"/>
              <w:right w:val="single" w:color="auto" w:sz="4" w:space="0"/>
            </w:tcBorders>
            <w:shd w:val="clear" w:color="auto" w:fill="auto"/>
            <w:vAlign w:val="center"/>
          </w:tcPr>
          <w:p w14:paraId="67539662">
            <w:pPr>
              <w:pStyle w:val="53"/>
            </w:pPr>
            <w:r>
              <w:t>建设内容</w:t>
            </w:r>
          </w:p>
        </w:tc>
        <w:tc>
          <w:tcPr>
            <w:tcW w:w="3969" w:type="dxa"/>
            <w:tcBorders>
              <w:top w:val="single" w:color="auto" w:sz="4" w:space="0"/>
              <w:left w:val="nil"/>
              <w:bottom w:val="single" w:color="auto" w:sz="4" w:space="0"/>
              <w:right w:val="single" w:color="auto" w:sz="4" w:space="0"/>
            </w:tcBorders>
            <w:shd w:val="clear" w:color="auto" w:fill="auto"/>
            <w:vAlign w:val="center"/>
          </w:tcPr>
          <w:p w14:paraId="0F5A9114">
            <w:pPr>
              <w:pStyle w:val="53"/>
            </w:pPr>
            <w:r>
              <w:t>备注</w:t>
            </w:r>
          </w:p>
        </w:tc>
      </w:tr>
      <w:tr w14:paraId="4ECB8FEA">
        <w:trPr>
          <w:trHeight w:val="810" w:hRule="atLeast"/>
          <w:jc w:val="center"/>
        </w:trPr>
        <w:tc>
          <w:tcPr>
            <w:tcW w:w="1080" w:type="dxa"/>
            <w:tcBorders>
              <w:top w:val="nil"/>
              <w:left w:val="single" w:color="auto" w:sz="4" w:space="0"/>
              <w:bottom w:val="single" w:color="auto" w:sz="4" w:space="0"/>
              <w:right w:val="single" w:color="auto" w:sz="4" w:space="0"/>
            </w:tcBorders>
            <w:shd w:val="clear" w:color="auto" w:fill="auto"/>
            <w:vAlign w:val="center"/>
          </w:tcPr>
          <w:p w14:paraId="5E4FAF38">
            <w:pPr>
              <w:pStyle w:val="53"/>
            </w:pPr>
            <w:r>
              <w:t>污水-14</w:t>
            </w:r>
          </w:p>
        </w:tc>
        <w:tc>
          <w:tcPr>
            <w:tcW w:w="2763" w:type="dxa"/>
            <w:tcBorders>
              <w:top w:val="nil"/>
              <w:left w:val="nil"/>
              <w:bottom w:val="single" w:color="auto" w:sz="4" w:space="0"/>
              <w:right w:val="single" w:color="auto" w:sz="4" w:space="0"/>
            </w:tcBorders>
            <w:shd w:val="clear" w:color="auto" w:fill="auto"/>
            <w:vAlign w:val="center"/>
          </w:tcPr>
          <w:p w14:paraId="6DC0D5DC">
            <w:pPr>
              <w:pStyle w:val="53"/>
            </w:pPr>
            <w:r>
              <w:t>龙岗中路</w:t>
            </w:r>
          </w:p>
        </w:tc>
        <w:tc>
          <w:tcPr>
            <w:tcW w:w="2409" w:type="dxa"/>
            <w:tcBorders>
              <w:top w:val="nil"/>
              <w:left w:val="nil"/>
              <w:bottom w:val="single" w:color="auto" w:sz="4" w:space="0"/>
              <w:right w:val="single" w:color="auto" w:sz="4" w:space="0"/>
            </w:tcBorders>
            <w:shd w:val="clear" w:color="auto" w:fill="auto"/>
          </w:tcPr>
          <w:p w14:paraId="5B49E72E">
            <w:pPr>
              <w:pStyle w:val="53"/>
            </w:pPr>
            <w:r>
              <w:rPr>
                <w:rFonts w:hint="eastAsia"/>
              </w:rPr>
              <w:t>改造</w:t>
            </w:r>
            <w:r>
              <w:t>现状污水系统</w:t>
            </w:r>
          </w:p>
        </w:tc>
        <w:tc>
          <w:tcPr>
            <w:tcW w:w="3969" w:type="dxa"/>
            <w:tcBorders>
              <w:top w:val="nil"/>
              <w:left w:val="nil"/>
              <w:bottom w:val="single" w:color="auto" w:sz="4" w:space="0"/>
              <w:right w:val="single" w:color="auto" w:sz="4" w:space="0"/>
            </w:tcBorders>
            <w:shd w:val="clear" w:color="auto" w:fill="auto"/>
          </w:tcPr>
          <w:p w14:paraId="3D2FD3B7">
            <w:pPr>
              <w:pStyle w:val="53"/>
            </w:pPr>
            <w:r>
              <w:t>规划污水管道管径DN600；设计排向自南向北与规划一致。现状无污水管道。</w:t>
            </w:r>
          </w:p>
        </w:tc>
      </w:tr>
      <w:tr w14:paraId="693B50DC">
        <w:tblPrEx>
          <w:tblCellMar>
            <w:top w:w="0" w:type="dxa"/>
            <w:left w:w="108" w:type="dxa"/>
            <w:bottom w:w="0" w:type="dxa"/>
            <w:right w:w="108" w:type="dxa"/>
          </w:tblCellMar>
        </w:tblPrEx>
        <w:trPr>
          <w:trHeight w:val="1080" w:hRule="atLeast"/>
          <w:jc w:val="center"/>
        </w:trPr>
        <w:tc>
          <w:tcPr>
            <w:tcW w:w="1080" w:type="dxa"/>
            <w:tcBorders>
              <w:top w:val="nil"/>
              <w:left w:val="single" w:color="auto" w:sz="4" w:space="0"/>
              <w:bottom w:val="single" w:color="auto" w:sz="4" w:space="0"/>
              <w:right w:val="single" w:color="auto" w:sz="4" w:space="0"/>
            </w:tcBorders>
            <w:shd w:val="clear" w:color="auto" w:fill="auto"/>
            <w:vAlign w:val="center"/>
          </w:tcPr>
          <w:p w14:paraId="7F1A753E">
            <w:pPr>
              <w:pStyle w:val="53"/>
            </w:pPr>
            <w:r>
              <w:t>污水-16</w:t>
            </w:r>
          </w:p>
        </w:tc>
        <w:tc>
          <w:tcPr>
            <w:tcW w:w="2763" w:type="dxa"/>
            <w:tcBorders>
              <w:top w:val="nil"/>
              <w:left w:val="nil"/>
              <w:bottom w:val="single" w:color="auto" w:sz="4" w:space="0"/>
              <w:right w:val="single" w:color="auto" w:sz="4" w:space="0"/>
            </w:tcBorders>
            <w:shd w:val="clear" w:color="auto" w:fill="auto"/>
            <w:vAlign w:val="center"/>
          </w:tcPr>
          <w:p w14:paraId="6B075C7C">
            <w:pPr>
              <w:pStyle w:val="53"/>
            </w:pPr>
            <w:r>
              <w:t>中山大道新增污水提升管（</w:t>
            </w:r>
            <w:r>
              <w:rPr>
                <w:rFonts w:hint="eastAsia"/>
              </w:rPr>
              <w:t>南</w:t>
            </w:r>
            <w:r>
              <w:t>侧）</w:t>
            </w:r>
          </w:p>
        </w:tc>
        <w:tc>
          <w:tcPr>
            <w:tcW w:w="2409" w:type="dxa"/>
            <w:tcBorders>
              <w:top w:val="nil"/>
              <w:left w:val="nil"/>
              <w:bottom w:val="single" w:color="auto" w:sz="4" w:space="0"/>
              <w:right w:val="single" w:color="auto" w:sz="4" w:space="0"/>
            </w:tcBorders>
            <w:shd w:val="clear" w:color="auto" w:fill="auto"/>
          </w:tcPr>
          <w:p w14:paraId="432DAB8B">
            <w:pPr>
              <w:pStyle w:val="53"/>
            </w:pPr>
            <w:r>
              <w:rPr>
                <w:rFonts w:hint="eastAsia"/>
              </w:rPr>
              <w:t>改造</w:t>
            </w:r>
            <w:r>
              <w:t>现状污水系统</w:t>
            </w:r>
          </w:p>
        </w:tc>
        <w:tc>
          <w:tcPr>
            <w:tcW w:w="3969" w:type="dxa"/>
            <w:tcBorders>
              <w:top w:val="nil"/>
              <w:left w:val="nil"/>
              <w:bottom w:val="single" w:color="auto" w:sz="4" w:space="0"/>
              <w:right w:val="single" w:color="auto" w:sz="4" w:space="0"/>
            </w:tcBorders>
            <w:shd w:val="clear" w:color="auto" w:fill="auto"/>
          </w:tcPr>
          <w:p w14:paraId="77321FC3">
            <w:pPr>
              <w:pStyle w:val="53"/>
            </w:pPr>
            <w:r>
              <w:t>规划污水管道管径DN600~DN1000；设计排向自西向东与规划一致。现状南面现状已存在DN600~DN800污水管道。</w:t>
            </w:r>
          </w:p>
        </w:tc>
      </w:tr>
      <w:tr w14:paraId="39287266">
        <w:tblPrEx>
          <w:tblCellMar>
            <w:top w:w="0" w:type="dxa"/>
            <w:left w:w="108" w:type="dxa"/>
            <w:bottom w:w="0" w:type="dxa"/>
            <w:right w:w="108" w:type="dxa"/>
          </w:tblCellMar>
        </w:tblPrEx>
        <w:trPr>
          <w:trHeight w:val="810" w:hRule="atLeast"/>
          <w:jc w:val="center"/>
        </w:trPr>
        <w:tc>
          <w:tcPr>
            <w:tcW w:w="1080" w:type="dxa"/>
            <w:tcBorders>
              <w:top w:val="nil"/>
              <w:left w:val="single" w:color="auto" w:sz="4" w:space="0"/>
              <w:bottom w:val="single" w:color="auto" w:sz="4" w:space="0"/>
              <w:right w:val="single" w:color="auto" w:sz="4" w:space="0"/>
            </w:tcBorders>
            <w:shd w:val="clear" w:color="auto" w:fill="auto"/>
            <w:vAlign w:val="center"/>
          </w:tcPr>
          <w:p w14:paraId="1ECF5484">
            <w:pPr>
              <w:pStyle w:val="53"/>
            </w:pPr>
            <w:r>
              <w:t>污水-17</w:t>
            </w:r>
          </w:p>
        </w:tc>
        <w:tc>
          <w:tcPr>
            <w:tcW w:w="2763" w:type="dxa"/>
            <w:tcBorders>
              <w:top w:val="nil"/>
              <w:left w:val="nil"/>
              <w:bottom w:val="single" w:color="auto" w:sz="4" w:space="0"/>
              <w:right w:val="single" w:color="auto" w:sz="4" w:space="0"/>
            </w:tcBorders>
            <w:shd w:val="clear" w:color="auto" w:fill="auto"/>
            <w:vAlign w:val="center"/>
          </w:tcPr>
          <w:p w14:paraId="765E8D02">
            <w:pPr>
              <w:pStyle w:val="53"/>
            </w:pPr>
            <w:r>
              <w:t>冯京路北侧</w:t>
            </w:r>
          </w:p>
          <w:p w14:paraId="55073949">
            <w:pPr>
              <w:pStyle w:val="53"/>
            </w:pPr>
            <w:r>
              <w:t>（三元路-龙角路）</w:t>
            </w:r>
          </w:p>
        </w:tc>
        <w:tc>
          <w:tcPr>
            <w:tcW w:w="2409" w:type="dxa"/>
            <w:tcBorders>
              <w:top w:val="nil"/>
              <w:left w:val="nil"/>
              <w:bottom w:val="single" w:color="auto" w:sz="4" w:space="0"/>
              <w:right w:val="single" w:color="auto" w:sz="4" w:space="0"/>
            </w:tcBorders>
            <w:shd w:val="clear" w:color="auto" w:fill="auto"/>
          </w:tcPr>
          <w:p w14:paraId="1A5CFB7F">
            <w:pPr>
              <w:pStyle w:val="53"/>
            </w:pPr>
            <w:r>
              <w:t>解决三元路片区污水排放问题</w:t>
            </w:r>
          </w:p>
        </w:tc>
        <w:tc>
          <w:tcPr>
            <w:tcW w:w="3969" w:type="dxa"/>
            <w:tcBorders>
              <w:top w:val="nil"/>
              <w:left w:val="nil"/>
              <w:bottom w:val="single" w:color="auto" w:sz="4" w:space="0"/>
              <w:right w:val="single" w:color="auto" w:sz="4" w:space="0"/>
            </w:tcBorders>
            <w:shd w:val="clear" w:color="auto" w:fill="auto"/>
          </w:tcPr>
          <w:p w14:paraId="3E35B59D">
            <w:pPr>
              <w:pStyle w:val="53"/>
            </w:pPr>
            <w:r>
              <w:t>规划污水管道管径DN600；设计排向自西向东与规划一致；现状无污水管道。</w:t>
            </w:r>
          </w:p>
        </w:tc>
      </w:tr>
      <w:tr w14:paraId="4CF5B2C2">
        <w:tblPrEx>
          <w:tblCellMar>
            <w:top w:w="0" w:type="dxa"/>
            <w:left w:w="108" w:type="dxa"/>
            <w:bottom w:w="0" w:type="dxa"/>
            <w:right w:w="108" w:type="dxa"/>
          </w:tblCellMar>
        </w:tblPrEx>
        <w:trPr>
          <w:trHeight w:val="555" w:hRule="atLeast"/>
          <w:jc w:val="center"/>
        </w:trPr>
        <w:tc>
          <w:tcPr>
            <w:tcW w:w="1080" w:type="dxa"/>
            <w:tcBorders>
              <w:top w:val="nil"/>
              <w:left w:val="single" w:color="auto" w:sz="4" w:space="0"/>
              <w:bottom w:val="single" w:color="auto" w:sz="4" w:space="0"/>
              <w:right w:val="single" w:color="auto" w:sz="4" w:space="0"/>
            </w:tcBorders>
            <w:shd w:val="clear" w:color="auto" w:fill="auto"/>
            <w:vAlign w:val="center"/>
          </w:tcPr>
          <w:p w14:paraId="60A89631">
            <w:pPr>
              <w:pStyle w:val="53"/>
            </w:pPr>
            <w:r>
              <w:t>污水-18</w:t>
            </w:r>
          </w:p>
        </w:tc>
        <w:tc>
          <w:tcPr>
            <w:tcW w:w="2763" w:type="dxa"/>
            <w:tcBorders>
              <w:top w:val="nil"/>
              <w:left w:val="nil"/>
              <w:bottom w:val="single" w:color="auto" w:sz="4" w:space="0"/>
              <w:right w:val="single" w:color="auto" w:sz="4" w:space="0"/>
            </w:tcBorders>
            <w:shd w:val="clear" w:color="auto" w:fill="auto"/>
            <w:vAlign w:val="center"/>
          </w:tcPr>
          <w:p w14:paraId="54A68995">
            <w:pPr>
              <w:pStyle w:val="53"/>
            </w:pPr>
            <w:r>
              <w:t>山水二路</w:t>
            </w:r>
          </w:p>
          <w:p w14:paraId="6A7C3A86">
            <w:pPr>
              <w:pStyle w:val="53"/>
            </w:pPr>
            <w:r>
              <w:t>（迎宾大道-小山屯规划路）</w:t>
            </w:r>
          </w:p>
        </w:tc>
        <w:tc>
          <w:tcPr>
            <w:tcW w:w="2409" w:type="dxa"/>
            <w:tcBorders>
              <w:top w:val="nil"/>
              <w:left w:val="nil"/>
              <w:bottom w:val="single" w:color="auto" w:sz="4" w:space="0"/>
              <w:right w:val="single" w:color="auto" w:sz="4" w:space="0"/>
            </w:tcBorders>
            <w:shd w:val="clear" w:color="auto" w:fill="auto"/>
          </w:tcPr>
          <w:p w14:paraId="720C612B">
            <w:pPr>
              <w:pStyle w:val="53"/>
            </w:pPr>
            <w:r>
              <w:t>收集道路两侧小区污水排放至污水主管</w:t>
            </w:r>
          </w:p>
        </w:tc>
        <w:tc>
          <w:tcPr>
            <w:tcW w:w="3969" w:type="dxa"/>
            <w:tcBorders>
              <w:top w:val="nil"/>
              <w:left w:val="nil"/>
              <w:bottom w:val="single" w:color="auto" w:sz="4" w:space="0"/>
              <w:right w:val="single" w:color="auto" w:sz="4" w:space="0"/>
            </w:tcBorders>
            <w:shd w:val="clear" w:color="auto" w:fill="auto"/>
          </w:tcPr>
          <w:p w14:paraId="2A980D6F">
            <w:pPr>
              <w:pStyle w:val="53"/>
            </w:pPr>
            <w:r>
              <w:t>规划未说明本段污水管管径及流向，现状无污水管道。</w:t>
            </w:r>
          </w:p>
        </w:tc>
      </w:tr>
    </w:tbl>
    <w:p w14:paraId="3CF0D116">
      <w:pPr>
        <w:ind w:firstLine="480"/>
        <w:rPr>
          <w:rFonts w:ascii="Times New Roman" w:hAnsi="Times New Roman" w:cs="Times New Roman"/>
        </w:rPr>
      </w:pPr>
      <w:r>
        <w:rPr>
          <w:rFonts w:ascii="Times New Roman" w:hAnsi="Times New Roman" w:cs="Times New Roman"/>
        </w:rPr>
        <w:t>8、园村（迎宾大道-古榕路）片区说明：</w:t>
      </w:r>
    </w:p>
    <w:p w14:paraId="4307130C">
      <w:pPr>
        <w:ind w:firstLine="480"/>
        <w:rPr>
          <w:rFonts w:ascii="Times New Roman" w:hAnsi="Times New Roman" w:cs="Times New Roman"/>
        </w:rPr>
      </w:pPr>
      <w:r>
        <w:rPr>
          <w:rFonts w:ascii="Times New Roman" w:hAnsi="Times New Roman" w:cs="Times New Roman"/>
        </w:rPr>
        <w:t>范围包含雨水改造，共计5条管线，详见下表：</w:t>
      </w:r>
    </w:p>
    <w:tbl>
      <w:tblPr>
        <w:tblStyle w:val="29"/>
        <w:tblW w:w="10275" w:type="dxa"/>
        <w:jc w:val="center"/>
        <w:tblLayout w:type="autofit"/>
        <w:tblCellMar>
          <w:top w:w="0" w:type="dxa"/>
          <w:left w:w="108" w:type="dxa"/>
          <w:bottom w:w="0" w:type="dxa"/>
          <w:right w:w="108" w:type="dxa"/>
        </w:tblCellMar>
      </w:tblPr>
      <w:tblGrid>
        <w:gridCol w:w="1129"/>
        <w:gridCol w:w="3618"/>
        <w:gridCol w:w="2552"/>
        <w:gridCol w:w="2976"/>
      </w:tblGrid>
      <w:tr w14:paraId="5BB40818">
        <w:tblPrEx>
          <w:tblCellMar>
            <w:top w:w="0" w:type="dxa"/>
            <w:left w:w="108" w:type="dxa"/>
            <w:bottom w:w="0" w:type="dxa"/>
            <w:right w:w="108" w:type="dxa"/>
          </w:tblCellMar>
        </w:tblPrEx>
        <w:trPr>
          <w:trHeight w:val="555" w:hRule="atLeast"/>
          <w:jc w:val="center"/>
        </w:trPr>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387E477C">
            <w:pPr>
              <w:pStyle w:val="53"/>
            </w:pPr>
            <w:r>
              <w:t>序号</w:t>
            </w:r>
          </w:p>
        </w:tc>
        <w:tc>
          <w:tcPr>
            <w:tcW w:w="3618" w:type="dxa"/>
            <w:tcBorders>
              <w:top w:val="single" w:color="auto" w:sz="4" w:space="0"/>
              <w:left w:val="nil"/>
              <w:bottom w:val="single" w:color="auto" w:sz="4" w:space="0"/>
              <w:right w:val="single" w:color="auto" w:sz="4" w:space="0"/>
            </w:tcBorders>
            <w:shd w:val="clear" w:color="auto" w:fill="auto"/>
            <w:vAlign w:val="center"/>
          </w:tcPr>
          <w:p w14:paraId="0013B100">
            <w:pPr>
              <w:pStyle w:val="53"/>
            </w:pPr>
            <w:r>
              <w:t>线路名称</w:t>
            </w:r>
          </w:p>
        </w:tc>
        <w:tc>
          <w:tcPr>
            <w:tcW w:w="2552" w:type="dxa"/>
            <w:tcBorders>
              <w:top w:val="single" w:color="auto" w:sz="4" w:space="0"/>
              <w:left w:val="nil"/>
              <w:bottom w:val="single" w:color="auto" w:sz="4" w:space="0"/>
              <w:right w:val="single" w:color="auto" w:sz="4" w:space="0"/>
            </w:tcBorders>
            <w:shd w:val="clear" w:color="auto" w:fill="auto"/>
            <w:vAlign w:val="center"/>
          </w:tcPr>
          <w:p w14:paraId="7344EC7E">
            <w:pPr>
              <w:pStyle w:val="53"/>
            </w:pPr>
            <w:r>
              <w:t>建设内容</w:t>
            </w:r>
          </w:p>
        </w:tc>
        <w:tc>
          <w:tcPr>
            <w:tcW w:w="2976" w:type="dxa"/>
            <w:tcBorders>
              <w:top w:val="single" w:color="auto" w:sz="4" w:space="0"/>
              <w:left w:val="nil"/>
              <w:bottom w:val="single" w:color="auto" w:sz="4" w:space="0"/>
              <w:right w:val="single" w:color="auto" w:sz="4" w:space="0"/>
            </w:tcBorders>
            <w:shd w:val="clear" w:color="auto" w:fill="auto"/>
            <w:vAlign w:val="center"/>
          </w:tcPr>
          <w:p w14:paraId="475A0ACE">
            <w:pPr>
              <w:pStyle w:val="53"/>
            </w:pPr>
            <w:r>
              <w:t>备注</w:t>
            </w:r>
          </w:p>
        </w:tc>
      </w:tr>
      <w:tr w14:paraId="1E7C2D11">
        <w:tblPrEx>
          <w:tblCellMar>
            <w:top w:w="0" w:type="dxa"/>
            <w:left w:w="108" w:type="dxa"/>
            <w:bottom w:w="0" w:type="dxa"/>
            <w:right w:w="108" w:type="dxa"/>
          </w:tblCellMar>
        </w:tblPrEx>
        <w:trPr>
          <w:trHeight w:val="563" w:hRule="atLeast"/>
          <w:jc w:val="center"/>
        </w:trPr>
        <w:tc>
          <w:tcPr>
            <w:tcW w:w="1129" w:type="dxa"/>
            <w:tcBorders>
              <w:top w:val="nil"/>
              <w:left w:val="single" w:color="auto" w:sz="4" w:space="0"/>
              <w:bottom w:val="single" w:color="auto" w:sz="4" w:space="0"/>
              <w:right w:val="single" w:color="auto" w:sz="4" w:space="0"/>
            </w:tcBorders>
            <w:shd w:val="clear" w:color="auto" w:fill="auto"/>
            <w:vAlign w:val="center"/>
          </w:tcPr>
          <w:p w14:paraId="4FDA1025">
            <w:pPr>
              <w:pStyle w:val="53"/>
            </w:pPr>
            <w:r>
              <w:t>雨水12</w:t>
            </w:r>
          </w:p>
        </w:tc>
        <w:tc>
          <w:tcPr>
            <w:tcW w:w="3618" w:type="dxa"/>
            <w:tcBorders>
              <w:top w:val="nil"/>
              <w:left w:val="nil"/>
              <w:bottom w:val="single" w:color="auto" w:sz="4" w:space="0"/>
              <w:right w:val="single" w:color="auto" w:sz="4" w:space="0"/>
            </w:tcBorders>
            <w:shd w:val="clear" w:color="auto" w:fill="auto"/>
            <w:vAlign w:val="center"/>
          </w:tcPr>
          <w:p w14:paraId="2A65E49D">
            <w:pPr>
              <w:pStyle w:val="53"/>
            </w:pPr>
            <w:r>
              <w:t>粤州东路（迎宾大道-古榕路）</w:t>
            </w:r>
          </w:p>
        </w:tc>
        <w:tc>
          <w:tcPr>
            <w:tcW w:w="2552" w:type="dxa"/>
            <w:vMerge w:val="restart"/>
            <w:tcBorders>
              <w:top w:val="single" w:color="auto" w:sz="4" w:space="0"/>
              <w:left w:val="single" w:color="auto" w:sz="4" w:space="0"/>
              <w:bottom w:val="single" w:color="auto" w:sz="4" w:space="0"/>
              <w:right w:val="single" w:color="auto" w:sz="4" w:space="0"/>
            </w:tcBorders>
            <w:shd w:val="clear" w:color="auto" w:fill="auto"/>
          </w:tcPr>
          <w:p w14:paraId="7BF96D4A">
            <w:pPr>
              <w:pStyle w:val="53"/>
            </w:pPr>
            <w:r>
              <w:t>改造现状雨污河流问题，将雨水分流汇入山谷路雨水主管</w:t>
            </w:r>
          </w:p>
          <w:p w14:paraId="47181102">
            <w:pPr>
              <w:pStyle w:val="53"/>
            </w:pPr>
          </w:p>
        </w:tc>
        <w:tc>
          <w:tcPr>
            <w:tcW w:w="2976" w:type="dxa"/>
            <w:vMerge w:val="restart"/>
            <w:tcBorders>
              <w:top w:val="single" w:color="auto" w:sz="4" w:space="0"/>
              <w:left w:val="single" w:color="auto" w:sz="4" w:space="0"/>
              <w:bottom w:val="single" w:color="auto" w:sz="4" w:space="0"/>
              <w:right w:val="single" w:color="auto" w:sz="4" w:space="0"/>
            </w:tcBorders>
            <w:shd w:val="clear" w:color="auto" w:fill="auto"/>
          </w:tcPr>
          <w:p w14:paraId="5EB529A8">
            <w:pPr>
              <w:pStyle w:val="53"/>
            </w:pPr>
            <w:r>
              <w:t>规划未说明本段雨水管管径及流向，现状无雨水管道。</w:t>
            </w:r>
          </w:p>
          <w:p w14:paraId="1A97889A">
            <w:pPr>
              <w:pStyle w:val="53"/>
            </w:pPr>
          </w:p>
        </w:tc>
      </w:tr>
      <w:tr w14:paraId="2D4FBD9D">
        <w:tblPrEx>
          <w:tblCellMar>
            <w:top w:w="0" w:type="dxa"/>
            <w:left w:w="108" w:type="dxa"/>
            <w:bottom w:w="0" w:type="dxa"/>
            <w:right w:w="108" w:type="dxa"/>
          </w:tblCellMar>
        </w:tblPrEx>
        <w:trPr>
          <w:trHeight w:val="557" w:hRule="atLeast"/>
          <w:jc w:val="center"/>
        </w:trPr>
        <w:tc>
          <w:tcPr>
            <w:tcW w:w="1129" w:type="dxa"/>
            <w:tcBorders>
              <w:top w:val="nil"/>
              <w:left w:val="single" w:color="auto" w:sz="4" w:space="0"/>
              <w:bottom w:val="single" w:color="auto" w:sz="4" w:space="0"/>
              <w:right w:val="single" w:color="auto" w:sz="4" w:space="0"/>
            </w:tcBorders>
            <w:shd w:val="clear" w:color="auto" w:fill="auto"/>
            <w:vAlign w:val="center"/>
          </w:tcPr>
          <w:p w14:paraId="4A125B67">
            <w:pPr>
              <w:pStyle w:val="53"/>
            </w:pPr>
            <w:r>
              <w:t>雨水13</w:t>
            </w:r>
          </w:p>
        </w:tc>
        <w:tc>
          <w:tcPr>
            <w:tcW w:w="3618" w:type="dxa"/>
            <w:tcBorders>
              <w:top w:val="nil"/>
              <w:left w:val="nil"/>
              <w:bottom w:val="single" w:color="auto" w:sz="4" w:space="0"/>
              <w:right w:val="single" w:color="auto" w:sz="4" w:space="0"/>
            </w:tcBorders>
            <w:shd w:val="clear" w:color="auto" w:fill="auto"/>
            <w:vAlign w:val="center"/>
          </w:tcPr>
          <w:p w14:paraId="11D09748">
            <w:pPr>
              <w:pStyle w:val="53"/>
            </w:pPr>
            <w:r>
              <w:t>园村路（粤州东路-山谷路）</w:t>
            </w:r>
          </w:p>
        </w:tc>
        <w:tc>
          <w:tcPr>
            <w:tcW w:w="2552" w:type="dxa"/>
            <w:vMerge w:val="continue"/>
            <w:tcBorders>
              <w:top w:val="single" w:color="auto" w:sz="4" w:space="0"/>
              <w:left w:val="single" w:color="auto" w:sz="4" w:space="0"/>
              <w:bottom w:val="single" w:color="auto" w:sz="4" w:space="0"/>
              <w:right w:val="single" w:color="auto" w:sz="4" w:space="0"/>
            </w:tcBorders>
          </w:tcPr>
          <w:p w14:paraId="005B7DC2">
            <w:pPr>
              <w:pStyle w:val="53"/>
            </w:pPr>
          </w:p>
        </w:tc>
        <w:tc>
          <w:tcPr>
            <w:tcW w:w="2976" w:type="dxa"/>
            <w:vMerge w:val="continue"/>
            <w:tcBorders>
              <w:top w:val="single" w:color="auto" w:sz="4" w:space="0"/>
              <w:left w:val="single" w:color="auto" w:sz="4" w:space="0"/>
              <w:bottom w:val="single" w:color="auto" w:sz="4" w:space="0"/>
              <w:right w:val="single" w:color="auto" w:sz="4" w:space="0"/>
            </w:tcBorders>
          </w:tcPr>
          <w:p w14:paraId="6CD7E2DC">
            <w:pPr>
              <w:pStyle w:val="53"/>
            </w:pPr>
          </w:p>
        </w:tc>
      </w:tr>
      <w:tr w14:paraId="119180C4">
        <w:tblPrEx>
          <w:tblCellMar>
            <w:top w:w="0" w:type="dxa"/>
            <w:left w:w="108" w:type="dxa"/>
            <w:bottom w:w="0" w:type="dxa"/>
            <w:right w:w="108" w:type="dxa"/>
          </w:tblCellMar>
        </w:tblPrEx>
        <w:trPr>
          <w:trHeight w:val="564" w:hRule="atLeast"/>
          <w:jc w:val="center"/>
        </w:trPr>
        <w:tc>
          <w:tcPr>
            <w:tcW w:w="1129" w:type="dxa"/>
            <w:tcBorders>
              <w:top w:val="nil"/>
              <w:left w:val="single" w:color="auto" w:sz="4" w:space="0"/>
              <w:bottom w:val="single" w:color="auto" w:sz="4" w:space="0"/>
              <w:right w:val="single" w:color="auto" w:sz="4" w:space="0"/>
            </w:tcBorders>
            <w:shd w:val="clear" w:color="auto" w:fill="auto"/>
            <w:vAlign w:val="center"/>
          </w:tcPr>
          <w:p w14:paraId="0EB5E27B">
            <w:pPr>
              <w:pStyle w:val="53"/>
            </w:pPr>
            <w:r>
              <w:t>雨水14</w:t>
            </w:r>
          </w:p>
        </w:tc>
        <w:tc>
          <w:tcPr>
            <w:tcW w:w="3618" w:type="dxa"/>
            <w:tcBorders>
              <w:top w:val="nil"/>
              <w:left w:val="nil"/>
              <w:bottom w:val="single" w:color="auto" w:sz="4" w:space="0"/>
              <w:right w:val="single" w:color="auto" w:sz="4" w:space="0"/>
            </w:tcBorders>
            <w:shd w:val="clear" w:color="auto" w:fill="auto"/>
            <w:vAlign w:val="center"/>
          </w:tcPr>
          <w:p w14:paraId="7A27B85C">
            <w:pPr>
              <w:pStyle w:val="53"/>
            </w:pPr>
            <w:r>
              <w:t>丹桂路（粤州东路-山谷路）</w:t>
            </w:r>
          </w:p>
        </w:tc>
        <w:tc>
          <w:tcPr>
            <w:tcW w:w="2552" w:type="dxa"/>
            <w:vMerge w:val="continue"/>
            <w:tcBorders>
              <w:top w:val="single" w:color="auto" w:sz="4" w:space="0"/>
              <w:left w:val="single" w:color="auto" w:sz="4" w:space="0"/>
              <w:bottom w:val="single" w:color="auto" w:sz="4" w:space="0"/>
              <w:right w:val="single" w:color="auto" w:sz="4" w:space="0"/>
            </w:tcBorders>
          </w:tcPr>
          <w:p w14:paraId="509455EF">
            <w:pPr>
              <w:pStyle w:val="53"/>
            </w:pPr>
          </w:p>
        </w:tc>
        <w:tc>
          <w:tcPr>
            <w:tcW w:w="2976" w:type="dxa"/>
            <w:vMerge w:val="continue"/>
            <w:tcBorders>
              <w:top w:val="single" w:color="auto" w:sz="4" w:space="0"/>
              <w:left w:val="single" w:color="auto" w:sz="4" w:space="0"/>
              <w:bottom w:val="single" w:color="auto" w:sz="4" w:space="0"/>
              <w:right w:val="single" w:color="auto" w:sz="4" w:space="0"/>
            </w:tcBorders>
          </w:tcPr>
          <w:p w14:paraId="1B33E9BB">
            <w:pPr>
              <w:pStyle w:val="53"/>
            </w:pPr>
          </w:p>
        </w:tc>
      </w:tr>
      <w:tr w14:paraId="590F516E">
        <w:tblPrEx>
          <w:tblCellMar>
            <w:top w:w="0" w:type="dxa"/>
            <w:left w:w="108" w:type="dxa"/>
            <w:bottom w:w="0" w:type="dxa"/>
            <w:right w:w="108" w:type="dxa"/>
          </w:tblCellMar>
        </w:tblPrEx>
        <w:trPr>
          <w:trHeight w:val="544" w:hRule="atLeast"/>
          <w:jc w:val="center"/>
        </w:trPr>
        <w:tc>
          <w:tcPr>
            <w:tcW w:w="1129" w:type="dxa"/>
            <w:tcBorders>
              <w:top w:val="nil"/>
              <w:left w:val="single" w:color="auto" w:sz="4" w:space="0"/>
              <w:bottom w:val="single" w:color="auto" w:sz="4" w:space="0"/>
              <w:right w:val="single" w:color="auto" w:sz="4" w:space="0"/>
            </w:tcBorders>
            <w:shd w:val="clear" w:color="auto" w:fill="auto"/>
            <w:vAlign w:val="center"/>
          </w:tcPr>
          <w:p w14:paraId="4BCF8F63">
            <w:pPr>
              <w:pStyle w:val="53"/>
            </w:pPr>
            <w:r>
              <w:t>雨水15</w:t>
            </w:r>
          </w:p>
        </w:tc>
        <w:tc>
          <w:tcPr>
            <w:tcW w:w="3618" w:type="dxa"/>
            <w:tcBorders>
              <w:top w:val="nil"/>
              <w:left w:val="nil"/>
              <w:bottom w:val="single" w:color="auto" w:sz="4" w:space="0"/>
              <w:right w:val="single" w:color="auto" w:sz="4" w:space="0"/>
            </w:tcBorders>
            <w:shd w:val="clear" w:color="auto" w:fill="auto"/>
            <w:vAlign w:val="center"/>
          </w:tcPr>
          <w:p w14:paraId="0EE5063C">
            <w:pPr>
              <w:pStyle w:val="53"/>
            </w:pPr>
            <w:r>
              <w:t>古榕路（粤州东路-山谷路）</w:t>
            </w:r>
          </w:p>
        </w:tc>
        <w:tc>
          <w:tcPr>
            <w:tcW w:w="2552" w:type="dxa"/>
            <w:vMerge w:val="continue"/>
            <w:tcBorders>
              <w:top w:val="single" w:color="auto" w:sz="4" w:space="0"/>
              <w:left w:val="single" w:color="auto" w:sz="4" w:space="0"/>
              <w:bottom w:val="single" w:color="auto" w:sz="4" w:space="0"/>
              <w:right w:val="single" w:color="auto" w:sz="4" w:space="0"/>
            </w:tcBorders>
          </w:tcPr>
          <w:p w14:paraId="53822E84">
            <w:pPr>
              <w:pStyle w:val="53"/>
            </w:pPr>
          </w:p>
        </w:tc>
        <w:tc>
          <w:tcPr>
            <w:tcW w:w="2976" w:type="dxa"/>
            <w:vMerge w:val="continue"/>
            <w:tcBorders>
              <w:top w:val="single" w:color="auto" w:sz="4" w:space="0"/>
              <w:left w:val="single" w:color="auto" w:sz="4" w:space="0"/>
              <w:bottom w:val="single" w:color="auto" w:sz="4" w:space="0"/>
              <w:right w:val="single" w:color="auto" w:sz="4" w:space="0"/>
            </w:tcBorders>
          </w:tcPr>
          <w:p w14:paraId="1A2D386B">
            <w:pPr>
              <w:pStyle w:val="53"/>
            </w:pPr>
          </w:p>
        </w:tc>
      </w:tr>
      <w:tr w14:paraId="7CB07C8D">
        <w:tblPrEx>
          <w:tblCellMar>
            <w:top w:w="0" w:type="dxa"/>
            <w:left w:w="108" w:type="dxa"/>
            <w:bottom w:w="0" w:type="dxa"/>
            <w:right w:w="108" w:type="dxa"/>
          </w:tblCellMar>
        </w:tblPrEx>
        <w:trPr>
          <w:trHeight w:val="555" w:hRule="atLeast"/>
          <w:jc w:val="center"/>
        </w:trPr>
        <w:tc>
          <w:tcPr>
            <w:tcW w:w="1129" w:type="dxa"/>
            <w:tcBorders>
              <w:top w:val="nil"/>
              <w:left w:val="single" w:color="auto" w:sz="4" w:space="0"/>
              <w:bottom w:val="single" w:color="auto" w:sz="4" w:space="0"/>
              <w:right w:val="single" w:color="auto" w:sz="4" w:space="0"/>
            </w:tcBorders>
            <w:shd w:val="clear" w:color="auto" w:fill="auto"/>
            <w:vAlign w:val="center"/>
          </w:tcPr>
          <w:p w14:paraId="0E3FD899">
            <w:pPr>
              <w:pStyle w:val="53"/>
            </w:pPr>
            <w:r>
              <w:t>雨水16</w:t>
            </w:r>
          </w:p>
        </w:tc>
        <w:tc>
          <w:tcPr>
            <w:tcW w:w="3618" w:type="dxa"/>
            <w:tcBorders>
              <w:top w:val="nil"/>
              <w:left w:val="nil"/>
              <w:bottom w:val="single" w:color="auto" w:sz="4" w:space="0"/>
              <w:right w:val="single" w:color="auto" w:sz="4" w:space="0"/>
            </w:tcBorders>
            <w:shd w:val="clear" w:color="auto" w:fill="auto"/>
            <w:vAlign w:val="center"/>
          </w:tcPr>
          <w:p w14:paraId="74A705F7">
            <w:pPr>
              <w:pStyle w:val="53"/>
            </w:pPr>
            <w:r>
              <w:t>山水二路（迎宾大道-小山屯规划路）</w:t>
            </w:r>
          </w:p>
        </w:tc>
        <w:tc>
          <w:tcPr>
            <w:tcW w:w="2552" w:type="dxa"/>
            <w:tcBorders>
              <w:top w:val="single" w:color="auto" w:sz="4" w:space="0"/>
              <w:left w:val="nil"/>
              <w:bottom w:val="single" w:color="auto" w:sz="4" w:space="0"/>
              <w:right w:val="single" w:color="auto" w:sz="4" w:space="0"/>
            </w:tcBorders>
            <w:shd w:val="clear" w:color="auto" w:fill="auto"/>
          </w:tcPr>
          <w:p w14:paraId="0822CBB4">
            <w:pPr>
              <w:pStyle w:val="53"/>
            </w:pPr>
            <w:r>
              <w:t>主要收集地面水排入多灵路排水系统</w:t>
            </w:r>
          </w:p>
        </w:tc>
        <w:tc>
          <w:tcPr>
            <w:tcW w:w="2976" w:type="dxa"/>
            <w:tcBorders>
              <w:top w:val="single" w:color="auto" w:sz="4" w:space="0"/>
              <w:left w:val="nil"/>
              <w:bottom w:val="single" w:color="auto" w:sz="4" w:space="0"/>
              <w:right w:val="single" w:color="auto" w:sz="4" w:space="0"/>
            </w:tcBorders>
            <w:shd w:val="clear" w:color="auto" w:fill="auto"/>
          </w:tcPr>
          <w:p w14:paraId="19FC3246">
            <w:pPr>
              <w:pStyle w:val="53"/>
            </w:pPr>
            <w:r>
              <w:t>规划未说明本段雨水管管径及流向，现状无雨水管道。</w:t>
            </w:r>
          </w:p>
        </w:tc>
      </w:tr>
    </w:tbl>
    <w:p w14:paraId="505DAFF6">
      <w:pPr>
        <w:pStyle w:val="5"/>
        <w:rPr>
          <w:rFonts w:ascii="Times New Roman" w:hAnsi="Times New Roman" w:cs="Times New Roman"/>
        </w:rPr>
      </w:pPr>
      <w:r>
        <w:rPr>
          <w:rFonts w:ascii="Times New Roman" w:hAnsi="Times New Roman" w:cs="Times New Roman"/>
        </w:rPr>
        <w:t>管道纵断面设计</w:t>
      </w:r>
    </w:p>
    <w:p w14:paraId="7ECC424A">
      <w:pPr>
        <w:ind w:firstLine="480"/>
        <w:rPr>
          <w:rFonts w:ascii="Times New Roman" w:hAnsi="Times New Roman" w:cs="Times New Roman"/>
        </w:rPr>
      </w:pPr>
      <w:r>
        <w:rPr>
          <w:rFonts w:ascii="Times New Roman" w:hAnsi="Times New Roman" w:cs="Times New Roman"/>
        </w:rPr>
        <w:t>本工程设计排水管道采用重力流，在不受计划及已建市政地下管道高程控制的地段，管道坡度尽量贴近道路纵坡；道路纵坡较陡段，管道坡度以规范规定的管道最大流速控制，非金属管道流速不大于5m/s。</w:t>
      </w:r>
    </w:p>
    <w:p w14:paraId="599739FC">
      <w:pPr>
        <w:ind w:firstLine="480"/>
        <w:rPr>
          <w:rFonts w:ascii="Times New Roman" w:hAnsi="Times New Roman" w:cs="Times New Roman"/>
        </w:rPr>
      </w:pPr>
      <w:r>
        <w:rPr>
          <w:rFonts w:ascii="Times New Roman" w:hAnsi="Times New Roman" w:cs="Times New Roman"/>
        </w:rPr>
        <w:t>综合考虑道路坡度、管道管径、埋深、流速等各方面因素，本设计排水管采用坡度为：0.2%~3%。</w:t>
      </w:r>
    </w:p>
    <w:p w14:paraId="3C229CD3">
      <w:pPr>
        <w:pStyle w:val="4"/>
        <w:rPr>
          <w:rFonts w:ascii="Times New Roman" w:hAnsi="Times New Roman" w:cs="Times New Roman"/>
        </w:rPr>
      </w:pPr>
      <w:bookmarkStart w:id="58" w:name="_Toc1529"/>
      <w:r>
        <w:rPr>
          <w:rFonts w:ascii="Times New Roman" w:hAnsi="Times New Roman" w:cs="Times New Roman"/>
        </w:rPr>
        <w:t>护管挡墙措施</w:t>
      </w:r>
      <w:bookmarkEnd w:id="58"/>
    </w:p>
    <w:p w14:paraId="24630726">
      <w:pPr>
        <w:ind w:firstLine="560"/>
        <w:rPr>
          <w:rFonts w:ascii="Times New Roman" w:hAnsi="Times New Roman" w:cs="Times New Roman"/>
        </w:rPr>
      </w:pPr>
      <w:r>
        <w:rPr>
          <w:rFonts w:ascii="Times New Roman" w:hAnsi="Times New Roman" w:cs="Times New Roman"/>
          <w:spacing w:val="20"/>
          <w:kern w:val="0"/>
          <w:szCs w:val="28"/>
          <w:lang w:val="zh-CN"/>
        </w:rPr>
        <w:t>污水04山谷高中改造点（高家堡西路-粤州西路）现状土沟两侧土坡较多</w:t>
      </w:r>
      <w:r>
        <w:rPr>
          <w:rFonts w:ascii="Times New Roman" w:hAnsi="Times New Roman" w:cs="Times New Roman"/>
          <w:szCs w:val="28"/>
        </w:rPr>
        <w:t>，土坡高度较低，积水时间短，洪水历时也不长，一到雨季，大量两侧土体水排泄而下，水流较急，流势较猛，且水流中还夹带着泥沙等杂质，如不采取护管措施设计污水管道极易被冲刷。故本次沿设计管道一侧设置一道护管挡墙</w:t>
      </w:r>
      <w:r>
        <w:rPr>
          <w:rFonts w:ascii="Times New Roman" w:hAnsi="Times New Roman" w:cs="Times New Roman"/>
        </w:rPr>
        <w:t>。</w:t>
      </w:r>
    </w:p>
    <w:p w14:paraId="5C16D63B">
      <w:pPr>
        <w:ind w:firstLine="0" w:firstLineChars="0"/>
        <w:jc w:val="center"/>
        <w:rPr>
          <w:rFonts w:ascii="Times New Roman" w:hAnsi="Times New Roman" w:cs="Times New Roman"/>
        </w:rPr>
      </w:pPr>
      <w:r>
        <w:rPr>
          <w:rFonts w:ascii="Times New Roman" w:hAnsi="Times New Roman" w:cs="Times New Roman"/>
        </w:rPr>
        <w:drawing>
          <wp:inline distT="0" distB="0" distL="0" distR="0">
            <wp:extent cx="4328160" cy="3060065"/>
            <wp:effectExtent l="0" t="0" r="15240" b="6985"/>
            <wp:docPr id="1" name="图片 1" descr="C:\Users\kkk\Desktop\202506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kkk\Desktop\20250609.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327453" cy="3059384"/>
                    </a:xfrm>
                    <a:prstGeom prst="rect">
                      <a:avLst/>
                    </a:prstGeom>
                    <a:noFill/>
                    <a:ln>
                      <a:noFill/>
                    </a:ln>
                  </pic:spPr>
                </pic:pic>
              </a:graphicData>
            </a:graphic>
          </wp:inline>
        </w:drawing>
      </w:r>
    </w:p>
    <w:p w14:paraId="242F2ADE">
      <w:pPr>
        <w:pStyle w:val="28"/>
        <w:rPr>
          <w:rFonts w:ascii="Times New Roman" w:hAnsi="Times New Roman" w:cs="Times New Roman"/>
        </w:rPr>
      </w:pPr>
      <w:r>
        <w:rPr>
          <w:rFonts w:ascii="Times New Roman" w:hAnsi="Times New Roman" w:cs="Times New Roman"/>
        </w:rPr>
        <w:t>（高家堡西路~金宜大道）04污水管道设计剖面图</w:t>
      </w:r>
    </w:p>
    <w:p w14:paraId="2B5777E6">
      <w:pPr>
        <w:ind w:firstLine="480"/>
        <w:rPr>
          <w:rFonts w:ascii="Times New Roman" w:hAnsi="Times New Roman" w:cs="Times New Roman"/>
        </w:rPr>
      </w:pPr>
      <w:r>
        <w:rPr>
          <w:rFonts w:ascii="Times New Roman" w:hAnsi="Times New Roman" w:cs="Times New Roman"/>
        </w:rPr>
        <w:t>新建污水04山谷高中改造点(高家堡西路-粤州西路)护管挡墙单侧2171m，两侧共计4342m。</w:t>
      </w:r>
    </w:p>
    <w:p w14:paraId="07003317">
      <w:pPr>
        <w:pStyle w:val="4"/>
        <w:rPr>
          <w:rFonts w:ascii="Times New Roman" w:hAnsi="Times New Roman" w:cs="Times New Roman"/>
        </w:rPr>
      </w:pPr>
      <w:bookmarkStart w:id="59" w:name="_Toc25428"/>
      <w:r>
        <w:rPr>
          <w:rFonts w:ascii="Times New Roman" w:hAnsi="Times New Roman" w:cs="Times New Roman"/>
        </w:rPr>
        <w:t>管材管件、防腐及质量要求</w:t>
      </w:r>
      <w:bookmarkEnd w:id="59"/>
    </w:p>
    <w:p w14:paraId="7040D9BF">
      <w:pPr>
        <w:ind w:firstLine="480"/>
        <w:rPr>
          <w:rFonts w:ascii="Times New Roman" w:hAnsi="Times New Roman" w:cs="Times New Roman"/>
        </w:rPr>
      </w:pPr>
      <w:r>
        <w:rPr>
          <w:rFonts w:ascii="Times New Roman" w:hAnsi="Times New Roman" w:cs="Times New Roman"/>
        </w:rPr>
        <w:t>1、管材管件</w:t>
      </w:r>
    </w:p>
    <w:p w14:paraId="432916CE">
      <w:pPr>
        <w:ind w:firstLine="480"/>
        <w:rPr>
          <w:rFonts w:ascii="Times New Roman" w:hAnsi="Times New Roman" w:cs="Times New Roman"/>
        </w:rPr>
      </w:pPr>
      <w:r>
        <w:rPr>
          <w:rFonts w:ascii="Times New Roman" w:hAnsi="Times New Roman" w:cs="Times New Roman"/>
        </w:rPr>
        <w:t>（1）本工程污水主干管主要采用焊接钢管，管径DN200-DN500。污水接户管及排出管（dn110~dn160）采用</w:t>
      </w:r>
      <w:bookmarkStart w:id="60" w:name="OLE_LINK18"/>
      <w:r>
        <w:rPr>
          <w:rFonts w:ascii="Times New Roman" w:hAnsi="Times New Roman" w:cs="Times New Roman"/>
        </w:rPr>
        <w:t>PVC-U排水塑料管</w:t>
      </w:r>
      <w:bookmarkEnd w:id="60"/>
      <w:r>
        <w:rPr>
          <w:rFonts w:ascii="Times New Roman" w:hAnsi="Times New Roman" w:cs="Times New Roman"/>
        </w:rPr>
        <w:t>。</w:t>
      </w:r>
    </w:p>
    <w:p w14:paraId="1C403AC5">
      <w:pPr>
        <w:ind w:firstLine="480"/>
        <w:rPr>
          <w:rFonts w:ascii="Times New Roman" w:hAnsi="Times New Roman" w:cs="Times New Roman"/>
        </w:rPr>
      </w:pPr>
      <w:r>
        <w:rPr>
          <w:rFonts w:ascii="Times New Roman" w:hAnsi="Times New Roman" w:cs="Times New Roman"/>
        </w:rPr>
        <w:t>（2）雨水管道采用排水管采用钢筋混凝土管，管径DN500-DN1350。雨水管d≤1200mm的采用钢筋混凝土承插口管，d≥1350mm的采用钢筋混凝土企口管，并根据管道的埋深等技术标准，对应选用</w:t>
      </w:r>
      <w:r>
        <w:rPr>
          <w:rFonts w:hint="eastAsia" w:ascii="宋体" w:hAnsi="宋体" w:eastAsia="宋体" w:cs="宋体"/>
        </w:rPr>
        <w:t>Ⅱ</w:t>
      </w:r>
      <w:r>
        <w:rPr>
          <w:rFonts w:ascii="Times New Roman" w:hAnsi="Times New Roman" w:cs="Times New Roman"/>
        </w:rPr>
        <w:t>、</w:t>
      </w:r>
      <w:r>
        <w:rPr>
          <w:rFonts w:hint="eastAsia" w:ascii="宋体" w:hAnsi="宋体" w:eastAsia="宋体" w:cs="宋体"/>
        </w:rPr>
        <w:t>Ⅲ</w:t>
      </w:r>
      <w:r>
        <w:rPr>
          <w:rFonts w:ascii="Times New Roman" w:hAnsi="Times New Roman" w:cs="Times New Roman"/>
        </w:rPr>
        <w:t>级等不同级别的管道。采用的钢筋混凝土管，钢筋混凝土管技术标准须符合国标《混凝土和钢筋混凝土排水管》（GB/T11836-2023）。</w:t>
      </w:r>
    </w:p>
    <w:p w14:paraId="2B4AFA6E">
      <w:pPr>
        <w:ind w:firstLine="480"/>
        <w:rPr>
          <w:rFonts w:ascii="Times New Roman" w:hAnsi="Times New Roman" w:cs="Times New Roman"/>
        </w:rPr>
      </w:pPr>
      <w:r>
        <w:rPr>
          <w:rFonts w:ascii="Times New Roman" w:hAnsi="Times New Roman" w:cs="Times New Roman"/>
        </w:rPr>
        <w:t>（3）局部非开挖施工段管材：水平定向钻（牵引管）施工段采用非开挖用聚乙烯PE100单层实壁排水管 ，SDR11 ，热熔连接，管材应符合《非开挖工程用聚乙烯管》CJ/T 358-2019要求。顶管段采用非开挖铺设用球墨铸铁污水用承插口顶管，带顶推法兰顶管接头，橡胶圈密封，微型顶管，管材应符合《非开挖铺设用球墨铸铁管》YB T 4564-201要求。</w:t>
      </w:r>
    </w:p>
    <w:p w14:paraId="5984A011">
      <w:pPr>
        <w:ind w:firstLine="480"/>
        <w:rPr>
          <w:rFonts w:ascii="Times New Roman" w:hAnsi="Times New Roman" w:cs="Times New Roman"/>
        </w:rPr>
      </w:pPr>
      <w:r>
        <w:rPr>
          <w:rFonts w:ascii="Times New Roman" w:hAnsi="Times New Roman" w:cs="Times New Roman"/>
        </w:rPr>
        <w:t>2、钢管防腐及质量要求</w:t>
      </w:r>
    </w:p>
    <w:p w14:paraId="2527C7C5">
      <w:pPr>
        <w:ind w:firstLine="480"/>
        <w:rPr>
          <w:rFonts w:ascii="Times New Roman" w:hAnsi="Times New Roman" w:cs="Times New Roman"/>
        </w:rPr>
      </w:pPr>
      <w:r>
        <w:rPr>
          <w:rFonts w:ascii="Times New Roman" w:hAnsi="Times New Roman" w:cs="Times New Roman"/>
        </w:rPr>
        <w:t>（1）钢管材质采用碳素结构钢，型号采用Q235BZ镇静钢。</w:t>
      </w:r>
    </w:p>
    <w:p w14:paraId="5AA8532A">
      <w:pPr>
        <w:ind w:firstLine="480"/>
        <w:rPr>
          <w:rFonts w:ascii="Times New Roman" w:hAnsi="Times New Roman" w:cs="Times New Roman"/>
        </w:rPr>
      </w:pPr>
      <w:r>
        <w:rPr>
          <w:rFonts w:ascii="Times New Roman" w:hAnsi="Times New Roman" w:cs="Times New Roman"/>
        </w:rPr>
        <w:t>（2）钢管管壁厚度不得小于设计要求厚度，厚度公差不得存在负公差。钢管尺寸、外形、重量技术要求除注明外应满足《低压流体输送用焊接钢管》（GB/T3091-2015）规范要求。</w:t>
      </w:r>
    </w:p>
    <w:p w14:paraId="1BA26D11">
      <w:pPr>
        <w:ind w:firstLine="480"/>
        <w:rPr>
          <w:rFonts w:ascii="Times New Roman" w:hAnsi="Times New Roman" w:cs="Times New Roman"/>
        </w:rPr>
      </w:pPr>
      <w:r>
        <w:rPr>
          <w:rFonts w:ascii="Times New Roman" w:hAnsi="Times New Roman" w:cs="Times New Roman"/>
        </w:rPr>
        <w:t>（3）管材管件及压力等级要求：本设计钢制弯头、三通、四通等管件应优先使用标准管件，当采用非标管件时，钢制管件参照国家建筑标准设计图集02S403加工。所选管材、管件公称压力等级均采用1.0MPa。</w:t>
      </w:r>
    </w:p>
    <w:p w14:paraId="3385E026">
      <w:pPr>
        <w:ind w:firstLine="480"/>
        <w:rPr>
          <w:rFonts w:ascii="Times New Roman" w:hAnsi="Times New Roman" w:cs="Times New Roman"/>
        </w:rPr>
      </w:pPr>
      <w:r>
        <w:rPr>
          <w:rFonts w:ascii="Times New Roman" w:hAnsi="Times New Roman" w:cs="Times New Roman"/>
        </w:rPr>
        <w:t>（4）防腐：</w:t>
      </w:r>
    </w:p>
    <w:p w14:paraId="65528617">
      <w:pPr>
        <w:ind w:firstLine="480"/>
        <w:rPr>
          <w:rFonts w:ascii="Times New Roman" w:hAnsi="Times New Roman" w:cs="Times New Roman"/>
        </w:rPr>
      </w:pPr>
      <w:r>
        <w:rPr>
          <w:rFonts w:ascii="Times New Roman" w:hAnsi="Times New Roman" w:cs="Times New Roman"/>
        </w:rPr>
        <w:t>钢管内外防腐均为专业工厂内加工完成，选用的成品弯头、阀门、法兰、螺栓等管件材料应满足行业或国家标准防腐要求，钢制管道、管件现场接口、焊缝处可人工补口。钢管、钢制管件内外防腐技术要求统一如下：</w:t>
      </w:r>
    </w:p>
    <w:p w14:paraId="7C63E5C9">
      <w:pPr>
        <w:ind w:firstLine="480"/>
        <w:rPr>
          <w:rFonts w:ascii="Times New Roman" w:hAnsi="Times New Roman" w:cs="Times New Roman"/>
        </w:rPr>
      </w:pPr>
      <w:r>
        <w:rPr>
          <w:rFonts w:ascii="Times New Roman" w:hAnsi="Times New Roman" w:cs="Times New Roman"/>
        </w:rPr>
        <w:t>1）钢管防腐前预处理：钢管在预处理前，钢材表面的岸渣、毛刺、油脂等污物须清除干净。表面预处理应符合《涂装前钢材表面处理规范》（SY/T0407-2012）的规定，采用机械喷砂除锈质量等级应达到Sa2.5级，人工除锈质量等级应达到St3.0级，除锈质量等级划分标准按《涂覆涂料前钢材表面处理表面清洁度的目测评定》（GB/T8923.1-2011，GB/T8923.2-2008，GB/T8923.3-2009）执行。</w:t>
      </w:r>
    </w:p>
    <w:p w14:paraId="018CB0B8">
      <w:pPr>
        <w:ind w:firstLine="480"/>
        <w:rPr>
          <w:rFonts w:ascii="Times New Roman" w:hAnsi="Times New Roman" w:cs="Times New Roman"/>
        </w:rPr>
      </w:pPr>
      <w:r>
        <w:rPr>
          <w:rFonts w:ascii="Times New Roman" w:hAnsi="Times New Roman" w:cs="Times New Roman"/>
        </w:rPr>
        <w:t>2）钢管内防腐：采用无毒环氧类涂料，防腐等级为特加强级，二底四面，总干膜厚度大于等于450μm。按照《钢质管道液体环氧涂料内防腐技术规范》（SY/T 0457-2019）有关规定执行。</w:t>
      </w:r>
    </w:p>
    <w:p w14:paraId="3D6BD2CE">
      <w:pPr>
        <w:ind w:firstLine="480"/>
        <w:rPr>
          <w:rFonts w:ascii="Times New Roman" w:hAnsi="Times New Roman" w:cs="Times New Roman"/>
        </w:rPr>
      </w:pPr>
      <w:r>
        <w:rPr>
          <w:rFonts w:ascii="Times New Roman" w:hAnsi="Times New Roman" w:cs="Times New Roman"/>
        </w:rPr>
        <w:t>3）钢管外防腐：</w:t>
      </w:r>
    </w:p>
    <w:p w14:paraId="2E3F3E06">
      <w:pPr>
        <w:ind w:firstLine="480"/>
        <w:rPr>
          <w:rFonts w:ascii="Times New Roman" w:hAnsi="Times New Roman" w:cs="Times New Roman"/>
        </w:rPr>
      </w:pPr>
      <w:r>
        <w:rPr>
          <w:rFonts w:ascii="Times New Roman" w:hAnsi="Times New Roman" w:cs="Times New Roman"/>
        </w:rPr>
        <w:t>a）埋地钢管采用环氧煤沥青特加强级防腐（六油二布），采用“六油二布”环氧煤沥青涂层，即底漆-面漆-面漆、玻璃布、面漆-面漆、玻璃布、面漆-面漆，干膜厚度大于600μm；防腐做法及材料应符合《埋地钢质管道环氧煤沥青防腐层技术标准》（SY/T0447-2014）特加强级的要求，玻璃布采用中碱，无捻、无腊的玻璃纤维布，其经纬密度为（12×12）根/cm</w:t>
      </w:r>
      <w:r>
        <w:rPr>
          <w:rFonts w:ascii="Times New Roman" w:hAnsi="Times New Roman" w:cs="Times New Roman"/>
          <w:vertAlign w:val="superscript"/>
        </w:rPr>
        <w:t>2</w:t>
      </w:r>
      <w:r>
        <w:rPr>
          <w:rFonts w:ascii="Times New Roman" w:hAnsi="Times New Roman" w:cs="Times New Roman"/>
        </w:rPr>
        <w:t>。</w:t>
      </w:r>
    </w:p>
    <w:p w14:paraId="546E4AAD">
      <w:pPr>
        <w:ind w:firstLine="480"/>
        <w:rPr>
          <w:rFonts w:ascii="Times New Roman" w:hAnsi="Times New Roman" w:cs="Times New Roman"/>
        </w:rPr>
      </w:pPr>
      <w:r>
        <w:rPr>
          <w:rFonts w:ascii="Times New Roman" w:hAnsi="Times New Roman" w:cs="Times New Roman"/>
        </w:rPr>
        <w:t>b）室外明敷钢管及管件的外防腐：采用高分子聚氨脂管道防腐漆（耐紫外线型），普通级为二道底漆二道面漆，干膜总厚度不小于200μm。</w:t>
      </w:r>
    </w:p>
    <w:p w14:paraId="5AE2774C">
      <w:pPr>
        <w:ind w:firstLine="480"/>
        <w:rPr>
          <w:rFonts w:ascii="Times New Roman" w:hAnsi="Times New Roman" w:cs="Times New Roman"/>
        </w:rPr>
      </w:pPr>
      <w:r>
        <w:rPr>
          <w:rFonts w:ascii="Times New Roman" w:hAnsi="Times New Roman" w:cs="Times New Roman"/>
        </w:rPr>
        <w:t>c）室内明敷与浸入水体中的明敷钢管级管配件外防腐：室内明敷以及浸入水体中的明敷钢管管道及配件外防腐采用高分子聚氨脂管道防腐漆，普通级为二道底漆二道面漆,干膜总厚度不小于200μm，用量不小于0.4kg/m</w:t>
      </w:r>
      <w:r>
        <w:rPr>
          <w:rFonts w:ascii="Times New Roman" w:hAnsi="Times New Roman" w:cs="Times New Roman"/>
          <w:vertAlign w:val="superscript"/>
        </w:rPr>
        <w:t>2</w:t>
      </w:r>
      <w:r>
        <w:rPr>
          <w:rFonts w:ascii="Times New Roman" w:hAnsi="Times New Roman" w:cs="Times New Roman"/>
        </w:rPr>
        <w:t>。面漆颜色：尾水排水管采用黑色（环）。</w:t>
      </w:r>
    </w:p>
    <w:p w14:paraId="0E487A9E">
      <w:pPr>
        <w:ind w:firstLine="480"/>
        <w:rPr>
          <w:rFonts w:ascii="Times New Roman" w:hAnsi="Times New Roman" w:cs="Times New Roman"/>
        </w:rPr>
      </w:pPr>
      <w:r>
        <w:rPr>
          <w:rFonts w:ascii="Times New Roman" w:hAnsi="Times New Roman" w:cs="Times New Roman"/>
        </w:rPr>
        <w:t>4）管端预留焊口长度：钢管及管件端部管口处防腐层应留宽度为50mm~150mm不涂防腐层的留端，以便于组对和焊接，留端处防腐层设阶梯形接茬，留端范围内涂刷可焊型涂料三遍（干膜厚度不应小于25μm）用于临时防锈。管口焊接后应进行补口，防腐补口使用的防腐涂料和防腐结构应与管体防腐层匹配，补口防腐层与管体防腐层的搭接宽度应大于100mm，其余相关补口要求按《给水排水管道工程施工及验收规范》（GB50268-2008）、《管道外防腐补口技术规范》（GB/T51241-2017）、《钢质管道内防腐补口技术规范》（SY/T4078-2023）执行。</w:t>
      </w:r>
    </w:p>
    <w:p w14:paraId="3A94101C">
      <w:pPr>
        <w:ind w:firstLine="480"/>
        <w:rPr>
          <w:rFonts w:ascii="Times New Roman" w:hAnsi="Times New Roman" w:cs="Times New Roman"/>
        </w:rPr>
      </w:pPr>
      <w:r>
        <w:rPr>
          <w:rFonts w:ascii="Times New Roman" w:hAnsi="Times New Roman" w:cs="Times New Roman"/>
        </w:rPr>
        <w:t>（5）为延长埋地双法兰限位伸缩器的使用寿命，需在安装该管件后，将接头的法兰、螺栓也涂刷防腐涂料，做法同钢管及管件防腐做法。</w:t>
      </w:r>
    </w:p>
    <w:p w14:paraId="10500CFC">
      <w:pPr>
        <w:ind w:firstLine="480"/>
        <w:rPr>
          <w:rFonts w:ascii="Times New Roman" w:hAnsi="Times New Roman" w:cs="Times New Roman"/>
        </w:rPr>
      </w:pPr>
      <w:r>
        <w:rPr>
          <w:rFonts w:ascii="Times New Roman" w:hAnsi="Times New Roman" w:cs="Times New Roman"/>
        </w:rPr>
        <w:t>（6）钢管制作</w:t>
      </w:r>
    </w:p>
    <w:p w14:paraId="3581C46B">
      <w:pPr>
        <w:ind w:firstLine="480"/>
        <w:rPr>
          <w:rFonts w:ascii="Times New Roman" w:hAnsi="Times New Roman" w:cs="Times New Roman"/>
        </w:rPr>
      </w:pPr>
      <w:r>
        <w:rPr>
          <w:rFonts w:ascii="Times New Roman" w:hAnsi="Times New Roman" w:cs="Times New Roman"/>
        </w:rPr>
        <w:t>1）除管道公称直径及壁厚应符合设计规定外，其外形、重量等技术要求还应符合《低压流体输送用焊接钢管》（GB/T3091-2015）规范的要求。</w:t>
      </w:r>
    </w:p>
    <w:p w14:paraId="328671FE">
      <w:pPr>
        <w:ind w:firstLine="480"/>
        <w:rPr>
          <w:rFonts w:ascii="Times New Roman" w:hAnsi="Times New Roman" w:cs="Times New Roman"/>
        </w:rPr>
      </w:pPr>
      <w:r>
        <w:rPr>
          <w:rFonts w:ascii="Times New Roman" w:hAnsi="Times New Roman" w:cs="Times New Roman"/>
        </w:rPr>
        <w:t>2）钢管制作管道周长允许偏差±0.0035D，圆度0.005D，端面垂直度0.001D且不大于1.5mm；钢管管壁厚度不得小于设计要求厚度，厚度公差在0.00mm~+0.2mm之间。</w:t>
      </w:r>
    </w:p>
    <w:p w14:paraId="1BD5C5D7">
      <w:pPr>
        <w:ind w:firstLine="480"/>
        <w:rPr>
          <w:rFonts w:ascii="Times New Roman" w:hAnsi="Times New Roman" w:cs="Times New Roman"/>
        </w:rPr>
      </w:pPr>
      <w:r>
        <w:rPr>
          <w:rFonts w:ascii="Times New Roman" w:hAnsi="Times New Roman" w:cs="Times New Roman"/>
        </w:rPr>
        <w:t>3）所有钢管及弯头、三通等管配件均应由符合国家质量标准的钢管制管厂制造，工厂制造前应根据现场情况复核管配件尺寸。对于特殊配件，应事先放样，确认无误后方可下料施工。</w:t>
      </w:r>
    </w:p>
    <w:p w14:paraId="1C3D68D0">
      <w:pPr>
        <w:ind w:firstLine="480"/>
        <w:rPr>
          <w:rFonts w:ascii="Times New Roman" w:hAnsi="Times New Roman" w:cs="Times New Roman"/>
        </w:rPr>
      </w:pPr>
      <w:r>
        <w:rPr>
          <w:rFonts w:ascii="Times New Roman" w:hAnsi="Times New Roman" w:cs="Times New Roman"/>
        </w:rPr>
        <w:t>3、管材运输、装卸与堆放</w:t>
      </w:r>
    </w:p>
    <w:p w14:paraId="7AA9CDE8">
      <w:pPr>
        <w:ind w:firstLine="480"/>
        <w:rPr>
          <w:rFonts w:ascii="Times New Roman" w:hAnsi="Times New Roman" w:cs="Times New Roman"/>
        </w:rPr>
      </w:pPr>
      <w:r>
        <w:rPr>
          <w:rFonts w:ascii="Times New Roman" w:hAnsi="Times New Roman" w:cs="Times New Roman"/>
        </w:rPr>
        <w:t>管材运输、装卸及堆放方式应符合《给水排水管道工程施工及验收规范》GB50268-2008、《球墨铸铁给水排水管道工程施工及验收规范技术条件》T/CFA 02010202.3-2018规范要求。</w:t>
      </w:r>
    </w:p>
    <w:p w14:paraId="21E15B9A">
      <w:pPr>
        <w:ind w:firstLine="480"/>
        <w:rPr>
          <w:rFonts w:ascii="Times New Roman" w:hAnsi="Times New Roman" w:cs="Times New Roman"/>
        </w:rPr>
      </w:pPr>
      <w:r>
        <w:rPr>
          <w:rFonts w:ascii="Times New Roman" w:hAnsi="Times New Roman" w:cs="Times New Roman"/>
        </w:rPr>
        <w:t>4、管道施工</w:t>
      </w:r>
    </w:p>
    <w:p w14:paraId="555933AD">
      <w:pPr>
        <w:ind w:firstLine="0" w:firstLineChars="0"/>
        <w:jc w:val="center"/>
        <w:rPr>
          <w:rFonts w:ascii="Times New Roman" w:hAnsi="Times New Roman" w:cs="Times New Roman"/>
        </w:rPr>
      </w:pPr>
      <w:r>
        <w:rPr>
          <w:rFonts w:ascii="Times New Roman" w:hAnsi="Times New Roman" w:cs="Times New Roman"/>
        </w:rPr>
        <w:t>（1）混凝土管安装按《给排水管道工程施工及验收规范》（GB50268-2008）第5.6节执行。</w:t>
      </w:r>
    </w:p>
    <w:p w14:paraId="44D1595F">
      <w:pPr>
        <w:ind w:firstLine="0" w:firstLineChars="0"/>
        <w:jc w:val="center"/>
        <w:rPr>
          <w:rFonts w:ascii="Times New Roman" w:hAnsi="Times New Roman" w:cs="Times New Roman"/>
        </w:rPr>
      </w:pPr>
      <w:r>
        <w:rPr>
          <w:rFonts w:ascii="Times New Roman" w:hAnsi="Times New Roman" w:cs="Times New Roman"/>
        </w:rPr>
        <w:t>（2）焊接钢管安装按《给排水管道工程施工及验收规范》（GB50268-2008）第5.3节执行。</w:t>
      </w:r>
    </w:p>
    <w:p w14:paraId="7192B7DB">
      <w:pPr>
        <w:ind w:firstLine="480"/>
        <w:rPr>
          <w:rFonts w:ascii="Times New Roman" w:hAnsi="Times New Roman" w:cs="Times New Roman"/>
        </w:rPr>
      </w:pPr>
      <w:r>
        <w:rPr>
          <w:rFonts w:ascii="Times New Roman" w:hAnsi="Times New Roman" w:cs="Times New Roman"/>
        </w:rPr>
        <w:t>本设计钢制管道平面、纵断面转弯处，可在一定距离（一般为转弯弧长）内通过多根管道接口进行均匀借转完成，本设计曲线安装段控制单个焊接接口借转小于10°即可。当转弯半径R≥35m时，可用标准管长（6m）接口进行借转；当20m≤R&lt;35m时，单根管长不应超过3m；当10m≤R&lt;20m时，单根管长不应超过1.5m；当5m≤R&lt;10m时，单根管长不应超过0.8m。施工前应做好角度计算和放样。</w:t>
      </w:r>
    </w:p>
    <w:p w14:paraId="494821BD">
      <w:pPr>
        <w:ind w:firstLine="480"/>
        <w:rPr>
          <w:rFonts w:ascii="Times New Roman" w:hAnsi="Times New Roman" w:cs="Times New Roman"/>
        </w:rPr>
      </w:pPr>
      <w:r>
        <w:rPr>
          <w:rFonts w:ascii="Times New Roman" w:hAnsi="Times New Roman" w:cs="Times New Roman"/>
        </w:rPr>
        <w:t>当转角处的转弯半径过小需设置弯头时，采用标准化弯头，实际转角角度与标准化弯头的角度差再经钢制弯头与直线段管道焊接借转。本设计钢制管道中，转角处α角度与弯头选用对应关系如下表：</w:t>
      </w:r>
    </w:p>
    <w:p w14:paraId="0EDCC554">
      <w:pPr>
        <w:ind w:firstLine="480"/>
        <w:jc w:val="center"/>
        <w:rPr>
          <w:rFonts w:ascii="Times New Roman" w:hAnsi="Times New Roman" w:cs="Times New Roman"/>
        </w:rPr>
      </w:pPr>
      <w:r>
        <w:rPr>
          <w:rFonts w:ascii="Times New Roman" w:hAnsi="Times New Roman" w:cs="Times New Roman"/>
        </w:rPr>
        <w:drawing>
          <wp:inline distT="0" distB="0" distL="0" distR="0">
            <wp:extent cx="4517390" cy="2811145"/>
            <wp:effectExtent l="0" t="0" r="0" b="8255"/>
            <wp:docPr id="7" name="图片 7" descr="C:\Users\Administrator\AppData\Local\Temp\ksohtml6836\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strator\AppData\Local\Temp\ksohtml6836\wps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517390" cy="2811145"/>
                    </a:xfrm>
                    <a:prstGeom prst="rect">
                      <a:avLst/>
                    </a:prstGeom>
                    <a:noFill/>
                    <a:ln>
                      <a:noFill/>
                    </a:ln>
                  </pic:spPr>
                </pic:pic>
              </a:graphicData>
            </a:graphic>
          </wp:inline>
        </w:drawing>
      </w:r>
      <w:r>
        <w:rPr>
          <w:rFonts w:ascii="Times New Roman" w:hAnsi="Times New Roman" w:cs="Times New Roman"/>
        </w:rPr>
        <w:t xml:space="preserve"> </w:t>
      </w:r>
    </w:p>
    <w:p w14:paraId="0FB7D270">
      <w:pPr>
        <w:ind w:firstLine="480"/>
        <w:rPr>
          <w:rFonts w:ascii="Times New Roman" w:hAnsi="Times New Roman" w:cs="Times New Roman"/>
        </w:rPr>
      </w:pPr>
      <w:r>
        <w:rPr>
          <w:rFonts w:ascii="Times New Roman" w:hAnsi="Times New Roman" w:cs="Times New Roman"/>
        </w:rPr>
        <w:t>（3）钢管采用焊接，应按《给排水管道工程施工及验收规范》（GB50268-2008）、《现场设备、工业管道焊接工程施工规范》（GB50236-2011）、《现场设备、工业管道焊接工程施工质量验收规范》（GB50683-2011）、《工业金属管道工程施工规范》（GB50235-2010）、《工业金属管道工程施工质量验收规范》（GB50184-2011）等有关规定执行。</w:t>
      </w:r>
    </w:p>
    <w:p w14:paraId="438BBB50">
      <w:pPr>
        <w:ind w:firstLine="480"/>
        <w:rPr>
          <w:rFonts w:ascii="Times New Roman" w:hAnsi="Times New Roman" w:cs="Times New Roman"/>
        </w:rPr>
      </w:pPr>
      <w:r>
        <w:rPr>
          <w:rFonts w:ascii="Times New Roman" w:hAnsi="Times New Roman" w:cs="Times New Roman"/>
        </w:rPr>
        <w:t>（4）钢管焊缝应按《给排水管道工程施工及验收规范》（GB50268-2008）等有关规定执行。为确保焊缝质量，还需满足以下要求。</w:t>
      </w:r>
    </w:p>
    <w:p w14:paraId="2E41DA0A">
      <w:pPr>
        <w:ind w:firstLine="480"/>
        <w:rPr>
          <w:rFonts w:ascii="Times New Roman" w:hAnsi="Times New Roman" w:cs="Times New Roman"/>
        </w:rPr>
      </w:pPr>
      <w:r>
        <w:rPr>
          <w:rFonts w:ascii="Times New Roman" w:hAnsi="Times New Roman" w:cs="Times New Roman"/>
        </w:rPr>
        <w:t>（a）焊接前应由建设、监理单位进行焊接工艺评定。每个焊工负责的焊缝应有明确的焊缝记录以便质量追查。</w:t>
      </w:r>
    </w:p>
    <w:p w14:paraId="62677159">
      <w:pPr>
        <w:ind w:firstLine="480"/>
        <w:rPr>
          <w:rFonts w:ascii="Times New Roman" w:hAnsi="Times New Roman" w:cs="Times New Roman"/>
        </w:rPr>
      </w:pPr>
      <w:r>
        <w:rPr>
          <w:rFonts w:ascii="Times New Roman" w:hAnsi="Times New Roman" w:cs="Times New Roman"/>
        </w:rPr>
        <w:t>（b）焊接前应对焊工进行相应焊接工艺的培训，由相关部门考试合格后持证上岗，按照评定的焊接工艺指导书进行施焊。</w:t>
      </w:r>
    </w:p>
    <w:p w14:paraId="14B44795">
      <w:pPr>
        <w:ind w:firstLine="480"/>
        <w:rPr>
          <w:rFonts w:ascii="Times New Roman" w:hAnsi="Times New Roman" w:cs="Times New Roman"/>
        </w:rPr>
      </w:pPr>
      <w:r>
        <w:rPr>
          <w:rFonts w:ascii="Times New Roman" w:hAnsi="Times New Roman" w:cs="Times New Roman"/>
        </w:rPr>
        <w:t>（c）现场焊接抽检如果不合格，应对被检焊工所有焊缝进行100%无损探伤，并责令该焊工需停止在本项目中的作业。</w:t>
      </w:r>
    </w:p>
    <w:p w14:paraId="7B4B2113">
      <w:pPr>
        <w:pStyle w:val="4"/>
        <w:rPr>
          <w:rFonts w:ascii="Times New Roman" w:hAnsi="Times New Roman" w:cs="Times New Roman"/>
        </w:rPr>
      </w:pPr>
      <w:bookmarkStart w:id="61" w:name="_Toc185094294"/>
      <w:bookmarkStart w:id="62" w:name="_Toc26062"/>
      <w:r>
        <w:rPr>
          <w:rFonts w:ascii="Times New Roman" w:hAnsi="Times New Roman" w:cs="Times New Roman"/>
        </w:rPr>
        <w:t>管道基础及接口形式</w:t>
      </w:r>
      <w:bookmarkEnd w:id="61"/>
      <w:bookmarkEnd w:id="62"/>
    </w:p>
    <w:p w14:paraId="1375307E">
      <w:pPr>
        <w:ind w:firstLine="480" w:firstLineChars="0"/>
        <w:rPr>
          <w:rFonts w:ascii="Times New Roman" w:hAnsi="Times New Roman" w:cs="Times New Roman"/>
        </w:rPr>
      </w:pPr>
      <w:r>
        <w:rPr>
          <w:rFonts w:ascii="Times New Roman" w:hAnsi="Times New Roman" w:cs="Times New Roman"/>
        </w:rPr>
        <w:t>（1）管道基础</w:t>
      </w:r>
    </w:p>
    <w:p w14:paraId="3B07B5D7">
      <w:pPr>
        <w:ind w:firstLine="480"/>
        <w:rPr>
          <w:rFonts w:ascii="Times New Roman" w:hAnsi="Times New Roman" w:cs="Times New Roman"/>
        </w:rPr>
      </w:pPr>
      <w:r>
        <w:rPr>
          <w:rFonts w:ascii="Times New Roman" w:hAnsi="Times New Roman" w:cs="Times New Roman"/>
        </w:rPr>
        <w:t>埋地段</w:t>
      </w:r>
      <w:bookmarkStart w:id="63" w:name="OLE_LINK23"/>
      <w:bookmarkStart w:id="64" w:name="OLE_LINK22"/>
      <w:r>
        <w:rPr>
          <w:rFonts w:ascii="Times New Roman" w:hAnsi="Times New Roman" w:cs="Times New Roman"/>
        </w:rPr>
        <w:t>钢制污水管采用180°机制砂基础，埋地段混凝土雨水管采用</w:t>
      </w:r>
      <w:bookmarkEnd w:id="63"/>
      <w:bookmarkEnd w:id="64"/>
      <w:r>
        <w:rPr>
          <w:rFonts w:ascii="Times New Roman" w:hAnsi="Times New Roman" w:cs="Times New Roman"/>
        </w:rPr>
        <w:t>180°砂石基础。管顶覆土不足0.7m处采用C25全包加固，做法详见“浅覆土管道加固示意图”。</w:t>
      </w:r>
    </w:p>
    <w:p w14:paraId="03F87CD6">
      <w:pPr>
        <w:ind w:firstLine="480"/>
        <w:rPr>
          <w:rFonts w:ascii="Times New Roman" w:hAnsi="Times New Roman" w:cs="Times New Roman"/>
        </w:rPr>
      </w:pPr>
      <w:r>
        <w:rPr>
          <w:rFonts w:ascii="Times New Roman" w:hAnsi="Times New Roman" w:cs="Times New Roman"/>
        </w:rPr>
        <w:t>明敷段雨、污水管道：采用架空敷设，检查井间管道采用砼支墩架设敷设，支座做法另见大样图。现状箱涵内敷设的管道施工时需对现状涵洞/箱涵顶板进行临时拆除，施工完毕后恢复，相关做法另见《现状箱涵/涵洞内管道安装平面示意图》，箱涵段管道结合现场接周边污水条件设置预留支管，支管做法另见《现状箱涵/涵洞内管道安装平面示意图》中的“DN500井筒及预留支管井示意图”。</w:t>
      </w:r>
    </w:p>
    <w:p w14:paraId="5131387D">
      <w:pPr>
        <w:ind w:firstLine="480"/>
        <w:rPr>
          <w:rFonts w:ascii="Times New Roman" w:hAnsi="Times New Roman" w:cs="Times New Roman"/>
        </w:rPr>
      </w:pPr>
      <w:r>
        <w:rPr>
          <w:rFonts w:ascii="Times New Roman" w:hAnsi="Times New Roman" w:cs="Times New Roman"/>
        </w:rPr>
        <w:t>（2）接口形式</w:t>
      </w:r>
    </w:p>
    <w:p w14:paraId="5BBA373F">
      <w:pPr>
        <w:pStyle w:val="38"/>
        <w:numPr>
          <w:ilvl w:val="0"/>
          <w:numId w:val="5"/>
        </w:numPr>
        <w:ind w:firstLineChars="0"/>
        <w:rPr>
          <w:rFonts w:ascii="Times New Roman" w:hAnsi="Times New Roman" w:cs="Times New Roman"/>
        </w:rPr>
      </w:pPr>
      <w:r>
        <w:rPr>
          <w:rFonts w:ascii="Times New Roman" w:hAnsi="Times New Roman" w:cs="Times New Roman"/>
        </w:rPr>
        <w:t>焊接钢管：</w:t>
      </w:r>
      <w:bookmarkStart w:id="65" w:name="OLE_LINK39"/>
      <w:bookmarkStart w:id="66" w:name="OLE_LINK40"/>
      <w:r>
        <w:rPr>
          <w:rFonts w:ascii="Times New Roman" w:hAnsi="Times New Roman" w:cs="Times New Roman"/>
          <w:kern w:val="0"/>
        </w:rPr>
        <w:t>直埋段、明敷段、架空敷设段采用焊接连接，排水箱涵内采用法兰连接。</w:t>
      </w:r>
      <w:bookmarkEnd w:id="65"/>
      <w:bookmarkEnd w:id="66"/>
    </w:p>
    <w:p w14:paraId="3A48B063">
      <w:pPr>
        <w:pStyle w:val="38"/>
        <w:numPr>
          <w:ilvl w:val="0"/>
          <w:numId w:val="5"/>
        </w:numPr>
        <w:ind w:firstLineChars="0"/>
        <w:rPr>
          <w:rFonts w:ascii="Times New Roman" w:hAnsi="Times New Roman" w:cs="Times New Roman"/>
        </w:rPr>
      </w:pPr>
      <w:r>
        <w:rPr>
          <w:rFonts w:ascii="Times New Roman" w:hAnsi="Times New Roman" w:cs="Times New Roman"/>
        </w:rPr>
        <w:t>钢筋混凝土承插口管及企口管：采用橡胶圈柔性接口，安装时插口方向与水流方向一致。</w:t>
      </w:r>
    </w:p>
    <w:p w14:paraId="2CE3CC70">
      <w:pPr>
        <w:pStyle w:val="38"/>
        <w:ind w:firstLine="480"/>
        <w:rPr>
          <w:rFonts w:ascii="Times New Roman" w:hAnsi="Times New Roman" w:cs="Times New Roman"/>
        </w:rPr>
      </w:pPr>
      <w:r>
        <w:rPr>
          <w:rFonts w:ascii="Times New Roman" w:hAnsi="Times New Roman" w:cs="Times New Roman"/>
        </w:rPr>
        <w:t>3）PVC-U排水塑料管采用粘接连接。</w:t>
      </w:r>
    </w:p>
    <w:bookmarkEnd w:id="54"/>
    <w:p w14:paraId="5C1B0F0B">
      <w:pPr>
        <w:pStyle w:val="4"/>
        <w:rPr>
          <w:rFonts w:ascii="Times New Roman" w:hAnsi="Times New Roman" w:cs="Times New Roman"/>
        </w:rPr>
      </w:pPr>
      <w:bookmarkStart w:id="67" w:name="_Toc185094295"/>
      <w:bookmarkStart w:id="68" w:name="_Toc14061"/>
      <w:r>
        <w:rPr>
          <w:rFonts w:ascii="Times New Roman" w:hAnsi="Times New Roman" w:cs="Times New Roman"/>
        </w:rPr>
        <w:t>沟槽回填和回填材料</w:t>
      </w:r>
      <w:bookmarkEnd w:id="67"/>
      <w:bookmarkEnd w:id="68"/>
    </w:p>
    <w:p w14:paraId="3747B3F0">
      <w:pPr>
        <w:ind w:firstLine="480"/>
        <w:rPr>
          <w:rFonts w:ascii="Times New Roman" w:hAnsi="Times New Roman" w:cs="Times New Roman"/>
        </w:rPr>
      </w:pPr>
      <w:r>
        <w:rPr>
          <w:rFonts w:ascii="Times New Roman" w:hAnsi="Times New Roman" w:cs="Times New Roman"/>
        </w:rPr>
        <w:t>1、排水管沟槽基础要求落在地基承载力fak≥120kPa的原土上。如开挖管槽至设计标高是淤泥，必需清淤至原土后，回填砂砾石至设计标高后再做基础，清淤深度超过600mm须通知设计单位处理；如开挖管沟槽至设计标高是膨胀土，应对管基以下600mm范围内换填硬土或非膨胀土，并保证承载力要求后再做管基，砂垫层厚度150mm。</w:t>
      </w:r>
    </w:p>
    <w:p w14:paraId="613138F4">
      <w:pPr>
        <w:ind w:firstLine="480"/>
        <w:rPr>
          <w:rFonts w:ascii="Times New Roman" w:hAnsi="Times New Roman" w:cs="Times New Roman"/>
        </w:rPr>
      </w:pPr>
      <w:r>
        <w:rPr>
          <w:rFonts w:ascii="Times New Roman" w:hAnsi="Times New Roman" w:cs="Times New Roman"/>
        </w:rPr>
        <w:t>管道基础及沟槽回填做法详见“管道基础及沟槽回填、路面开挖恢复设计图”，并按GB50268-2008《给水排水管道工程施工及验收规范》及CECS164：2004《埋地聚乙烯排水管道工程技术规程》有关的要求夯实。</w:t>
      </w:r>
    </w:p>
    <w:p w14:paraId="426B8415">
      <w:pPr>
        <w:ind w:firstLine="480"/>
        <w:rPr>
          <w:rFonts w:ascii="Times New Roman" w:hAnsi="Times New Roman" w:cs="Times New Roman"/>
        </w:rPr>
      </w:pPr>
      <w:r>
        <w:rPr>
          <w:rFonts w:ascii="Times New Roman" w:hAnsi="Times New Roman" w:cs="Times New Roman"/>
        </w:rPr>
        <w:t>2、管道闭水试验合格且沟槽清理干净后方可回填，回填时沟槽内不得积水。</w:t>
      </w:r>
    </w:p>
    <w:p w14:paraId="336660CE">
      <w:pPr>
        <w:ind w:firstLine="480"/>
        <w:rPr>
          <w:rFonts w:ascii="Times New Roman" w:hAnsi="Times New Roman" w:cs="Times New Roman"/>
        </w:rPr>
      </w:pPr>
      <w:r>
        <w:rPr>
          <w:rFonts w:ascii="Times New Roman" w:hAnsi="Times New Roman" w:cs="Times New Roman"/>
        </w:rPr>
        <w:t>3、沟槽回填材料应严格按设计和规范要求选用，槽底至管顶以上50cm范围内，应采用砂石进行回填；回填应分层进行，分层压实。</w:t>
      </w:r>
    </w:p>
    <w:p w14:paraId="3EB0BD33">
      <w:pPr>
        <w:ind w:firstLine="480"/>
        <w:rPr>
          <w:rFonts w:ascii="Times New Roman" w:hAnsi="Times New Roman" w:cs="Times New Roman"/>
        </w:rPr>
      </w:pPr>
      <w:r>
        <w:rPr>
          <w:rFonts w:ascii="Times New Roman" w:hAnsi="Times New Roman" w:cs="Times New Roman"/>
        </w:rPr>
        <w:t>4、沟槽回填时，回填材料每层虚铺厚度根据压实工具和要求确定，但分层厚度不得超过40cm。</w:t>
      </w:r>
    </w:p>
    <w:p w14:paraId="28C81F1F">
      <w:pPr>
        <w:ind w:firstLine="480"/>
        <w:rPr>
          <w:rFonts w:ascii="Times New Roman" w:hAnsi="Times New Roman" w:cs="Times New Roman"/>
        </w:rPr>
      </w:pPr>
      <w:r>
        <w:rPr>
          <w:rFonts w:ascii="Times New Roman" w:hAnsi="Times New Roman" w:cs="Times New Roman"/>
        </w:rPr>
        <w:t>5、回填压实度检测：每100m长，每60cm厚测一组。</w:t>
      </w:r>
    </w:p>
    <w:p w14:paraId="1FAC375B">
      <w:pPr>
        <w:ind w:firstLine="480"/>
        <w:rPr>
          <w:rFonts w:ascii="Times New Roman" w:hAnsi="Times New Roman" w:cs="Times New Roman"/>
        </w:rPr>
      </w:pPr>
      <w:r>
        <w:rPr>
          <w:rFonts w:ascii="Times New Roman" w:hAnsi="Times New Roman" w:cs="Times New Roman"/>
        </w:rPr>
        <w:t>6、检查井外壁的砌体砂浆强度达到设计要求后方可回填，路面范围内的井室周围应采用强度高，易密实的材料回填，保证压实度，其每侧宽度不得小于40cm，并应与路基同时回填，不能同时进行，应留台阶接茬。</w:t>
      </w:r>
    </w:p>
    <w:p w14:paraId="12863823">
      <w:pPr>
        <w:pStyle w:val="4"/>
        <w:rPr>
          <w:rFonts w:ascii="Times New Roman" w:hAnsi="Times New Roman" w:cs="Times New Roman"/>
        </w:rPr>
      </w:pPr>
      <w:bookmarkStart w:id="69" w:name="_Toc348"/>
      <w:r>
        <w:rPr>
          <w:rFonts w:ascii="Times New Roman" w:hAnsi="Times New Roman" w:cs="Times New Roman"/>
        </w:rPr>
        <w:t>排水构筑物</w:t>
      </w:r>
      <w:bookmarkEnd w:id="69"/>
    </w:p>
    <w:p w14:paraId="5DC951EA">
      <w:pPr>
        <w:ind w:firstLine="480"/>
        <w:rPr>
          <w:rFonts w:ascii="Times New Roman" w:hAnsi="Times New Roman" w:cs="Times New Roman"/>
        </w:rPr>
      </w:pPr>
      <w:r>
        <w:rPr>
          <w:rFonts w:ascii="Times New Roman" w:hAnsi="Times New Roman" w:cs="Times New Roman"/>
        </w:rPr>
        <w:t>污水检查井采用圆形或矩形钢筋混凝土污水检查井，选型及做法详见图集《钢筋混凝土及砖砌排水检查井》（20S515）的污水检查井。</w:t>
      </w:r>
    </w:p>
    <w:p w14:paraId="0B71CA09">
      <w:pPr>
        <w:ind w:firstLine="480"/>
        <w:rPr>
          <w:rFonts w:ascii="Times New Roman" w:hAnsi="Times New Roman" w:cs="Times New Roman"/>
        </w:rPr>
      </w:pPr>
      <w:r>
        <w:rPr>
          <w:rFonts w:ascii="Times New Roman" w:hAnsi="Times New Roman" w:cs="Times New Roman"/>
        </w:rPr>
        <w:t>雨水检查井采用圆形或矩形钢筋混凝土雨水检查井，选型及做法详见图集《钢筋混凝土及砖砌排水检查井》（20S515）的雨水检查井。</w:t>
      </w:r>
    </w:p>
    <w:p w14:paraId="7AF4DFA9">
      <w:pPr>
        <w:ind w:firstLine="480"/>
        <w:rPr>
          <w:rFonts w:ascii="Times New Roman" w:hAnsi="Times New Roman" w:cs="Times New Roman"/>
        </w:rPr>
      </w:pPr>
      <w:r>
        <w:rPr>
          <w:rFonts w:ascii="Times New Roman" w:hAnsi="Times New Roman" w:cs="Times New Roman"/>
        </w:rPr>
        <w:t>检查井内污、雨水管均应采用管顶平接，检查井的内径和构造要求应根据管径、埋深、管道的根数、地面荷载、维护检修等因素按照国标图集选用。由室内通向室外排水检查井的排水管，井内引入管应高于排水管或管顶相平，并有不小于90°的水流转角，当不大于DN300的排水管水流转角小于90°时，应有大于300mm的跌落差。</w:t>
      </w:r>
    </w:p>
    <w:p w14:paraId="1726F3D5">
      <w:pPr>
        <w:ind w:firstLine="480"/>
        <w:rPr>
          <w:rFonts w:ascii="Times New Roman" w:hAnsi="Times New Roman" w:cs="Times New Roman"/>
        </w:rPr>
      </w:pPr>
      <w:r>
        <w:rPr>
          <w:rFonts w:ascii="Times New Roman" w:hAnsi="Times New Roman" w:cs="Times New Roman"/>
        </w:rPr>
        <w:t>排水检查井均采用φ700预制混凝土井筒，球墨铸铁井盖，并于井内增加防坠网，防坠网单绳拉力大于1600N，耐冲击500焦（100kg×0.5米），静态承重300kg，网目小于10cm。选用成品的四防井盖及井座，减少成本和被盗；井内爬梯采用成品的塑钢爬梯，以免生锈腐蚀，提高安全保障。设置在车行道上、停车场时，采用有防护盖座重型球墨铸铁井盖。人行道下和绿化带的检查井采用轻型球墨铸铁井盖。做法详见图集06MS201-6。当检查井、阀门井设置在有装饰要求的地坪上时，其井盖上部可采用相同的同类石材铺砌装饰。排水（雨、污水）检查井按图集做法设置流槽。</w:t>
      </w:r>
    </w:p>
    <w:p w14:paraId="584FAC28">
      <w:pPr>
        <w:ind w:firstLine="480"/>
        <w:rPr>
          <w:rFonts w:ascii="Times New Roman" w:hAnsi="Times New Roman" w:cs="Times New Roman"/>
        </w:rPr>
      </w:pPr>
      <w:r>
        <w:rPr>
          <w:rFonts w:ascii="Times New Roman" w:hAnsi="Times New Roman" w:cs="Times New Roman"/>
        </w:rPr>
        <w:t>雨水排放口采用C30素砼，排放口及下游护砌做法详见图集20S517《排水管道出水口》。</w:t>
      </w:r>
    </w:p>
    <w:p w14:paraId="026EEE1D">
      <w:pPr>
        <w:ind w:firstLine="480"/>
        <w:rPr>
          <w:rFonts w:ascii="Times New Roman" w:hAnsi="Times New Roman" w:cs="Times New Roman"/>
        </w:rPr>
      </w:pPr>
      <w:r>
        <w:rPr>
          <w:rFonts w:ascii="Times New Roman" w:hAnsi="Times New Roman" w:cs="Times New Roman"/>
        </w:rPr>
        <w:t xml:space="preserve">雨水口设于有道牙的路面时采用砖砌偏沟式雨水口，设于无牙道的路面时采用砖砌平箅式雨水口，井圈、箅子均为球墨铸铁。雨水口连接管为DN200~DN300，以0.01的坡度坡向雨水检查井。路面最低点增设雨水口。雨水口做法详图集16S518,页8、页11。 </w:t>
      </w:r>
    </w:p>
    <w:p w14:paraId="3680405C">
      <w:pPr>
        <w:pStyle w:val="4"/>
        <w:rPr>
          <w:rFonts w:ascii="Times New Roman" w:hAnsi="Times New Roman" w:cs="Times New Roman"/>
        </w:rPr>
      </w:pPr>
      <w:bookmarkStart w:id="70" w:name="_Toc21076"/>
      <w:r>
        <w:rPr>
          <w:rFonts w:ascii="Times New Roman" w:hAnsi="Times New Roman" w:cs="Times New Roman"/>
        </w:rPr>
        <w:t>管道改造提升</w:t>
      </w:r>
      <w:bookmarkEnd w:id="70"/>
    </w:p>
    <w:p w14:paraId="27E8C206">
      <w:pPr>
        <w:pStyle w:val="5"/>
        <w:rPr>
          <w:rFonts w:ascii="Times New Roman" w:hAnsi="Times New Roman" w:cs="Times New Roman"/>
        </w:rPr>
      </w:pPr>
      <w:r>
        <w:rPr>
          <w:rFonts w:ascii="Times New Roman" w:hAnsi="Times New Roman" w:cs="Times New Roman"/>
        </w:rPr>
        <w:t>改造范围及内容</w:t>
      </w:r>
    </w:p>
    <w:p w14:paraId="3C519BE1">
      <w:pPr>
        <w:ind w:firstLine="480"/>
        <w:rPr>
          <w:rFonts w:ascii="Times New Roman" w:hAnsi="Times New Roman" w:cs="Times New Roman"/>
        </w:rPr>
      </w:pPr>
      <w:r>
        <w:rPr>
          <w:rFonts w:ascii="Times New Roman" w:hAnsi="Times New Roman" w:cs="Times New Roman"/>
        </w:rPr>
        <w:t>1、对以下范围进行现状排水系统改造提升，主要改造内容为更换检查井盖及清淤：</w:t>
      </w:r>
    </w:p>
    <w:p w14:paraId="219788FA">
      <w:pPr>
        <w:ind w:firstLine="482"/>
        <w:jc w:val="center"/>
        <w:rPr>
          <w:rFonts w:ascii="Times New Roman" w:hAnsi="Times New Roman" w:cs="Times New Roman"/>
          <w:b/>
        </w:rPr>
      </w:pPr>
      <w:r>
        <w:rPr>
          <w:rFonts w:ascii="Times New Roman" w:hAnsi="Times New Roman" w:cs="Times New Roman"/>
          <w:b/>
        </w:rPr>
        <w:t>现状排水系统改造提升汇总表</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6"/>
        <w:gridCol w:w="6216"/>
        <w:gridCol w:w="1560"/>
        <w:gridCol w:w="2072"/>
      </w:tblGrid>
      <w:tr w14:paraId="7325E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696" w:type="dxa"/>
            <w:shd w:val="clear" w:color="auto" w:fill="auto"/>
            <w:noWrap/>
            <w:vAlign w:val="center"/>
          </w:tcPr>
          <w:p w14:paraId="52D1AECF">
            <w:pPr>
              <w:pStyle w:val="53"/>
            </w:pPr>
            <w:r>
              <w:t>序号</w:t>
            </w:r>
          </w:p>
        </w:tc>
        <w:tc>
          <w:tcPr>
            <w:tcW w:w="6216" w:type="dxa"/>
            <w:shd w:val="clear" w:color="auto" w:fill="auto"/>
            <w:noWrap/>
            <w:vAlign w:val="center"/>
          </w:tcPr>
          <w:p w14:paraId="4E6FD2C8">
            <w:pPr>
              <w:pStyle w:val="53"/>
            </w:pPr>
            <w:r>
              <w:t>道路名称</w:t>
            </w:r>
          </w:p>
        </w:tc>
        <w:tc>
          <w:tcPr>
            <w:tcW w:w="1560" w:type="dxa"/>
            <w:shd w:val="clear" w:color="auto" w:fill="auto"/>
            <w:noWrap/>
            <w:vAlign w:val="center"/>
          </w:tcPr>
          <w:p w14:paraId="2114453D">
            <w:pPr>
              <w:pStyle w:val="53"/>
            </w:pPr>
            <w:r>
              <w:t>长度（m）</w:t>
            </w:r>
          </w:p>
        </w:tc>
        <w:tc>
          <w:tcPr>
            <w:tcW w:w="2072" w:type="dxa"/>
            <w:shd w:val="clear" w:color="auto" w:fill="auto"/>
            <w:noWrap/>
            <w:vAlign w:val="center"/>
          </w:tcPr>
          <w:p w14:paraId="69D8369D">
            <w:pPr>
              <w:pStyle w:val="53"/>
            </w:pPr>
            <w:r>
              <w:t>备注</w:t>
            </w:r>
          </w:p>
        </w:tc>
      </w:tr>
      <w:tr w14:paraId="7ADBF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696" w:type="dxa"/>
            <w:shd w:val="clear" w:color="auto" w:fill="auto"/>
            <w:vAlign w:val="center"/>
          </w:tcPr>
          <w:p w14:paraId="214BAE69">
            <w:pPr>
              <w:pStyle w:val="53"/>
            </w:pPr>
            <w:r>
              <w:t>1</w:t>
            </w:r>
          </w:p>
        </w:tc>
        <w:tc>
          <w:tcPr>
            <w:tcW w:w="6216" w:type="dxa"/>
            <w:shd w:val="clear" w:color="auto" w:fill="auto"/>
            <w:vAlign w:val="center"/>
          </w:tcPr>
          <w:p w14:paraId="6FB9670B">
            <w:pPr>
              <w:pStyle w:val="53"/>
            </w:pPr>
            <w:r>
              <w:t>迎宾大道-(金宜大道-高家堡)东西两侧</w:t>
            </w:r>
          </w:p>
        </w:tc>
        <w:tc>
          <w:tcPr>
            <w:tcW w:w="1560" w:type="dxa"/>
            <w:shd w:val="clear" w:color="auto" w:fill="auto"/>
            <w:noWrap/>
            <w:vAlign w:val="center"/>
          </w:tcPr>
          <w:p w14:paraId="06A29469">
            <w:pPr>
              <w:pStyle w:val="53"/>
            </w:pPr>
            <w:r>
              <w:t>5700</w:t>
            </w:r>
          </w:p>
        </w:tc>
        <w:tc>
          <w:tcPr>
            <w:tcW w:w="2072" w:type="dxa"/>
            <w:vMerge w:val="restart"/>
            <w:shd w:val="clear" w:color="auto" w:fill="auto"/>
            <w:noWrap/>
            <w:vAlign w:val="center"/>
          </w:tcPr>
          <w:p w14:paraId="43622952">
            <w:pPr>
              <w:pStyle w:val="53"/>
            </w:pPr>
            <w:r>
              <w:t>更换检查井盖及清淤，换检查井盖数量为155个，清淤为5830m³。　</w:t>
            </w:r>
          </w:p>
        </w:tc>
      </w:tr>
      <w:tr w14:paraId="172BD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696" w:type="dxa"/>
            <w:shd w:val="clear" w:color="auto" w:fill="auto"/>
            <w:vAlign w:val="center"/>
          </w:tcPr>
          <w:p w14:paraId="59EB36F8">
            <w:pPr>
              <w:pStyle w:val="53"/>
            </w:pPr>
            <w:r>
              <w:t>2</w:t>
            </w:r>
          </w:p>
        </w:tc>
        <w:tc>
          <w:tcPr>
            <w:tcW w:w="6216" w:type="dxa"/>
            <w:shd w:val="clear" w:color="auto" w:fill="auto"/>
            <w:vAlign w:val="center"/>
          </w:tcPr>
          <w:p w14:paraId="309D9783">
            <w:pPr>
              <w:pStyle w:val="53"/>
            </w:pPr>
            <w:r>
              <w:t>黄莺路-(西屏路-山谷路）</w:t>
            </w:r>
          </w:p>
        </w:tc>
        <w:tc>
          <w:tcPr>
            <w:tcW w:w="1560" w:type="dxa"/>
            <w:shd w:val="clear" w:color="auto" w:fill="auto"/>
            <w:noWrap/>
            <w:vAlign w:val="center"/>
          </w:tcPr>
          <w:p w14:paraId="481326A2">
            <w:pPr>
              <w:pStyle w:val="53"/>
            </w:pPr>
            <w:r>
              <w:t>1283</w:t>
            </w:r>
          </w:p>
        </w:tc>
        <w:tc>
          <w:tcPr>
            <w:tcW w:w="2072" w:type="dxa"/>
            <w:vMerge w:val="continue"/>
            <w:shd w:val="clear" w:color="auto" w:fill="auto"/>
            <w:noWrap/>
            <w:vAlign w:val="center"/>
          </w:tcPr>
          <w:p w14:paraId="58493EA7">
            <w:pPr>
              <w:pStyle w:val="53"/>
            </w:pPr>
          </w:p>
        </w:tc>
      </w:tr>
      <w:tr w14:paraId="53A3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696" w:type="dxa"/>
            <w:shd w:val="clear" w:color="auto" w:fill="auto"/>
            <w:vAlign w:val="center"/>
          </w:tcPr>
          <w:p w14:paraId="144D1C3C">
            <w:pPr>
              <w:pStyle w:val="53"/>
            </w:pPr>
            <w:r>
              <w:t>3</w:t>
            </w:r>
          </w:p>
        </w:tc>
        <w:tc>
          <w:tcPr>
            <w:tcW w:w="6216" w:type="dxa"/>
            <w:shd w:val="clear" w:color="auto" w:fill="auto"/>
            <w:vAlign w:val="center"/>
          </w:tcPr>
          <w:p w14:paraId="6FD41F19">
            <w:pPr>
              <w:pStyle w:val="53"/>
            </w:pPr>
            <w:r>
              <w:t>龙溪路-(迎宾大道-解放路）</w:t>
            </w:r>
          </w:p>
        </w:tc>
        <w:tc>
          <w:tcPr>
            <w:tcW w:w="1560" w:type="dxa"/>
            <w:shd w:val="clear" w:color="auto" w:fill="auto"/>
            <w:noWrap/>
            <w:vAlign w:val="center"/>
          </w:tcPr>
          <w:p w14:paraId="4B9449FF">
            <w:pPr>
              <w:pStyle w:val="53"/>
            </w:pPr>
            <w:r>
              <w:t>368</w:t>
            </w:r>
          </w:p>
        </w:tc>
        <w:tc>
          <w:tcPr>
            <w:tcW w:w="2072" w:type="dxa"/>
            <w:vMerge w:val="continue"/>
            <w:shd w:val="clear" w:color="auto" w:fill="auto"/>
            <w:noWrap/>
            <w:vAlign w:val="center"/>
          </w:tcPr>
          <w:p w14:paraId="35A4F5C5">
            <w:pPr>
              <w:pStyle w:val="53"/>
            </w:pPr>
          </w:p>
        </w:tc>
      </w:tr>
      <w:tr w14:paraId="41DC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696" w:type="dxa"/>
            <w:shd w:val="clear" w:color="auto" w:fill="auto"/>
            <w:vAlign w:val="center"/>
          </w:tcPr>
          <w:p w14:paraId="5667B4B1">
            <w:pPr>
              <w:pStyle w:val="53"/>
            </w:pPr>
            <w:r>
              <w:t>4</w:t>
            </w:r>
          </w:p>
        </w:tc>
        <w:tc>
          <w:tcPr>
            <w:tcW w:w="6216" w:type="dxa"/>
            <w:shd w:val="clear" w:color="auto" w:fill="auto"/>
            <w:vAlign w:val="center"/>
          </w:tcPr>
          <w:p w14:paraId="1CA842B2">
            <w:pPr>
              <w:pStyle w:val="53"/>
            </w:pPr>
            <w:r>
              <w:t>山谷路-(迎宾大道-解放路）</w:t>
            </w:r>
          </w:p>
        </w:tc>
        <w:tc>
          <w:tcPr>
            <w:tcW w:w="1560" w:type="dxa"/>
            <w:shd w:val="clear" w:color="auto" w:fill="auto"/>
            <w:noWrap/>
            <w:vAlign w:val="center"/>
          </w:tcPr>
          <w:p w14:paraId="3A4B642D">
            <w:pPr>
              <w:pStyle w:val="53"/>
            </w:pPr>
            <w:r>
              <w:t>2605</w:t>
            </w:r>
          </w:p>
        </w:tc>
        <w:tc>
          <w:tcPr>
            <w:tcW w:w="2072" w:type="dxa"/>
            <w:vMerge w:val="continue"/>
            <w:shd w:val="clear" w:color="auto" w:fill="auto"/>
            <w:noWrap/>
            <w:vAlign w:val="center"/>
          </w:tcPr>
          <w:p w14:paraId="7AF04942">
            <w:pPr>
              <w:pStyle w:val="53"/>
            </w:pPr>
          </w:p>
        </w:tc>
      </w:tr>
      <w:tr w14:paraId="5F8F1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696" w:type="dxa"/>
            <w:shd w:val="clear" w:color="auto" w:fill="auto"/>
            <w:vAlign w:val="center"/>
          </w:tcPr>
          <w:p w14:paraId="76E9F3AE">
            <w:pPr>
              <w:pStyle w:val="53"/>
            </w:pPr>
            <w:r>
              <w:t>5</w:t>
            </w:r>
          </w:p>
        </w:tc>
        <w:tc>
          <w:tcPr>
            <w:tcW w:w="6216" w:type="dxa"/>
            <w:shd w:val="clear" w:color="auto" w:fill="auto"/>
            <w:vAlign w:val="center"/>
          </w:tcPr>
          <w:p w14:paraId="2129BA3A">
            <w:pPr>
              <w:pStyle w:val="53"/>
            </w:pPr>
            <w:r>
              <w:t>南山路-(西屏路-山谷路）</w:t>
            </w:r>
          </w:p>
        </w:tc>
        <w:tc>
          <w:tcPr>
            <w:tcW w:w="1560" w:type="dxa"/>
            <w:shd w:val="clear" w:color="auto" w:fill="auto"/>
            <w:noWrap/>
            <w:vAlign w:val="center"/>
          </w:tcPr>
          <w:p w14:paraId="3CC635C3">
            <w:pPr>
              <w:pStyle w:val="53"/>
            </w:pPr>
            <w:r>
              <w:t>1290</w:t>
            </w:r>
          </w:p>
        </w:tc>
        <w:tc>
          <w:tcPr>
            <w:tcW w:w="2072" w:type="dxa"/>
            <w:vMerge w:val="continue"/>
            <w:shd w:val="clear" w:color="auto" w:fill="auto"/>
            <w:noWrap/>
            <w:vAlign w:val="center"/>
          </w:tcPr>
          <w:p w14:paraId="363A81D9">
            <w:pPr>
              <w:pStyle w:val="53"/>
            </w:pPr>
          </w:p>
        </w:tc>
      </w:tr>
      <w:tr w14:paraId="59405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696" w:type="dxa"/>
            <w:shd w:val="clear" w:color="auto" w:fill="auto"/>
            <w:vAlign w:val="center"/>
          </w:tcPr>
          <w:p w14:paraId="06C95F19">
            <w:pPr>
              <w:pStyle w:val="53"/>
            </w:pPr>
            <w:r>
              <w:t>6</w:t>
            </w:r>
          </w:p>
        </w:tc>
        <w:tc>
          <w:tcPr>
            <w:tcW w:w="6216" w:type="dxa"/>
            <w:shd w:val="clear" w:color="auto" w:fill="auto"/>
            <w:vAlign w:val="center"/>
          </w:tcPr>
          <w:p w14:paraId="12A17162">
            <w:pPr>
              <w:pStyle w:val="53"/>
            </w:pPr>
            <w:r>
              <w:t>中山大道-(迎宾大道-刘三姐大道）南北两侧</w:t>
            </w:r>
          </w:p>
        </w:tc>
        <w:tc>
          <w:tcPr>
            <w:tcW w:w="1560" w:type="dxa"/>
            <w:shd w:val="clear" w:color="auto" w:fill="auto"/>
            <w:noWrap/>
            <w:vAlign w:val="center"/>
          </w:tcPr>
          <w:p w14:paraId="44854947">
            <w:pPr>
              <w:pStyle w:val="53"/>
            </w:pPr>
            <w:r>
              <w:t>6342</w:t>
            </w:r>
          </w:p>
        </w:tc>
        <w:tc>
          <w:tcPr>
            <w:tcW w:w="2072" w:type="dxa"/>
            <w:vMerge w:val="continue"/>
            <w:shd w:val="clear" w:color="auto" w:fill="auto"/>
            <w:noWrap/>
            <w:vAlign w:val="center"/>
          </w:tcPr>
          <w:p w14:paraId="16041233">
            <w:pPr>
              <w:pStyle w:val="53"/>
            </w:pPr>
          </w:p>
        </w:tc>
      </w:tr>
      <w:tr w14:paraId="266FC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696" w:type="dxa"/>
            <w:shd w:val="clear" w:color="auto" w:fill="auto"/>
            <w:vAlign w:val="center"/>
          </w:tcPr>
          <w:p w14:paraId="061DE6F9">
            <w:pPr>
              <w:spacing w:line="240" w:lineRule="auto"/>
              <w:ind w:firstLine="0" w:firstLineChars="0"/>
              <w:jc w:val="center"/>
              <w:rPr>
                <w:rFonts w:ascii="Times New Roman" w:hAnsi="Times New Roman" w:cs="Times New Roman"/>
              </w:rPr>
            </w:pPr>
            <w:r>
              <w:rPr>
                <w:rFonts w:ascii="Times New Roman" w:hAnsi="Times New Roman" w:cs="Times New Roman"/>
              </w:rPr>
              <w:t>7</w:t>
            </w:r>
          </w:p>
        </w:tc>
        <w:tc>
          <w:tcPr>
            <w:tcW w:w="6216" w:type="dxa"/>
            <w:shd w:val="clear" w:color="auto" w:fill="auto"/>
            <w:vAlign w:val="center"/>
          </w:tcPr>
          <w:p w14:paraId="31289508">
            <w:pPr>
              <w:spacing w:line="240" w:lineRule="auto"/>
              <w:ind w:firstLine="0" w:firstLineChars="0"/>
              <w:jc w:val="center"/>
              <w:rPr>
                <w:rFonts w:ascii="Times New Roman" w:hAnsi="Times New Roman" w:cs="Times New Roman"/>
              </w:rPr>
            </w:pPr>
            <w:r>
              <w:rPr>
                <w:rFonts w:ascii="Times New Roman" w:hAnsi="Times New Roman" w:cs="Times New Roman"/>
              </w:rPr>
              <w:t>解放路</w:t>
            </w:r>
          </w:p>
        </w:tc>
        <w:tc>
          <w:tcPr>
            <w:tcW w:w="1560" w:type="dxa"/>
            <w:shd w:val="clear" w:color="auto" w:fill="auto"/>
            <w:noWrap/>
            <w:vAlign w:val="center"/>
          </w:tcPr>
          <w:p w14:paraId="38DC0361">
            <w:pPr>
              <w:spacing w:line="240" w:lineRule="auto"/>
              <w:ind w:firstLine="0" w:firstLineChars="0"/>
              <w:jc w:val="center"/>
              <w:rPr>
                <w:rFonts w:ascii="Times New Roman" w:hAnsi="Times New Roman" w:cs="Times New Roman"/>
              </w:rPr>
            </w:pPr>
            <w:r>
              <w:rPr>
                <w:rFonts w:ascii="Times New Roman" w:hAnsi="Times New Roman" w:cs="Times New Roman"/>
              </w:rPr>
              <w:t>825</w:t>
            </w:r>
          </w:p>
        </w:tc>
        <w:tc>
          <w:tcPr>
            <w:tcW w:w="2072" w:type="dxa"/>
            <w:vMerge w:val="continue"/>
            <w:shd w:val="clear" w:color="auto" w:fill="auto"/>
            <w:noWrap/>
            <w:vAlign w:val="center"/>
          </w:tcPr>
          <w:p w14:paraId="064DC0D2">
            <w:pPr>
              <w:spacing w:line="240" w:lineRule="auto"/>
              <w:ind w:firstLine="0" w:firstLineChars="0"/>
              <w:jc w:val="center"/>
              <w:rPr>
                <w:rFonts w:ascii="Times New Roman" w:hAnsi="Times New Roman" w:cs="Times New Roman"/>
              </w:rPr>
            </w:pPr>
          </w:p>
        </w:tc>
      </w:tr>
      <w:tr w14:paraId="2FC1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696" w:type="dxa"/>
            <w:shd w:val="clear" w:color="auto" w:fill="auto"/>
            <w:vAlign w:val="center"/>
          </w:tcPr>
          <w:p w14:paraId="26FD08C3">
            <w:pPr>
              <w:spacing w:line="240" w:lineRule="auto"/>
              <w:ind w:firstLine="0" w:firstLineChars="0"/>
              <w:jc w:val="center"/>
              <w:rPr>
                <w:rFonts w:ascii="Times New Roman" w:hAnsi="Times New Roman" w:cs="Times New Roman"/>
              </w:rPr>
            </w:pPr>
            <w:r>
              <w:rPr>
                <w:rFonts w:ascii="Times New Roman" w:hAnsi="Times New Roman" w:cs="Times New Roman"/>
              </w:rPr>
              <w:t>8</w:t>
            </w:r>
          </w:p>
        </w:tc>
        <w:tc>
          <w:tcPr>
            <w:tcW w:w="6216" w:type="dxa"/>
            <w:shd w:val="clear" w:color="auto" w:fill="auto"/>
            <w:vAlign w:val="center"/>
          </w:tcPr>
          <w:p w14:paraId="3855DC9B">
            <w:pPr>
              <w:spacing w:line="240" w:lineRule="auto"/>
              <w:ind w:firstLine="0" w:firstLineChars="0"/>
              <w:jc w:val="center"/>
              <w:rPr>
                <w:rFonts w:ascii="Times New Roman" w:hAnsi="Times New Roman" w:cs="Times New Roman"/>
              </w:rPr>
            </w:pPr>
            <w:r>
              <w:rPr>
                <w:rFonts w:ascii="Times New Roman" w:hAnsi="Times New Roman" w:cs="Times New Roman"/>
              </w:rPr>
              <w:t>九龙路</w:t>
            </w:r>
          </w:p>
        </w:tc>
        <w:tc>
          <w:tcPr>
            <w:tcW w:w="1560" w:type="dxa"/>
            <w:shd w:val="clear" w:color="auto" w:fill="auto"/>
            <w:noWrap/>
            <w:vAlign w:val="center"/>
          </w:tcPr>
          <w:p w14:paraId="3CB98F15">
            <w:pPr>
              <w:spacing w:line="240" w:lineRule="auto"/>
              <w:ind w:firstLine="0" w:firstLineChars="0"/>
              <w:jc w:val="center"/>
              <w:rPr>
                <w:rFonts w:ascii="Times New Roman" w:hAnsi="Times New Roman" w:cs="Times New Roman"/>
              </w:rPr>
            </w:pPr>
            <w:r>
              <w:rPr>
                <w:rFonts w:ascii="Times New Roman" w:hAnsi="Times New Roman" w:cs="Times New Roman"/>
              </w:rPr>
              <w:t>9300</w:t>
            </w:r>
          </w:p>
        </w:tc>
        <w:tc>
          <w:tcPr>
            <w:tcW w:w="2072" w:type="dxa"/>
            <w:vMerge w:val="continue"/>
            <w:shd w:val="clear" w:color="auto" w:fill="auto"/>
            <w:noWrap/>
            <w:vAlign w:val="center"/>
          </w:tcPr>
          <w:p w14:paraId="03AF44CE">
            <w:pPr>
              <w:spacing w:line="240" w:lineRule="auto"/>
              <w:ind w:firstLine="0" w:firstLineChars="0"/>
              <w:jc w:val="center"/>
              <w:rPr>
                <w:rFonts w:ascii="Times New Roman" w:hAnsi="Times New Roman" w:cs="Times New Roman"/>
              </w:rPr>
            </w:pPr>
          </w:p>
        </w:tc>
      </w:tr>
      <w:tr w14:paraId="48E0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696" w:type="dxa"/>
            <w:shd w:val="clear" w:color="auto" w:fill="auto"/>
            <w:vAlign w:val="center"/>
          </w:tcPr>
          <w:p w14:paraId="2422A7DF">
            <w:pPr>
              <w:spacing w:line="240" w:lineRule="auto"/>
              <w:ind w:firstLine="0" w:firstLineChars="0"/>
              <w:jc w:val="center"/>
              <w:rPr>
                <w:rFonts w:ascii="Times New Roman" w:hAnsi="Times New Roman" w:cs="Times New Roman"/>
              </w:rPr>
            </w:pPr>
          </w:p>
        </w:tc>
        <w:tc>
          <w:tcPr>
            <w:tcW w:w="6216" w:type="dxa"/>
            <w:shd w:val="clear" w:color="auto" w:fill="auto"/>
            <w:vAlign w:val="center"/>
          </w:tcPr>
          <w:p w14:paraId="06218411">
            <w:pPr>
              <w:spacing w:line="240" w:lineRule="auto"/>
              <w:ind w:firstLine="0" w:firstLineChars="0"/>
              <w:jc w:val="center"/>
              <w:rPr>
                <w:rFonts w:ascii="Times New Roman" w:hAnsi="Times New Roman" w:cs="Times New Roman"/>
              </w:rPr>
            </w:pPr>
            <w:r>
              <w:rPr>
                <w:rFonts w:ascii="Times New Roman" w:hAnsi="Times New Roman" w:cs="Times New Roman"/>
              </w:rPr>
              <w:t>合计</w:t>
            </w:r>
          </w:p>
        </w:tc>
        <w:tc>
          <w:tcPr>
            <w:tcW w:w="1560" w:type="dxa"/>
            <w:shd w:val="clear" w:color="auto" w:fill="auto"/>
            <w:noWrap/>
            <w:vAlign w:val="center"/>
          </w:tcPr>
          <w:p w14:paraId="51A204CD">
            <w:pPr>
              <w:spacing w:line="240" w:lineRule="auto"/>
              <w:ind w:firstLine="0" w:firstLineChars="0"/>
              <w:jc w:val="center"/>
              <w:rPr>
                <w:rFonts w:ascii="Times New Roman" w:hAnsi="Times New Roman" w:cs="Times New Roman"/>
              </w:rPr>
            </w:pPr>
            <w:r>
              <w:rPr>
                <w:rFonts w:ascii="Times New Roman" w:hAnsi="Times New Roman" w:cs="Times New Roman"/>
              </w:rPr>
              <w:t>19434</w:t>
            </w:r>
          </w:p>
        </w:tc>
        <w:tc>
          <w:tcPr>
            <w:tcW w:w="2072" w:type="dxa"/>
            <w:vMerge w:val="continue"/>
            <w:shd w:val="clear" w:color="auto" w:fill="auto"/>
            <w:noWrap/>
            <w:vAlign w:val="center"/>
          </w:tcPr>
          <w:p w14:paraId="2FAD4AD0">
            <w:pPr>
              <w:spacing w:line="240" w:lineRule="auto"/>
              <w:ind w:firstLine="0" w:firstLineChars="0"/>
              <w:jc w:val="center"/>
              <w:rPr>
                <w:rFonts w:ascii="Times New Roman" w:hAnsi="Times New Roman" w:cs="Times New Roman"/>
              </w:rPr>
            </w:pPr>
          </w:p>
        </w:tc>
      </w:tr>
    </w:tbl>
    <w:p w14:paraId="3C2FA699">
      <w:pPr>
        <w:numPr>
          <w:ilvl w:val="0"/>
          <w:numId w:val="6"/>
        </w:numPr>
        <w:ind w:firstLine="480"/>
        <w:rPr>
          <w:rFonts w:ascii="Times New Roman" w:hAnsi="Times New Roman" w:cs="Times New Roman"/>
        </w:rPr>
      </w:pPr>
      <w:r>
        <w:rPr>
          <w:rFonts w:ascii="Times New Roman" w:hAnsi="Times New Roman" w:cs="Times New Roman"/>
        </w:rPr>
        <w:t>（1）因部分居民楼污水排出管发生破损导致生活污水外溢，本次拟对污水接户管破损之处进行更新改造。主要分布在污水管W12、W13沿线；一桥至二桥污水主管沿线共8处改造点，改造处需新建DN600管道240m及适量接户管，改造接管原理详见PDY-13“污水收集支管接入大样图”。（2）公园西路（玻钢厂内）新增2座检查井，DN500排水管30m。（3）新增DN500微型顶管施工120m，检查井2座。（4）本次设计雨水管Y06沿线存在部分现状DN800雨水管，该现状管影响本次设计管道的实施，故需对其及混凝土基础进行拆除，拆除长度范围约290m，桩号范围K0+000~K0+180、K0+200~K0+310。（5）对城西片区的江州路、粤州西路、永丰路、文广路、思贤路、园村路、丹桂路、古榕路等处的雨污合流排水系统进行分流改造，雨水排入新建的雨水管道系统，将原排水沟改为污水排水系统，同时在原排水沟处增设检查井，将生活污水接入改造后的排水系统。改造现状排水沟按约50m设置一座污水检查井，上述范围共计设置154污水检查井，改造过程中需拆除的道路、管道等相关现状构筑物均原状恢复。（6）污水07、污水09、污水11等管道沿现状箱涵内敷设段需对箱涵内的淤泥进行清淤，清淤量另见统计。（7）山水二路东侧排洪渠改造：本次设计为山水二路排洪渠改造部分，从规划一路东侧现状排洪渠接入排洪箱涵入口处经过规划一路、下穿宜州市粮食局直属粮库地块，经山水二路接入铁路职工小区东侧现状排洪渠内。箱涵宽3.5米、高3米，全长42米，具体另见箱涵设计说明及设计图。</w:t>
      </w:r>
    </w:p>
    <w:p w14:paraId="5A79017C">
      <w:pPr>
        <w:pStyle w:val="5"/>
        <w:rPr>
          <w:rFonts w:ascii="Times New Roman" w:hAnsi="Times New Roman" w:cs="Times New Roman"/>
        </w:rPr>
      </w:pPr>
      <w:r>
        <w:rPr>
          <w:rFonts w:ascii="Times New Roman" w:hAnsi="Times New Roman" w:cs="Times New Roman"/>
        </w:rPr>
        <w:t>更换井盖改造</w:t>
      </w:r>
    </w:p>
    <w:p w14:paraId="75A869F9">
      <w:pPr>
        <w:ind w:firstLine="480"/>
        <w:rPr>
          <w:rFonts w:ascii="Times New Roman" w:hAnsi="Times New Roman" w:cs="Times New Roman"/>
        </w:rPr>
      </w:pPr>
      <w:r>
        <w:rPr>
          <w:rFonts w:ascii="Times New Roman" w:hAnsi="Times New Roman" w:cs="Times New Roman"/>
        </w:rPr>
        <w:t>排水井盖更换要求按“排水构筑物”说明的井盖要求。</w:t>
      </w:r>
    </w:p>
    <w:p w14:paraId="09845D97">
      <w:pPr>
        <w:pStyle w:val="5"/>
        <w:rPr>
          <w:rFonts w:ascii="Times New Roman" w:hAnsi="Times New Roman" w:cs="Times New Roman"/>
        </w:rPr>
      </w:pPr>
      <w:r>
        <w:rPr>
          <w:rFonts w:ascii="Times New Roman" w:hAnsi="Times New Roman" w:cs="Times New Roman"/>
        </w:rPr>
        <w:t>管道清淤疏通</w:t>
      </w:r>
    </w:p>
    <w:p w14:paraId="42A9B576">
      <w:pPr>
        <w:ind w:firstLine="480"/>
        <w:rPr>
          <w:rFonts w:ascii="Times New Roman" w:hAnsi="Times New Roman" w:cs="Times New Roman"/>
        </w:rPr>
      </w:pPr>
      <w:r>
        <w:rPr>
          <w:rFonts w:ascii="Times New Roman" w:hAnsi="Times New Roman" w:cs="Times New Roman"/>
        </w:rPr>
        <w:t>管道清淤疏通，管道清淤采用机械清淤，清淤施工流程如下：</w:t>
      </w:r>
    </w:p>
    <w:p w14:paraId="34EF629A">
      <w:pPr>
        <w:ind w:firstLine="480"/>
        <w:rPr>
          <w:rFonts w:ascii="Times New Roman" w:hAnsi="Times New Roman" w:cs="Times New Roman"/>
        </w:rPr>
      </w:pPr>
      <w:r>
        <w:rPr>
          <w:rFonts w:ascii="Times New Roman" w:hAnsi="Times New Roman" w:cs="Times New Roman"/>
        </w:rPr>
        <w:t>1、施工准备</w:t>
      </w:r>
    </w:p>
    <w:p w14:paraId="5CC347D2">
      <w:pPr>
        <w:ind w:firstLine="480"/>
        <w:rPr>
          <w:rFonts w:ascii="Times New Roman" w:hAnsi="Times New Roman" w:cs="Times New Roman"/>
        </w:rPr>
      </w:pPr>
      <w:r>
        <w:rPr>
          <w:rFonts w:ascii="Times New Roman" w:hAnsi="Times New Roman" w:cs="Times New Roman"/>
        </w:rPr>
        <w:t>（1）揭开井盖使大气中的氧气进入检查井中或用鼓风机进行换气通风；了解污水井管道使用年限，使用情况，堵塞情况，埋入和露出建筑物部分有无损坏等问题。</w:t>
      </w:r>
    </w:p>
    <w:p w14:paraId="0D91DF0A">
      <w:pPr>
        <w:ind w:firstLine="480"/>
        <w:rPr>
          <w:rFonts w:ascii="Times New Roman" w:hAnsi="Times New Roman" w:cs="Times New Roman"/>
        </w:rPr>
      </w:pPr>
      <w:r>
        <w:rPr>
          <w:rFonts w:ascii="Times New Roman" w:hAnsi="Times New Roman" w:cs="Times New Roman"/>
        </w:rPr>
        <w:t>（2）测量人员根据图纸上的检查井施工所在的位置进行测量摸底工作。通过专业测量人员对现状污水井内淤泥高程、管径、管道走向进行测量摸底，与图纸和设计资料进行复查、核对；使测量摸底的数据准确无误。</w:t>
      </w:r>
    </w:p>
    <w:p w14:paraId="4A293C71">
      <w:pPr>
        <w:ind w:firstLine="480"/>
        <w:rPr>
          <w:rFonts w:ascii="Times New Roman" w:hAnsi="Times New Roman" w:cs="Times New Roman"/>
        </w:rPr>
      </w:pPr>
      <w:r>
        <w:rPr>
          <w:rFonts w:ascii="Times New Roman" w:hAnsi="Times New Roman" w:cs="Times New Roman"/>
        </w:rPr>
        <w:t>（3）根据施工进度计划安排，施工前对施工机具已安排到位并且对机械设备做好了检查、维修和必要的保养工作，确保施工设备的正常使用。</w:t>
      </w:r>
    </w:p>
    <w:p w14:paraId="2DA6B96D">
      <w:pPr>
        <w:ind w:firstLine="480"/>
        <w:rPr>
          <w:rFonts w:ascii="Times New Roman" w:hAnsi="Times New Roman" w:cs="Times New Roman"/>
        </w:rPr>
      </w:pPr>
      <w:r>
        <w:rPr>
          <w:rFonts w:ascii="Times New Roman" w:hAnsi="Times New Roman" w:cs="Times New Roman"/>
        </w:rPr>
        <w:t>（4）抓好安全文明施工工作。施工前已制作了大小围挡，订做了施工安全帽、工作服、安全条幅等安全施工用品。</w:t>
      </w:r>
    </w:p>
    <w:p w14:paraId="0EE5A80C">
      <w:pPr>
        <w:ind w:firstLine="480"/>
        <w:rPr>
          <w:rFonts w:ascii="Times New Roman" w:hAnsi="Times New Roman" w:cs="Times New Roman"/>
        </w:rPr>
      </w:pPr>
      <w:r>
        <w:rPr>
          <w:rFonts w:ascii="Times New Roman" w:hAnsi="Times New Roman" w:cs="Times New Roman"/>
        </w:rPr>
        <w:t>（5）施工期间成立安全文明施工队伍清扫泥浆、车辆沾带的泥土、围挡加固，保证市容及周围环境干净、保证做好交通组织宣传工作。</w:t>
      </w:r>
    </w:p>
    <w:p w14:paraId="40EC8365">
      <w:pPr>
        <w:ind w:firstLine="480"/>
        <w:rPr>
          <w:rFonts w:ascii="Times New Roman" w:hAnsi="Times New Roman" w:cs="Times New Roman"/>
        </w:rPr>
      </w:pPr>
      <w:r>
        <w:rPr>
          <w:rFonts w:ascii="Times New Roman" w:hAnsi="Times New Roman" w:cs="Times New Roman"/>
        </w:rPr>
        <w:t>（6）施工前，对现场管理人员、机械设备驾驶人员、现场施工人员进行专门组织技术培训、安全培训及施工技术交底，学习本工作范围内的相关知识，明确职责。</w:t>
      </w:r>
    </w:p>
    <w:p w14:paraId="53498056">
      <w:pPr>
        <w:ind w:firstLine="480"/>
        <w:rPr>
          <w:rFonts w:ascii="Times New Roman" w:hAnsi="Times New Roman" w:cs="Times New Roman"/>
        </w:rPr>
      </w:pPr>
      <w:r>
        <w:rPr>
          <w:rFonts w:ascii="Times New Roman" w:hAnsi="Times New Roman" w:cs="Times New Roman"/>
        </w:rPr>
        <w:t>（7）施工前检测井内有毒气体浓度，并进行动物中毒康复解毒试验。成立工地临时救生医疗设施，紧急严重情况时及时送达专业医疗医院。</w:t>
      </w:r>
    </w:p>
    <w:p w14:paraId="2008388E">
      <w:pPr>
        <w:ind w:firstLine="480"/>
        <w:rPr>
          <w:rFonts w:ascii="Times New Roman" w:hAnsi="Times New Roman" w:cs="Times New Roman"/>
        </w:rPr>
      </w:pPr>
      <w:r>
        <w:rPr>
          <w:rFonts w:ascii="Times New Roman" w:hAnsi="Times New Roman" w:cs="Times New Roman"/>
        </w:rPr>
        <w:t>（8）施工前配备足够数量的防毒面具、照明矿灯，救生绳具、等防护用品。</w:t>
      </w:r>
    </w:p>
    <w:p w14:paraId="593848EA">
      <w:pPr>
        <w:ind w:firstLine="480"/>
        <w:rPr>
          <w:rFonts w:ascii="Times New Roman" w:hAnsi="Times New Roman" w:cs="Times New Roman"/>
        </w:rPr>
      </w:pPr>
      <w:r>
        <w:rPr>
          <w:rFonts w:ascii="Times New Roman" w:hAnsi="Times New Roman" w:cs="Times New Roman"/>
        </w:rPr>
        <w:t>2、施工工艺</w:t>
      </w:r>
    </w:p>
    <w:p w14:paraId="784E70D0">
      <w:pPr>
        <w:ind w:firstLine="480"/>
        <w:rPr>
          <w:rFonts w:ascii="Times New Roman" w:hAnsi="Times New Roman" w:cs="Times New Roman"/>
        </w:rPr>
      </w:pPr>
      <w:r>
        <w:rPr>
          <w:rFonts w:ascii="Times New Roman" w:hAnsi="Times New Roman" w:cs="Times New Roman"/>
        </w:rPr>
        <w:t>（1）施工工序流程图</w:t>
      </w:r>
    </w:p>
    <w:p w14:paraId="3C32F97E">
      <w:pPr>
        <w:ind w:firstLine="480"/>
        <w:jc w:val="center"/>
        <w:rPr>
          <w:rFonts w:ascii="Times New Roman" w:hAnsi="Times New Roman" w:cs="Times New Roman"/>
        </w:rPr>
      </w:pPr>
      <w:r>
        <w:rPr>
          <w:rFonts w:ascii="Times New Roman" w:hAnsi="Times New Roman" w:cs="Times New Roman"/>
        </w:rPr>
        <w:drawing>
          <wp:inline distT="0" distB="0" distL="0" distR="0">
            <wp:extent cx="4592955" cy="2296795"/>
            <wp:effectExtent l="0" t="0" r="0" b="8255"/>
            <wp:docPr id="259" name="图片 259" descr="C:\Users\Administrator\Documents\WeChat Files\wxid_mbyagqzrqqmy21\FileStorage\Temp\1664210450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descr="C:\Users\Administrator\Documents\WeChat Files\wxid_mbyagqzrqqmy21\FileStorage\Temp\166421045003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592955" cy="2296795"/>
                    </a:xfrm>
                    <a:prstGeom prst="rect">
                      <a:avLst/>
                    </a:prstGeom>
                    <a:noFill/>
                    <a:ln>
                      <a:noFill/>
                    </a:ln>
                  </pic:spPr>
                </pic:pic>
              </a:graphicData>
            </a:graphic>
          </wp:inline>
        </w:drawing>
      </w:r>
    </w:p>
    <w:p w14:paraId="766D681E">
      <w:pPr>
        <w:ind w:firstLine="482"/>
        <w:jc w:val="center"/>
        <w:rPr>
          <w:rFonts w:ascii="Times New Roman" w:hAnsi="Times New Roman" w:cs="Times New Roman"/>
          <w:b/>
        </w:rPr>
      </w:pPr>
      <w:r>
        <w:rPr>
          <w:rFonts w:ascii="Times New Roman" w:hAnsi="Times New Roman" w:cs="Times New Roman"/>
          <w:b/>
        </w:rPr>
        <w:t>施工工序流程图</w:t>
      </w:r>
    </w:p>
    <w:p w14:paraId="75B951B3">
      <w:pPr>
        <w:ind w:firstLine="480"/>
        <w:rPr>
          <w:rFonts w:ascii="Times New Roman" w:hAnsi="Times New Roman" w:cs="Times New Roman"/>
        </w:rPr>
      </w:pPr>
      <w:r>
        <w:rPr>
          <w:rFonts w:ascii="Times New Roman" w:hAnsi="Times New Roman" w:cs="Times New Roman"/>
        </w:rPr>
        <w:t>（2）降水、排水</w:t>
      </w:r>
    </w:p>
    <w:p w14:paraId="087CD336">
      <w:pPr>
        <w:ind w:firstLine="480"/>
        <w:rPr>
          <w:rFonts w:ascii="Times New Roman" w:hAnsi="Times New Roman" w:cs="Times New Roman"/>
        </w:rPr>
      </w:pPr>
      <w:r>
        <w:rPr>
          <w:rFonts w:ascii="Times New Roman" w:hAnsi="Times New Roman" w:cs="Times New Roman"/>
        </w:rPr>
        <w:t>使用泥浆泵将检查井内污水排出至井底淤泥。将需要疏通的管线进行分段，分段的办法根据管径与长度分配，相同管径两检查井之间为一段。</w:t>
      </w:r>
    </w:p>
    <w:p w14:paraId="10973F0C">
      <w:pPr>
        <w:ind w:firstLine="480"/>
        <w:rPr>
          <w:rFonts w:ascii="Times New Roman" w:hAnsi="Times New Roman" w:cs="Times New Roman"/>
        </w:rPr>
      </w:pPr>
      <w:r>
        <w:rPr>
          <w:rFonts w:ascii="Times New Roman" w:hAnsi="Times New Roman" w:cs="Times New Roman"/>
        </w:rPr>
        <w:t>（3）稀释淤泥</w:t>
      </w:r>
    </w:p>
    <w:p w14:paraId="04D59DF4">
      <w:pPr>
        <w:ind w:firstLine="480"/>
        <w:rPr>
          <w:rFonts w:ascii="Times New Roman" w:hAnsi="Times New Roman" w:cs="Times New Roman"/>
        </w:rPr>
      </w:pPr>
      <w:r>
        <w:rPr>
          <w:rFonts w:ascii="Times New Roman" w:hAnsi="Times New Roman" w:cs="Times New Roman"/>
        </w:rPr>
        <w:t>高压水车把分段的两检查井向井室内灌水，使用疏通器搅拌检查井和污水管道内的污泥，使淤泥稀释；人工要配合机械不断地搅动淤泥直至淤泥稀释到水中。</w:t>
      </w:r>
    </w:p>
    <w:p w14:paraId="05B2E8A5">
      <w:pPr>
        <w:ind w:firstLine="480"/>
        <w:rPr>
          <w:rFonts w:ascii="Times New Roman" w:hAnsi="Times New Roman" w:cs="Times New Roman"/>
        </w:rPr>
      </w:pPr>
      <w:r>
        <w:rPr>
          <w:rFonts w:ascii="Times New Roman" w:hAnsi="Times New Roman" w:cs="Times New Roman"/>
        </w:rPr>
        <w:t>（4）吸污</w:t>
      </w:r>
    </w:p>
    <w:p w14:paraId="16EA040D">
      <w:pPr>
        <w:ind w:firstLine="480"/>
        <w:rPr>
          <w:rFonts w:ascii="Times New Roman" w:hAnsi="Times New Roman" w:cs="Times New Roman"/>
        </w:rPr>
      </w:pPr>
      <w:r>
        <w:rPr>
          <w:rFonts w:ascii="Times New Roman" w:hAnsi="Times New Roman" w:cs="Times New Roman"/>
        </w:rPr>
        <w:t>用吸污车将两检查井内淤泥抽吸干净，两检查井剩余少量的淤泥向井室内用高压水枪冲击井底淤泥，再一次进行稀释，然后进行抽吸完毕。</w:t>
      </w:r>
    </w:p>
    <w:p w14:paraId="3E8351BC">
      <w:pPr>
        <w:ind w:firstLine="480"/>
        <w:rPr>
          <w:rFonts w:ascii="Times New Roman" w:hAnsi="Times New Roman" w:cs="Times New Roman"/>
        </w:rPr>
      </w:pPr>
      <w:r>
        <w:rPr>
          <w:rFonts w:ascii="Times New Roman" w:hAnsi="Times New Roman" w:cs="Times New Roman"/>
        </w:rPr>
        <w:t>（5）截污</w:t>
      </w:r>
    </w:p>
    <w:p w14:paraId="100C0F0F">
      <w:pPr>
        <w:ind w:firstLine="480"/>
        <w:rPr>
          <w:rFonts w:ascii="Times New Roman" w:hAnsi="Times New Roman" w:cs="Times New Roman"/>
        </w:rPr>
      </w:pPr>
      <w:r>
        <w:rPr>
          <w:rFonts w:ascii="Times New Roman" w:hAnsi="Times New Roman" w:cs="Times New Roman"/>
        </w:rPr>
        <w:t>设置堵口将自上而下的第一个工作段处用封堵把井室进水管道口堵死，然后将下游检查井出水口和其他管线通口堵死，只留下该段管道的进水口和出水口。</w:t>
      </w:r>
    </w:p>
    <w:p w14:paraId="6FD07C7A">
      <w:pPr>
        <w:ind w:firstLine="480"/>
        <w:rPr>
          <w:rFonts w:ascii="Times New Roman" w:hAnsi="Times New Roman" w:cs="Times New Roman"/>
        </w:rPr>
      </w:pPr>
      <w:r>
        <w:rPr>
          <w:rFonts w:ascii="Times New Roman" w:hAnsi="Times New Roman" w:cs="Times New Roman"/>
        </w:rPr>
        <w:t>（6）高压清洗车疏通</w:t>
      </w:r>
    </w:p>
    <w:p w14:paraId="7640E3D0">
      <w:pPr>
        <w:ind w:firstLine="480"/>
        <w:rPr>
          <w:rFonts w:ascii="Times New Roman" w:hAnsi="Times New Roman" w:cs="Times New Roman"/>
        </w:rPr>
      </w:pPr>
      <w:r>
        <w:rPr>
          <w:rFonts w:ascii="Times New Roman" w:hAnsi="Times New Roman" w:cs="Times New Roman"/>
        </w:rPr>
        <w:t>使用高压清洗车进行管道疏通，将高压清洗车水带伸入上游检查井底部，把喷水口向着管道流水方向对准管道进行喷水，污水管道下游检查井继续对室内淤泥进行吸污。</w:t>
      </w:r>
    </w:p>
    <w:p w14:paraId="575E9839">
      <w:pPr>
        <w:ind w:firstLine="480"/>
        <w:rPr>
          <w:rFonts w:ascii="Times New Roman" w:hAnsi="Times New Roman" w:cs="Times New Roman"/>
        </w:rPr>
      </w:pPr>
      <w:r>
        <w:rPr>
          <w:rFonts w:ascii="Times New Roman" w:hAnsi="Times New Roman" w:cs="Times New Roman"/>
        </w:rPr>
        <w:t>（7）通风</w:t>
      </w:r>
    </w:p>
    <w:p w14:paraId="149C8AEB">
      <w:pPr>
        <w:ind w:firstLine="480"/>
        <w:rPr>
          <w:rFonts w:ascii="Times New Roman" w:hAnsi="Times New Roman" w:cs="Times New Roman"/>
        </w:rPr>
      </w:pPr>
      <w:r>
        <w:rPr>
          <w:rFonts w:ascii="Times New Roman" w:hAnsi="Times New Roman" w:cs="Times New Roman"/>
        </w:rPr>
        <w:t>施工人员进入检查井前，井室内必需使大气中的氧气进入检查井中或用鼓风机进行换气通风，测量井室内氧气的含量，施工人员进入井内必需佩戴安全带、防毒面具及氧气罐。</w:t>
      </w:r>
    </w:p>
    <w:p w14:paraId="70F742C4">
      <w:pPr>
        <w:ind w:firstLine="480"/>
        <w:rPr>
          <w:rFonts w:ascii="Times New Roman" w:hAnsi="Times New Roman" w:cs="Times New Roman"/>
        </w:rPr>
      </w:pPr>
      <w:r>
        <w:rPr>
          <w:rFonts w:ascii="Times New Roman" w:hAnsi="Times New Roman" w:cs="Times New Roman"/>
        </w:rPr>
        <w:t>（8）清淤</w:t>
      </w:r>
    </w:p>
    <w:p w14:paraId="3FFD67F4">
      <w:pPr>
        <w:ind w:firstLine="480"/>
        <w:rPr>
          <w:rFonts w:ascii="Times New Roman" w:hAnsi="Times New Roman" w:cs="Times New Roman"/>
        </w:rPr>
      </w:pPr>
      <w:r>
        <w:rPr>
          <w:rFonts w:ascii="Times New Roman" w:hAnsi="Times New Roman" w:cs="Times New Roman"/>
        </w:rPr>
        <w:t>在下井施工前对施工人员安全措施安排完毕后，对检查井内剩余的砖、石、部分淤泥等残留物进行人工清理，直到清理完毕为止。然后，按照上述说明对下游污水检查井逐个进行清淤，在施工清淤期间对上游首先清理的检查井进行封堵，以防上游的淤泥流入管道或下游施工期间对管道进行充水时流入上游检查井和管道中。</w:t>
      </w:r>
    </w:p>
    <w:p w14:paraId="0D6807F9">
      <w:pPr>
        <w:pStyle w:val="4"/>
        <w:rPr>
          <w:rFonts w:ascii="Times New Roman" w:hAnsi="Times New Roman" w:cs="Times New Roman"/>
        </w:rPr>
      </w:pPr>
      <w:bookmarkStart w:id="71" w:name="_Toc20882"/>
      <w:bookmarkStart w:id="72" w:name="_Toc185094297"/>
      <w:r>
        <w:rPr>
          <w:rFonts w:ascii="Times New Roman" w:hAnsi="Times New Roman" w:cs="Times New Roman"/>
        </w:rPr>
        <w:t>抗震设计</w:t>
      </w:r>
      <w:bookmarkEnd w:id="71"/>
    </w:p>
    <w:p w14:paraId="705ABE8A">
      <w:pPr>
        <w:pStyle w:val="5"/>
      </w:pPr>
      <w:r>
        <w:rPr>
          <w:rFonts w:hint="eastAsia"/>
        </w:rPr>
        <w:t>抗震措施</w:t>
      </w:r>
    </w:p>
    <w:p w14:paraId="08314EB3">
      <w:pPr>
        <w:ind w:firstLine="480"/>
        <w:rPr>
          <w:rFonts w:ascii="Times New Roman" w:hAnsi="Times New Roman" w:cs="Times New Roman"/>
        </w:rPr>
      </w:pPr>
      <w:r>
        <w:rPr>
          <w:rFonts w:ascii="Times New Roman" w:hAnsi="Times New Roman" w:cs="Times New Roman"/>
        </w:rPr>
        <w:t>1、本项目所处地区抗震设防烈度为6度，相关管道、设备等均根据规范的要求进行抗震设计。</w:t>
      </w:r>
    </w:p>
    <w:p w14:paraId="26348898">
      <w:pPr>
        <w:ind w:firstLine="480"/>
        <w:rPr>
          <w:rFonts w:ascii="Times New Roman" w:hAnsi="Times New Roman" w:cs="Times New Roman"/>
        </w:rPr>
      </w:pPr>
      <w:r>
        <w:rPr>
          <w:rFonts w:ascii="Times New Roman" w:hAnsi="Times New Roman" w:cs="Times New Roman"/>
        </w:rPr>
        <w:t>2、抗震设防的各类建筑与市政工程，其抗震设防目标应符合下列规定：</w:t>
      </w:r>
    </w:p>
    <w:p w14:paraId="7CD4FDB2">
      <w:pPr>
        <w:ind w:firstLine="480"/>
        <w:rPr>
          <w:rFonts w:ascii="Times New Roman" w:hAnsi="Times New Roman" w:cs="Times New Roman"/>
        </w:rPr>
      </w:pPr>
      <w:r>
        <w:rPr>
          <w:rFonts w:ascii="Times New Roman" w:hAnsi="Times New Roman" w:cs="Times New Roman"/>
        </w:rPr>
        <w:t>a、当遭遇低于本地区设防烈度的多遇地震影响时，各类工程的主体结构和市政管网系统不受损坏或不需修理可继续使用。</w:t>
      </w:r>
    </w:p>
    <w:p w14:paraId="44AB413B">
      <w:pPr>
        <w:ind w:firstLine="480"/>
        <w:rPr>
          <w:rFonts w:ascii="Times New Roman" w:hAnsi="Times New Roman" w:cs="Times New Roman"/>
        </w:rPr>
      </w:pPr>
      <w:r>
        <w:rPr>
          <w:rFonts w:ascii="Times New Roman" w:hAnsi="Times New Roman" w:cs="Times New Roman"/>
        </w:rPr>
        <w:t>b、当遭遇相当于本地区设防烈度的设防地震影响时，各类工程中的建筑物、构筑物、桥梁结构、地下工程结构等可能发生损伤，但经一般性修理可继续使用；市政管网的损坏应控制在局部范围内，不应造成次生灾害。</w:t>
      </w:r>
    </w:p>
    <w:p w14:paraId="5D17B633">
      <w:pPr>
        <w:ind w:firstLine="480"/>
        <w:rPr>
          <w:rFonts w:ascii="Times New Roman" w:hAnsi="Times New Roman" w:cs="Times New Roman"/>
        </w:rPr>
      </w:pPr>
      <w:r>
        <w:rPr>
          <w:rFonts w:ascii="Times New Roman" w:hAnsi="Times New Roman" w:cs="Times New Roman"/>
        </w:rPr>
        <w:t>c、当遭遇高于本地区设防烈度的罕遇地震影响时，各类工程中的建筑物、构筑物、桥梁结构、地下工程结构等不致倒塌或发生危及生命的严重破坏；市政管网的损坏不致引发严重次生灾害，经抢修可快速恢复使用。</w:t>
      </w:r>
    </w:p>
    <w:p w14:paraId="067F526F">
      <w:pPr>
        <w:ind w:firstLine="480"/>
        <w:rPr>
          <w:rFonts w:ascii="Times New Roman" w:hAnsi="Times New Roman" w:cs="Times New Roman"/>
        </w:rPr>
      </w:pPr>
      <w:r>
        <w:rPr>
          <w:rFonts w:ascii="Times New Roman" w:hAnsi="Times New Roman" w:cs="Times New Roman"/>
        </w:rPr>
        <w:t>3、设备需选用稳定可靠的知名品牌产品，确保运行的稳定性。</w:t>
      </w:r>
    </w:p>
    <w:p w14:paraId="52672F30">
      <w:pPr>
        <w:ind w:firstLine="480"/>
        <w:rPr>
          <w:rFonts w:ascii="Times New Roman" w:hAnsi="Times New Roman" w:cs="Times New Roman"/>
        </w:rPr>
      </w:pPr>
      <w:r>
        <w:rPr>
          <w:rFonts w:ascii="Times New Roman" w:hAnsi="Times New Roman" w:cs="Times New Roman"/>
        </w:rPr>
        <w:t>4、厂区埋地钢管在与设备、地下构筑物连接处设置可靠的抗震抗剪措施，防止在地震波作用下管道呈现拉、压（瞬时交替作用）导致损坏设备。泵出口设置多功能止回阀或水锤消除器等设施消除事故停泵情况下的不良影响。</w:t>
      </w:r>
    </w:p>
    <w:p w14:paraId="2648F392">
      <w:pPr>
        <w:ind w:firstLine="480"/>
        <w:rPr>
          <w:rFonts w:ascii="Times New Roman" w:hAnsi="Times New Roman" w:cs="Times New Roman"/>
        </w:rPr>
      </w:pPr>
      <w:r>
        <w:rPr>
          <w:rFonts w:ascii="Times New Roman" w:hAnsi="Times New Roman" w:cs="Times New Roman"/>
        </w:rPr>
        <w:t>5、管道在穿越伸缩缝等可能导致剪切损坏位置时，增设钢管伸缩器。阀门处设置限位伸缩器。</w:t>
      </w:r>
    </w:p>
    <w:p w14:paraId="130A933C">
      <w:pPr>
        <w:ind w:firstLine="480"/>
        <w:rPr>
          <w:rFonts w:ascii="Times New Roman" w:hAnsi="Times New Roman" w:cs="Times New Roman"/>
        </w:rPr>
      </w:pPr>
      <w:r>
        <w:rPr>
          <w:rFonts w:ascii="Times New Roman" w:hAnsi="Times New Roman" w:cs="Times New Roman"/>
        </w:rPr>
        <w:t>6、进、出构筑物的管道采用钢管、PE管等延展性好的管材。</w:t>
      </w:r>
    </w:p>
    <w:p w14:paraId="4FF877CE">
      <w:pPr>
        <w:ind w:firstLine="480"/>
        <w:rPr>
          <w:rFonts w:ascii="Times New Roman" w:hAnsi="Times New Roman" w:cs="Times New Roman"/>
        </w:rPr>
      </w:pPr>
      <w:r>
        <w:rPr>
          <w:rFonts w:ascii="Times New Roman" w:hAnsi="Times New Roman" w:cs="Times New Roman"/>
        </w:rPr>
        <w:t>6、地下或半地下砌体结构，砖砌体强度等级不应低于MU10，块石砌体强度等级不应低于MU20；砌筑砂浆应采用水泥砂浆，强度等级不应低于M7.5。</w:t>
      </w:r>
    </w:p>
    <w:p w14:paraId="1F4818D2">
      <w:pPr>
        <w:ind w:firstLine="480"/>
        <w:rPr>
          <w:rFonts w:ascii="Times New Roman" w:hAnsi="Times New Roman" w:cs="Times New Roman"/>
        </w:rPr>
      </w:pPr>
      <w:r>
        <w:rPr>
          <w:rFonts w:ascii="Times New Roman" w:hAnsi="Times New Roman" w:cs="Times New Roman"/>
        </w:rPr>
        <w:t>7、承插式管道的三通、四通、大于45°的弯头等附件与直线管段连接处应设置柔性连接接头或变形缝，且附件支墩按柔性连接的受力条件进行设计。</w:t>
      </w:r>
    </w:p>
    <w:p w14:paraId="2177036B">
      <w:pPr>
        <w:ind w:firstLine="480"/>
        <w:rPr>
          <w:rFonts w:ascii="Times New Roman" w:hAnsi="Times New Roman" w:cs="Times New Roman"/>
        </w:rPr>
      </w:pPr>
      <w:r>
        <w:rPr>
          <w:rFonts w:ascii="Times New Roman" w:hAnsi="Times New Roman" w:cs="Times New Roman"/>
        </w:rPr>
        <w:t>8、在防水套管采用柔性套管，与管道之间采用柔性填料。</w:t>
      </w:r>
    </w:p>
    <w:p w14:paraId="3067F85A">
      <w:pPr>
        <w:pStyle w:val="5"/>
      </w:pPr>
      <w:r>
        <w:rPr>
          <w:rFonts w:hint="eastAsia"/>
        </w:rPr>
        <w:t>抗震验算</w:t>
      </w:r>
    </w:p>
    <w:p w14:paraId="74456587">
      <w:pPr>
        <w:ind w:firstLine="480"/>
        <w:rPr>
          <w:szCs w:val="24"/>
          <w:lang w:bidi="en-US"/>
        </w:rPr>
      </w:pPr>
      <w:r>
        <w:rPr>
          <w:rFonts w:hint="eastAsia" w:ascii="Calibri" w:hAnsi="Calibri" w:cs="宋体"/>
          <w:szCs w:val="24"/>
          <w:lang w:bidi="en-US"/>
        </w:rPr>
        <w:t>根据《建筑与市政工程抗震通用规范》</w:t>
      </w:r>
      <w:r>
        <w:rPr>
          <w:rFonts w:hint="eastAsia" w:ascii="Calibri" w:hAnsi="Calibri" w:cs="宋体"/>
          <w:szCs w:val="24"/>
          <w:lang w:bidi="ar"/>
        </w:rPr>
        <w:t>（</w:t>
      </w:r>
      <w:r>
        <w:rPr>
          <w:rFonts w:ascii="Calibri" w:hAnsi="Calibri"/>
          <w:szCs w:val="24"/>
          <w:lang w:bidi="en-US"/>
        </w:rPr>
        <w:t>GB55002-2021</w:t>
      </w:r>
      <w:r>
        <w:rPr>
          <w:rFonts w:hint="eastAsia" w:ascii="Calibri" w:hAnsi="Calibri" w:cs="宋体"/>
          <w:szCs w:val="24"/>
          <w:lang w:bidi="en-US"/>
        </w:rPr>
        <w:t>）条款</w:t>
      </w:r>
      <w:r>
        <w:rPr>
          <w:rFonts w:ascii="Calibri" w:hAnsi="Calibri"/>
          <w:szCs w:val="24"/>
          <w:lang w:bidi="en-US"/>
        </w:rPr>
        <w:t>6.2.4</w:t>
      </w:r>
      <w:r>
        <w:rPr>
          <w:rFonts w:hint="eastAsia" w:ascii="Calibri" w:hAnsi="Calibri" w:cs="宋体"/>
          <w:szCs w:val="24"/>
          <w:lang w:bidi="en-US"/>
        </w:rPr>
        <w:t>城乡给水排水和燃气热力工程中各类结构的抗震验算应符合下列规定：</w:t>
      </w:r>
    </w:p>
    <w:p w14:paraId="250A4E3A">
      <w:pPr>
        <w:ind w:firstLine="480"/>
        <w:rPr>
          <w:szCs w:val="24"/>
          <w:lang w:bidi="en-US"/>
        </w:rPr>
      </w:pPr>
      <w:r>
        <w:rPr>
          <w:rFonts w:ascii="Calibri" w:hAnsi="Calibri"/>
          <w:szCs w:val="24"/>
          <w:lang w:bidi="en-US"/>
        </w:rPr>
        <w:t>1</w:t>
      </w:r>
      <w:r>
        <w:rPr>
          <w:rFonts w:hint="eastAsia" w:ascii="Calibri" w:hAnsi="Calibri" w:cs="宋体"/>
          <w:szCs w:val="24"/>
          <w:lang w:bidi="en-US"/>
        </w:rPr>
        <w:t>）各类建筑物、构筑物的结构构件应按本规范第</w:t>
      </w:r>
      <w:r>
        <w:rPr>
          <w:rFonts w:ascii="Calibri" w:hAnsi="Calibri"/>
          <w:szCs w:val="24"/>
          <w:lang w:bidi="en-US"/>
        </w:rPr>
        <w:t>4</w:t>
      </w:r>
      <w:r>
        <w:rPr>
          <w:rFonts w:hint="eastAsia" w:ascii="Calibri" w:hAnsi="Calibri" w:cs="宋体"/>
          <w:szCs w:val="24"/>
          <w:lang w:bidi="en-US"/>
        </w:rPr>
        <w:t>章的相关规定进行截面抗震强度验算；</w:t>
      </w:r>
    </w:p>
    <w:p w14:paraId="2E86F556">
      <w:pPr>
        <w:ind w:firstLine="480"/>
        <w:rPr>
          <w:szCs w:val="24"/>
          <w:lang w:bidi="en-US"/>
        </w:rPr>
      </w:pPr>
      <w:r>
        <w:rPr>
          <w:rFonts w:ascii="Calibri" w:hAnsi="Calibri"/>
          <w:szCs w:val="24"/>
          <w:lang w:bidi="en-US"/>
        </w:rPr>
        <w:t>2</w:t>
      </w:r>
      <w:r>
        <w:rPr>
          <w:rFonts w:hint="eastAsia" w:ascii="Calibri" w:hAnsi="Calibri" w:cs="宋体"/>
          <w:szCs w:val="24"/>
          <w:lang w:bidi="en-US"/>
        </w:rPr>
        <w:t>）承插式连接埋地管道或预制拼装结构应进行抗震变位验算；</w:t>
      </w:r>
    </w:p>
    <w:p w14:paraId="47669433">
      <w:pPr>
        <w:ind w:firstLine="480"/>
        <w:rPr>
          <w:rFonts w:ascii="宋体" w:hAnsi="宋体" w:cs="宋体"/>
          <w:szCs w:val="24"/>
        </w:rPr>
      </w:pPr>
      <w:r>
        <w:rPr>
          <w:rFonts w:hint="eastAsia" w:ascii="宋体" w:hAnsi="宋体" w:cs="宋体"/>
          <w:szCs w:val="24"/>
          <w:lang w:bidi="ar"/>
        </w:rPr>
        <w:t>3）7度及7度以上的整体连接埋地管道应进行截面应变量验算。</w:t>
      </w:r>
    </w:p>
    <w:p w14:paraId="109F9293">
      <w:pPr>
        <w:ind w:firstLine="480"/>
        <w:rPr>
          <w:szCs w:val="24"/>
          <w:lang w:bidi="en-US"/>
        </w:rPr>
      </w:pPr>
      <w:r>
        <w:rPr>
          <w:rFonts w:hint="eastAsia" w:ascii="Calibri" w:hAnsi="Calibri" w:cs="宋体"/>
          <w:szCs w:val="24"/>
          <w:lang w:bidi="en-US"/>
        </w:rPr>
        <w:t>对本工程相关管道及结构进行抗震验算。本工程的管道抗震验算依据：</w:t>
      </w:r>
      <w:r>
        <w:fldChar w:fldCharType="begin"/>
      </w:r>
      <w:r>
        <w:instrText xml:space="preserve"> HYPERLINK "http://www.baidu.com/link?url=LhmP8KPAbPvBqzEM9ZP76tstxB7ePtTJLjVNY_M1C4GL0FRyMbpLabYC_S8IUadrp-ArhuYwHL01VvLiRQ4JEf_cKN-jmH0UFoCM-CZG8W2q8AEeoOP6JYgp1884YXxK" \t "https://www.baidu.com/_blank" </w:instrText>
      </w:r>
      <w:r>
        <w:fldChar w:fldCharType="separate"/>
      </w:r>
      <w:r>
        <w:rPr>
          <w:rStyle w:val="34"/>
          <w:rFonts w:hint="eastAsia" w:ascii="Calibri" w:hAnsi="Calibri" w:cs="宋体"/>
          <w:color w:val="auto"/>
          <w:szCs w:val="24"/>
          <w:u w:val="none"/>
          <w:lang w:bidi="en-US"/>
        </w:rPr>
        <w:t>《建筑与市政工程抗震通用规范》（</w:t>
      </w:r>
      <w:r>
        <w:rPr>
          <w:rStyle w:val="34"/>
          <w:color w:val="auto"/>
          <w:szCs w:val="24"/>
          <w:u w:val="none"/>
          <w:lang w:bidi="en-US"/>
        </w:rPr>
        <w:t>GB55002-2021</w:t>
      </w:r>
      <w:r>
        <w:rPr>
          <w:rStyle w:val="34"/>
          <w:color w:val="auto"/>
          <w:szCs w:val="24"/>
          <w:u w:val="none"/>
          <w:lang w:bidi="en-US"/>
        </w:rPr>
        <w:fldChar w:fldCharType="end"/>
      </w:r>
      <w:r>
        <w:rPr>
          <w:rFonts w:hint="eastAsia" w:ascii="Calibri" w:hAnsi="Calibri" w:cs="宋体"/>
          <w:szCs w:val="24"/>
          <w:lang w:bidi="en-US"/>
        </w:rPr>
        <w:t>）第</w:t>
      </w:r>
      <w:r>
        <w:rPr>
          <w:rFonts w:ascii="Calibri" w:hAnsi="Calibri"/>
          <w:szCs w:val="24"/>
          <w:lang w:bidi="en-US"/>
        </w:rPr>
        <w:t>6.2.4</w:t>
      </w:r>
      <w:r>
        <w:rPr>
          <w:rFonts w:hint="eastAsia" w:ascii="Calibri" w:hAnsi="Calibri" w:cs="宋体"/>
          <w:szCs w:val="24"/>
          <w:lang w:bidi="en-US"/>
        </w:rPr>
        <w:t>条和《室外给水排水和燃气热力工程抗震设计规范》（</w:t>
      </w:r>
      <w:r>
        <w:rPr>
          <w:rFonts w:ascii="Calibri" w:hAnsi="Calibri"/>
          <w:szCs w:val="24"/>
          <w:lang w:bidi="en-US"/>
        </w:rPr>
        <w:t>GB50032-2003</w:t>
      </w:r>
      <w:r>
        <w:rPr>
          <w:rFonts w:hint="eastAsia" w:ascii="Calibri" w:hAnsi="Calibri" w:cs="宋体"/>
          <w:szCs w:val="24"/>
          <w:lang w:bidi="en-US"/>
        </w:rPr>
        <w:t>）第</w:t>
      </w:r>
      <w:r>
        <w:rPr>
          <w:rFonts w:ascii="Calibri" w:hAnsi="Calibri"/>
          <w:szCs w:val="24"/>
          <w:lang w:bidi="en-US"/>
        </w:rPr>
        <w:t>5.1.3</w:t>
      </w:r>
      <w:r>
        <w:rPr>
          <w:rFonts w:hint="eastAsia" w:ascii="Calibri" w:hAnsi="Calibri" w:cs="宋体"/>
          <w:szCs w:val="24"/>
          <w:lang w:bidi="en-US"/>
        </w:rPr>
        <w:t>条规定埋地管道应计算地震时剪切波作用下产生的变位或应变。</w:t>
      </w:r>
    </w:p>
    <w:p w14:paraId="276BC62D">
      <w:pPr>
        <w:ind w:firstLine="480"/>
        <w:rPr>
          <w:szCs w:val="24"/>
        </w:rPr>
      </w:pPr>
      <w:r>
        <w:rPr>
          <w:rFonts w:hint="eastAsia" w:ascii="Calibri" w:hAnsi="Calibri" w:cs="宋体"/>
          <w:szCs w:val="24"/>
          <w:lang w:bidi="ar"/>
        </w:rPr>
        <w:t>本工程建设场地抗震设防烈度为</w:t>
      </w:r>
      <w:r>
        <w:rPr>
          <w:rFonts w:hint="eastAsia" w:ascii="Calibri" w:hAnsi="Calibri"/>
          <w:szCs w:val="24"/>
          <w:lang w:bidi="ar"/>
        </w:rPr>
        <w:t>6</w:t>
      </w:r>
      <w:r>
        <w:rPr>
          <w:rFonts w:hint="eastAsia" w:ascii="Calibri" w:hAnsi="Calibri" w:cs="宋体"/>
          <w:szCs w:val="24"/>
          <w:lang w:bidi="ar"/>
        </w:rPr>
        <w:t>度，场地类别为Ⅱ类场地，本工程管线抗震计算主要内容为：</w:t>
      </w:r>
    </w:p>
    <w:p w14:paraId="13F49357">
      <w:pPr>
        <w:ind w:firstLine="480"/>
        <w:rPr>
          <w:szCs w:val="24"/>
          <w:lang w:bidi="en-US"/>
        </w:rPr>
      </w:pPr>
      <w:r>
        <w:rPr>
          <w:rFonts w:hint="eastAsia" w:ascii="Calibri" w:hAnsi="Calibri" w:cs="宋体"/>
          <w:szCs w:val="24"/>
          <w:lang w:bidi="en-US"/>
        </w:rPr>
        <w:t>重力排水管：</w:t>
      </w:r>
      <w:r>
        <w:rPr>
          <w:rFonts w:ascii="Calibri" w:hAnsi="Calibri"/>
          <w:szCs w:val="24"/>
          <w:lang w:bidi="en-US"/>
        </w:rPr>
        <w:t>d</w:t>
      </w:r>
      <w:r>
        <w:rPr>
          <w:rFonts w:hint="eastAsia" w:ascii="Calibri" w:hAnsi="Calibri"/>
          <w:szCs w:val="24"/>
          <w:lang w:bidi="en-US"/>
        </w:rPr>
        <w:t>3</w:t>
      </w:r>
      <w:r>
        <w:rPr>
          <w:rFonts w:ascii="Calibri" w:hAnsi="Calibri"/>
          <w:szCs w:val="24"/>
          <w:lang w:bidi="en-US"/>
        </w:rPr>
        <w:t>00</w:t>
      </w:r>
      <w:r>
        <w:rPr>
          <w:rFonts w:hint="eastAsia" w:ascii="Calibri" w:hAnsi="Calibri" w:cs="宋体"/>
          <w:szCs w:val="24"/>
          <w:lang w:bidi="en-US"/>
        </w:rPr>
        <w:t>、</w:t>
      </w:r>
      <w:r>
        <w:rPr>
          <w:rFonts w:ascii="Calibri" w:hAnsi="Calibri"/>
          <w:szCs w:val="24"/>
          <w:lang w:bidi="en-US"/>
        </w:rPr>
        <w:t>d</w:t>
      </w:r>
      <w:r>
        <w:rPr>
          <w:rFonts w:hint="eastAsia" w:ascii="Calibri" w:hAnsi="Calibri"/>
          <w:szCs w:val="24"/>
          <w:lang w:bidi="en-US"/>
        </w:rPr>
        <w:t>8</w:t>
      </w:r>
      <w:r>
        <w:rPr>
          <w:rFonts w:ascii="Calibri" w:hAnsi="Calibri"/>
          <w:szCs w:val="24"/>
          <w:lang w:bidi="en-US"/>
        </w:rPr>
        <w:t>00</w:t>
      </w:r>
      <w:r>
        <w:rPr>
          <w:rFonts w:hint="eastAsia" w:ascii="Calibri" w:hAnsi="Calibri" w:cs="宋体"/>
          <w:szCs w:val="24"/>
          <w:lang w:bidi="en-US"/>
        </w:rPr>
        <w:t>、</w:t>
      </w:r>
      <w:r>
        <w:rPr>
          <w:rFonts w:ascii="Calibri" w:hAnsi="Calibri"/>
          <w:szCs w:val="24"/>
          <w:lang w:bidi="en-US"/>
        </w:rPr>
        <w:t>d1000</w:t>
      </w:r>
      <w:r>
        <w:rPr>
          <w:rFonts w:hint="eastAsia" w:ascii="Calibri" w:hAnsi="Calibri"/>
          <w:szCs w:val="24"/>
          <w:lang w:bidi="en-US"/>
        </w:rPr>
        <w:t>、</w:t>
      </w:r>
      <w:r>
        <w:rPr>
          <w:rFonts w:ascii="Calibri" w:hAnsi="Calibri"/>
          <w:szCs w:val="24"/>
          <w:lang w:bidi="en-US"/>
        </w:rPr>
        <w:t>d</w:t>
      </w:r>
      <w:r>
        <w:rPr>
          <w:rFonts w:hint="eastAsia" w:ascii="Calibri" w:hAnsi="Calibri"/>
          <w:szCs w:val="24"/>
          <w:lang w:bidi="en-US"/>
        </w:rPr>
        <w:t>135</w:t>
      </w:r>
      <w:r>
        <w:rPr>
          <w:rFonts w:ascii="Calibri" w:hAnsi="Calibri"/>
          <w:szCs w:val="24"/>
          <w:lang w:bidi="en-US"/>
        </w:rPr>
        <w:t>0</w:t>
      </w:r>
      <w:r>
        <w:rPr>
          <w:rFonts w:hint="eastAsia" w:ascii="Calibri" w:hAnsi="Calibri" w:cs="宋体"/>
          <w:szCs w:val="24"/>
          <w:lang w:bidi="en-US"/>
        </w:rPr>
        <w:t>钢筋混凝土承插口管进行抗震变位验算。</w:t>
      </w:r>
    </w:p>
    <w:p w14:paraId="24ABC7B9">
      <w:pPr>
        <w:ind w:firstLine="480"/>
        <w:rPr>
          <w:szCs w:val="24"/>
          <w:lang w:bidi="en-US"/>
        </w:rPr>
      </w:pPr>
      <w:r>
        <w:rPr>
          <w:rFonts w:hint="eastAsia" w:ascii="Calibri" w:hAnsi="Calibri" w:cs="宋体"/>
          <w:szCs w:val="24"/>
          <w:lang w:bidi="en-US"/>
        </w:rPr>
        <w:t>（</w:t>
      </w:r>
      <w:r>
        <w:rPr>
          <w:rFonts w:ascii="Calibri" w:hAnsi="Calibri"/>
          <w:szCs w:val="24"/>
          <w:lang w:bidi="en-US"/>
        </w:rPr>
        <w:t>5</w:t>
      </w:r>
      <w:r>
        <w:rPr>
          <w:rFonts w:hint="eastAsia" w:ascii="Calibri" w:hAnsi="Calibri" w:cs="宋体"/>
          <w:szCs w:val="24"/>
          <w:lang w:bidi="en-US"/>
        </w:rPr>
        <w:t>）管道抗震验算</w:t>
      </w:r>
    </w:p>
    <w:p w14:paraId="5E2E31BB">
      <w:pPr>
        <w:ind w:firstLine="480"/>
        <w:rPr>
          <w:szCs w:val="24"/>
        </w:rPr>
      </w:pPr>
      <w:r>
        <w:rPr>
          <w:rFonts w:ascii="Calibri" w:hAnsi="Calibri"/>
          <w:szCs w:val="24"/>
          <w:lang w:bidi="ar"/>
        </w:rPr>
        <w:t>1</w:t>
      </w:r>
      <w:r>
        <w:rPr>
          <w:rFonts w:hint="eastAsia" w:ascii="Calibri" w:hAnsi="Calibri" w:cs="宋体"/>
          <w:szCs w:val="24"/>
          <w:lang w:bidi="ar"/>
        </w:rPr>
        <w:t>）重力排水管：</w:t>
      </w:r>
      <w:r>
        <w:rPr>
          <w:rFonts w:hint="eastAsia" w:ascii="Calibri" w:hAnsi="Calibri" w:cs="宋体"/>
          <w:szCs w:val="24"/>
          <w:lang w:bidi="en-US"/>
        </w:rPr>
        <w:t>钢筋混凝土管，</w:t>
      </w:r>
      <w:r>
        <w:rPr>
          <w:rFonts w:hint="eastAsia" w:ascii="Calibri" w:hAnsi="Calibri" w:cs="宋体"/>
          <w:szCs w:val="24"/>
          <w:lang w:bidi="ar"/>
        </w:rPr>
        <w:t>管节长度</w:t>
      </w:r>
      <w:r>
        <w:rPr>
          <w:rFonts w:ascii="Calibri" w:hAnsi="Calibri"/>
          <w:szCs w:val="24"/>
          <w:lang w:bidi="ar"/>
        </w:rPr>
        <w:t>2000mm</w:t>
      </w:r>
      <w:r>
        <w:rPr>
          <w:rFonts w:hint="eastAsia" w:ascii="Calibri" w:hAnsi="Calibri" w:cs="宋体"/>
          <w:szCs w:val="24"/>
          <w:lang w:bidi="ar"/>
        </w:rPr>
        <w:t>，管材弹性模量</w:t>
      </w:r>
      <w:r>
        <w:rPr>
          <w:rFonts w:ascii="Calibri" w:hAnsi="Calibri"/>
          <w:szCs w:val="24"/>
          <w:lang w:bidi="ar"/>
        </w:rPr>
        <w:t>Ep=</w:t>
      </w:r>
      <w:r>
        <w:rPr>
          <w:rFonts w:hint="eastAsia" w:ascii="Calibri" w:hAnsi="Calibri"/>
          <w:szCs w:val="24"/>
          <w:lang w:bidi="ar"/>
        </w:rPr>
        <w:t>34500</w:t>
      </w:r>
      <w:r>
        <w:rPr>
          <w:rFonts w:ascii="Calibri" w:hAnsi="Calibri"/>
          <w:szCs w:val="24"/>
          <w:lang w:bidi="ar"/>
        </w:rPr>
        <w:t>N/mm</w:t>
      </w:r>
      <w:r>
        <w:rPr>
          <w:rFonts w:ascii="Calibri" w:hAnsi="Calibri"/>
          <w:szCs w:val="24"/>
          <w:vertAlign w:val="superscript"/>
          <w:lang w:bidi="ar"/>
        </w:rPr>
        <w:t>2</w:t>
      </w:r>
      <w:r>
        <w:rPr>
          <w:rFonts w:hint="eastAsia" w:ascii="Calibri" w:hAnsi="Calibri" w:cs="宋体"/>
          <w:szCs w:val="24"/>
          <w:lang w:bidi="ar"/>
        </w:rPr>
        <w:t>。</w:t>
      </w:r>
    </w:p>
    <w:p w14:paraId="20419D3B">
      <w:pPr>
        <w:ind w:firstLine="480"/>
        <w:rPr>
          <w:szCs w:val="24"/>
        </w:rPr>
      </w:pPr>
      <w:r>
        <w:rPr>
          <w:rFonts w:hint="eastAsia" w:ascii="Calibri" w:hAnsi="Calibri" w:cs="宋体"/>
          <w:szCs w:val="24"/>
          <w:lang w:bidi="ar"/>
        </w:rPr>
        <w:t>抗震设防要求：</w:t>
      </w:r>
      <w:r>
        <w:rPr>
          <w:rFonts w:hint="eastAsia" w:ascii="Calibri" w:hAnsi="Calibri"/>
          <w:szCs w:val="24"/>
          <w:lang w:bidi="ar"/>
        </w:rPr>
        <w:t>6</w:t>
      </w:r>
      <w:r>
        <w:rPr>
          <w:rFonts w:hint="eastAsia" w:ascii="Calibri" w:hAnsi="Calibri" w:cs="宋体"/>
          <w:szCs w:val="24"/>
          <w:lang w:bidi="ar"/>
        </w:rPr>
        <w:t>度设防，特征周期</w:t>
      </w:r>
      <w:r>
        <w:rPr>
          <w:rFonts w:ascii="Calibri" w:hAnsi="Calibri"/>
          <w:szCs w:val="24"/>
          <w:lang w:bidi="ar"/>
        </w:rPr>
        <w:t>T</w:t>
      </w:r>
      <w:r>
        <w:rPr>
          <w:rFonts w:ascii="Calibri" w:hAnsi="Calibri"/>
          <w:szCs w:val="24"/>
          <w:vertAlign w:val="subscript"/>
          <w:lang w:bidi="ar"/>
        </w:rPr>
        <w:t>g</w:t>
      </w:r>
      <w:r>
        <w:rPr>
          <w:rFonts w:ascii="Calibri" w:hAnsi="Calibri"/>
          <w:szCs w:val="24"/>
          <w:lang w:bidi="ar"/>
        </w:rPr>
        <w:t>=0.35</w:t>
      </w:r>
      <w:r>
        <w:rPr>
          <w:rFonts w:hint="eastAsia" w:ascii="Calibri" w:hAnsi="Calibri" w:cs="宋体"/>
          <w:szCs w:val="24"/>
          <w:lang w:bidi="ar"/>
        </w:rPr>
        <w:t>（</w:t>
      </w:r>
      <w:r>
        <w:rPr>
          <w:rFonts w:ascii="Calibri" w:hAnsi="Calibri"/>
          <w:szCs w:val="24"/>
          <w:lang w:bidi="ar"/>
        </w:rPr>
        <w:t>s</w:t>
      </w:r>
      <w:r>
        <w:rPr>
          <w:rFonts w:hint="eastAsia" w:ascii="Calibri" w:hAnsi="Calibri" w:cs="宋体"/>
          <w:szCs w:val="24"/>
          <w:lang w:bidi="ar"/>
        </w:rPr>
        <w:t>）。</w:t>
      </w:r>
    </w:p>
    <w:p w14:paraId="1EA6A2B1">
      <w:pPr>
        <w:ind w:firstLine="480"/>
        <w:rPr>
          <w:szCs w:val="24"/>
        </w:rPr>
      </w:pPr>
      <w:r>
        <w:rPr>
          <w:rFonts w:hint="eastAsia" w:ascii="Calibri" w:hAnsi="Calibri" w:cs="宋体"/>
          <w:szCs w:val="24"/>
          <w:lang w:bidi="ar"/>
        </w:rPr>
        <w:t>场地地质条件：场地类别按</w:t>
      </w:r>
      <w:r>
        <w:rPr>
          <w:rFonts w:hint="eastAsia" w:ascii="宋体" w:hAnsi="宋体" w:cs="宋体"/>
          <w:szCs w:val="24"/>
          <w:lang w:bidi="ar"/>
        </w:rPr>
        <w:t>Ⅱ</w:t>
      </w:r>
      <w:r>
        <w:rPr>
          <w:rFonts w:hint="eastAsia" w:ascii="Calibri" w:hAnsi="Calibri" w:cs="宋体"/>
          <w:szCs w:val="24"/>
          <w:lang w:bidi="ar"/>
        </w:rPr>
        <w:t>类；设计地震加速度</w:t>
      </w:r>
      <w:r>
        <w:rPr>
          <w:rFonts w:ascii="Calibri" w:hAnsi="Calibri"/>
          <w:szCs w:val="24"/>
          <w:lang w:bidi="ar"/>
        </w:rPr>
        <w:t>K</w:t>
      </w:r>
      <w:r>
        <w:rPr>
          <w:rFonts w:ascii="Calibri" w:hAnsi="Calibri"/>
          <w:szCs w:val="24"/>
          <w:vertAlign w:val="subscript"/>
          <w:lang w:bidi="ar"/>
        </w:rPr>
        <w:t>H</w:t>
      </w:r>
      <w:r>
        <w:rPr>
          <w:rFonts w:ascii="Calibri" w:hAnsi="Calibri"/>
          <w:szCs w:val="24"/>
          <w:lang w:bidi="ar"/>
        </w:rPr>
        <w:t>=0.</w:t>
      </w:r>
      <w:r>
        <w:rPr>
          <w:rFonts w:hint="eastAsia" w:ascii="Calibri" w:hAnsi="Calibri"/>
          <w:szCs w:val="24"/>
          <w:lang w:bidi="ar"/>
        </w:rPr>
        <w:t>0</w:t>
      </w:r>
      <w:r>
        <w:rPr>
          <w:rFonts w:ascii="Calibri" w:hAnsi="Calibri"/>
          <w:szCs w:val="24"/>
          <w:lang w:bidi="ar"/>
        </w:rPr>
        <w:t>5g</w:t>
      </w:r>
      <w:r>
        <w:rPr>
          <w:rFonts w:hint="eastAsia" w:ascii="Calibri" w:hAnsi="Calibri" w:cs="宋体"/>
          <w:szCs w:val="24"/>
          <w:lang w:bidi="ar"/>
        </w:rPr>
        <w:t>，设计地震分组为第一组；剪切波速取</w:t>
      </w:r>
      <w:r>
        <w:rPr>
          <w:rFonts w:ascii="Calibri" w:hAnsi="Calibri"/>
          <w:szCs w:val="24"/>
          <w:lang w:bidi="ar"/>
        </w:rPr>
        <w:t>300m/s</w:t>
      </w:r>
      <w:r>
        <w:rPr>
          <w:rFonts w:hint="eastAsia" w:ascii="Calibri" w:hAnsi="Calibri" w:cs="宋体"/>
          <w:szCs w:val="24"/>
          <w:lang w:bidi="ar"/>
        </w:rPr>
        <w:t>。</w:t>
      </w:r>
    </w:p>
    <w:p w14:paraId="39962D8C">
      <w:pPr>
        <w:ind w:firstLine="480"/>
        <w:rPr>
          <w:szCs w:val="24"/>
        </w:rPr>
      </w:pPr>
      <w:r>
        <w:rPr>
          <w:rFonts w:hint="eastAsia" w:ascii="Calibri" w:hAnsi="Calibri" w:cs="宋体"/>
          <w:szCs w:val="24"/>
          <w:lang w:bidi="ar"/>
        </w:rPr>
        <w:t>（</w:t>
      </w:r>
      <w:r>
        <w:rPr>
          <w:rFonts w:ascii="Calibri" w:hAnsi="Calibri"/>
          <w:szCs w:val="24"/>
          <w:lang w:bidi="ar"/>
        </w:rPr>
        <w:t>6</w:t>
      </w:r>
      <w:r>
        <w:rPr>
          <w:rFonts w:hint="eastAsia" w:ascii="Calibri" w:hAnsi="Calibri" w:cs="宋体"/>
          <w:szCs w:val="24"/>
          <w:lang w:bidi="ar"/>
        </w:rPr>
        <w:t>）抗震计算</w:t>
      </w:r>
    </w:p>
    <w:p w14:paraId="5A9760DD">
      <w:pPr>
        <w:ind w:firstLine="480"/>
        <w:rPr>
          <w:szCs w:val="24"/>
        </w:rPr>
      </w:pPr>
      <w:r>
        <w:rPr>
          <w:rFonts w:ascii="Calibri" w:hAnsi="Calibri"/>
          <w:szCs w:val="24"/>
          <w:lang w:bidi="ar"/>
        </w:rPr>
        <w:t>1</w:t>
      </w:r>
      <w:r>
        <w:rPr>
          <w:rFonts w:hint="eastAsia" w:ascii="Calibri" w:hAnsi="Calibri" w:cs="宋体"/>
          <w:szCs w:val="24"/>
          <w:lang w:bidi="ar"/>
        </w:rPr>
        <w:t>）承插管</w:t>
      </w:r>
    </w:p>
    <w:p w14:paraId="5AF9DA90">
      <w:pPr>
        <w:ind w:firstLine="480"/>
        <w:rPr>
          <w:szCs w:val="24"/>
        </w:rPr>
      </w:pPr>
      <w:r>
        <w:rPr>
          <w:rFonts w:hint="eastAsia" w:ascii="Calibri" w:hAnsi="Calibri" w:cs="宋体"/>
          <w:szCs w:val="24"/>
          <w:lang w:bidi="ar"/>
        </w:rPr>
        <w:t>计算本场地土体的最大水平位移标准值：</w:t>
      </w:r>
      <w:r>
        <w:rPr>
          <w:rFonts w:ascii="Calibri" w:hAnsi="Calibri"/>
          <w:szCs w:val="24"/>
          <w:lang w:bidi="ar"/>
        </w:rPr>
        <w:t>U</w:t>
      </w:r>
      <w:r>
        <w:rPr>
          <w:rFonts w:ascii="Calibri" w:hAnsi="Calibri"/>
          <w:szCs w:val="24"/>
          <w:vertAlign w:val="subscript"/>
          <w:lang w:bidi="ar"/>
        </w:rPr>
        <w:t xml:space="preserve">ok  </w:t>
      </w:r>
      <w:r>
        <w:rPr>
          <w:rFonts w:ascii="Calibri" w:hAnsi="Calibri"/>
          <w:szCs w:val="24"/>
          <w:lang w:bidi="ar"/>
        </w:rPr>
        <w:t>=</w:t>
      </w:r>
      <w:r>
        <w:rPr>
          <w:rFonts w:ascii="Calibri" w:hAnsi="Calibri"/>
          <w:szCs w:val="24"/>
          <w:lang w:bidi="ar"/>
        </w:rPr>
        <w:object>
          <v:shape id="_x0000_i1025" o:spt="75" type="#_x0000_t75" style="height:38.7pt;width:48.35pt;" o:ole="t" filled="f" o:preferrelative="t" stroked="f" coordsize="21600,21600">
            <v:path/>
            <v:fill on="f" focussize="0,0"/>
            <v:stroke on="f" joinstyle="miter"/>
            <v:imagedata r:id="rId21" o:title=""/>
            <o:lock v:ext="edit" aspectratio="t"/>
            <w10:wrap type="none"/>
            <w10:anchorlock/>
          </v:shape>
          <o:OLEObject Type="Embed" ProgID="Equation.3" ShapeID="_x0000_i1025" DrawAspect="Content" ObjectID="_1468075725" r:id="rId20">
            <o:LockedField>false</o:LockedField>
          </o:OLEObject>
        </w:object>
      </w:r>
      <w:r>
        <w:rPr>
          <w:rFonts w:hint="eastAsia" w:ascii="Calibri" w:hAnsi="Calibri" w:cs="宋体"/>
          <w:szCs w:val="24"/>
          <w:lang w:bidi="ar"/>
        </w:rPr>
        <w:t>（</w:t>
      </w:r>
      <w:r>
        <w:rPr>
          <w:rFonts w:ascii="Calibri" w:hAnsi="Calibri"/>
          <w:szCs w:val="24"/>
          <w:lang w:bidi="ar"/>
        </w:rPr>
        <w:t>mm</w:t>
      </w:r>
      <w:r>
        <w:rPr>
          <w:rFonts w:hint="eastAsia" w:ascii="Calibri" w:hAnsi="Calibri" w:cs="宋体"/>
          <w:szCs w:val="24"/>
          <w:lang w:bidi="ar"/>
        </w:rPr>
        <w:t>）</w:t>
      </w:r>
    </w:p>
    <w:p w14:paraId="35746644">
      <w:pPr>
        <w:ind w:firstLine="480"/>
        <w:rPr>
          <w:szCs w:val="24"/>
        </w:rPr>
      </w:pPr>
      <w:r>
        <w:rPr>
          <w:rFonts w:hint="eastAsia" w:ascii="Calibri" w:hAnsi="Calibri" w:cs="宋体"/>
          <w:szCs w:val="24"/>
          <w:lang w:bidi="ar"/>
        </w:rPr>
        <w:t>计算沿管线方向半个视波长范围内自由土体的位移标准值：△</w:t>
      </w:r>
      <w:r>
        <w:rPr>
          <w:rFonts w:ascii="Calibri" w:hAnsi="Calibri"/>
          <w:szCs w:val="24"/>
          <w:vertAlign w:val="subscript"/>
          <w:lang w:bidi="ar"/>
        </w:rPr>
        <w:t>sl</w:t>
      </w:r>
      <w:r>
        <w:rPr>
          <w:rFonts w:ascii="Calibri" w:hAnsi="Calibri"/>
          <w:szCs w:val="24"/>
          <w:vertAlign w:val="superscript"/>
          <w:lang w:bidi="ar"/>
        </w:rPr>
        <w:t>'</w:t>
      </w:r>
      <w:r>
        <w:rPr>
          <w:rFonts w:hint="eastAsia" w:ascii="Calibri" w:hAnsi="Calibri" w:cs="宋体"/>
          <w:szCs w:val="24"/>
          <w:vertAlign w:val="subscript"/>
          <w:lang w:bidi="ar"/>
        </w:rPr>
        <w:t>，</w:t>
      </w:r>
      <w:r>
        <w:rPr>
          <w:rFonts w:ascii="Calibri" w:hAnsi="Calibri"/>
          <w:szCs w:val="24"/>
          <w:vertAlign w:val="subscript"/>
          <w:lang w:bidi="ar"/>
        </w:rPr>
        <w:t>k</w:t>
      </w:r>
      <w:r>
        <w:rPr>
          <w:rFonts w:ascii="Calibri" w:hAnsi="Calibri"/>
          <w:szCs w:val="24"/>
          <w:lang w:bidi="ar"/>
        </w:rPr>
        <w:t>=2</w:t>
      </w:r>
      <w:r>
        <w:rPr>
          <w:rFonts w:ascii="Calibri" w:hAnsi="Calibri"/>
          <w:szCs w:val="24"/>
          <w:vertAlign w:val="superscript"/>
          <w:lang w:bidi="ar"/>
        </w:rPr>
        <w:t>0.5</w:t>
      </w:r>
      <w:r>
        <w:rPr>
          <w:rFonts w:hint="eastAsia" w:ascii="Calibri" w:hAnsi="Calibri" w:cs="宋体"/>
          <w:szCs w:val="24"/>
          <w:lang w:bidi="ar"/>
        </w:rPr>
        <w:t>×</w:t>
      </w:r>
      <w:r>
        <w:rPr>
          <w:rFonts w:ascii="Calibri" w:hAnsi="Calibri"/>
          <w:szCs w:val="24"/>
          <w:lang w:bidi="ar"/>
        </w:rPr>
        <w:t>U</w:t>
      </w:r>
      <w:r>
        <w:rPr>
          <w:rFonts w:ascii="Calibri" w:hAnsi="Calibri"/>
          <w:szCs w:val="24"/>
          <w:vertAlign w:val="subscript"/>
          <w:lang w:bidi="ar"/>
        </w:rPr>
        <w:t>ok</w:t>
      </w:r>
      <w:r>
        <w:rPr>
          <w:rFonts w:hint="eastAsia" w:ascii="Calibri" w:hAnsi="Calibri" w:cs="宋体"/>
          <w:szCs w:val="24"/>
          <w:lang w:bidi="ar"/>
        </w:rPr>
        <w:t>（</w:t>
      </w:r>
      <w:r>
        <w:rPr>
          <w:rFonts w:ascii="Calibri" w:hAnsi="Calibri"/>
          <w:szCs w:val="24"/>
          <w:lang w:bidi="ar"/>
        </w:rPr>
        <w:t>mm</w:t>
      </w:r>
      <w:r>
        <w:rPr>
          <w:rFonts w:hint="eastAsia" w:ascii="Calibri" w:hAnsi="Calibri" w:cs="宋体"/>
          <w:szCs w:val="24"/>
          <w:lang w:bidi="ar"/>
        </w:rPr>
        <w:t>）</w:t>
      </w:r>
    </w:p>
    <w:p w14:paraId="7EBB488F">
      <w:pPr>
        <w:ind w:firstLine="480"/>
        <w:rPr>
          <w:szCs w:val="24"/>
        </w:rPr>
      </w:pPr>
      <w:r>
        <w:rPr>
          <w:rFonts w:hint="eastAsia" w:ascii="Calibri" w:hAnsi="Calibri" w:cs="宋体"/>
          <w:szCs w:val="24"/>
          <w:lang w:bidi="ar"/>
        </w:rPr>
        <w:t>计算管、土间的方位移传递系数ξ</w:t>
      </w:r>
      <w:r>
        <w:rPr>
          <w:rFonts w:ascii="Calibri" w:hAnsi="Calibri"/>
          <w:szCs w:val="24"/>
          <w:vertAlign w:val="subscript"/>
          <w:lang w:bidi="ar"/>
        </w:rPr>
        <w:t>1</w:t>
      </w:r>
      <w:r>
        <w:rPr>
          <w:rFonts w:hint="eastAsia" w:ascii="Calibri" w:hAnsi="Calibri" w:cs="宋体"/>
          <w:szCs w:val="24"/>
          <w:lang w:bidi="ar"/>
        </w:rPr>
        <w:t>：</w:t>
      </w:r>
    </w:p>
    <w:p w14:paraId="05C71420">
      <w:pPr>
        <w:ind w:firstLine="480"/>
        <w:rPr>
          <w:szCs w:val="24"/>
        </w:rPr>
      </w:pPr>
      <w:r>
        <w:rPr>
          <w:rFonts w:hint="eastAsia" w:ascii="Calibri" w:hAnsi="Calibri" w:cs="宋体"/>
          <w:szCs w:val="24"/>
          <w:lang w:bidi="ar"/>
        </w:rPr>
        <w:t>剪切波的波长</w:t>
      </w:r>
      <w:r>
        <w:rPr>
          <w:rFonts w:ascii="Calibri" w:hAnsi="Calibri"/>
          <w:szCs w:val="24"/>
          <w:lang w:bidi="ar"/>
        </w:rPr>
        <w:t>L= V</w:t>
      </w:r>
      <w:r>
        <w:rPr>
          <w:rFonts w:ascii="Calibri" w:hAnsi="Calibri"/>
          <w:szCs w:val="24"/>
          <w:vertAlign w:val="subscript"/>
          <w:lang w:bidi="ar"/>
        </w:rPr>
        <w:t>sp</w:t>
      </w:r>
      <w:r>
        <w:rPr>
          <w:rFonts w:ascii="Calibri" w:hAnsi="Calibri"/>
          <w:szCs w:val="24"/>
          <w:lang w:bidi="ar"/>
        </w:rPr>
        <w:t>T</w:t>
      </w:r>
      <w:r>
        <w:rPr>
          <w:rFonts w:ascii="Calibri" w:hAnsi="Calibri"/>
          <w:szCs w:val="24"/>
          <w:vertAlign w:val="subscript"/>
          <w:lang w:bidi="ar"/>
        </w:rPr>
        <w:t>g</w:t>
      </w:r>
      <w:r>
        <w:rPr>
          <w:rFonts w:hint="eastAsia" w:ascii="Calibri" w:hAnsi="Calibri" w:cs="宋体"/>
          <w:szCs w:val="24"/>
          <w:lang w:bidi="ar"/>
        </w:rPr>
        <w:t>（</w:t>
      </w:r>
      <w:r>
        <w:rPr>
          <w:rFonts w:ascii="Calibri" w:hAnsi="Calibri"/>
          <w:szCs w:val="24"/>
          <w:lang w:bidi="ar"/>
        </w:rPr>
        <w:t>mm</w:t>
      </w:r>
      <w:r>
        <w:rPr>
          <w:rFonts w:hint="eastAsia" w:ascii="Calibri" w:hAnsi="Calibri" w:cs="宋体"/>
          <w:szCs w:val="24"/>
          <w:lang w:bidi="ar"/>
        </w:rPr>
        <w:t>）</w:t>
      </w:r>
    </w:p>
    <w:p w14:paraId="3EEB9461">
      <w:pPr>
        <w:ind w:firstLine="480"/>
        <w:rPr>
          <w:szCs w:val="24"/>
          <w:vertAlign w:val="superscript"/>
        </w:rPr>
      </w:pPr>
      <w:r>
        <w:rPr>
          <w:rFonts w:hint="eastAsia" w:ascii="Calibri" w:hAnsi="Calibri" w:cs="宋体"/>
          <w:szCs w:val="24"/>
          <w:lang w:bidi="ar"/>
        </w:rPr>
        <w:t>管道的横截面面积：</w:t>
      </w:r>
      <w:r>
        <w:rPr>
          <w:rFonts w:ascii="Calibri" w:hAnsi="Calibri"/>
          <w:szCs w:val="24"/>
          <w:lang w:bidi="ar"/>
        </w:rPr>
        <w:t>A=</w:t>
      </w:r>
      <w:r>
        <w:rPr>
          <w:rFonts w:hint="eastAsia" w:ascii="Calibri" w:hAnsi="Calibri" w:cs="宋体"/>
          <w:szCs w:val="24"/>
          <w:lang w:bidi="ar"/>
        </w:rPr>
        <w:t>π</w:t>
      </w:r>
      <w:r>
        <w:rPr>
          <w:rFonts w:ascii="Calibri" w:hAnsi="Calibri"/>
          <w:szCs w:val="24"/>
          <w:lang w:bidi="ar"/>
        </w:rPr>
        <w:t>(D</w:t>
      </w:r>
      <w:r>
        <w:rPr>
          <w:rFonts w:ascii="Calibri" w:hAnsi="Calibri"/>
          <w:szCs w:val="24"/>
          <w:vertAlign w:val="subscript"/>
          <w:lang w:bidi="ar"/>
        </w:rPr>
        <w:t>1</w:t>
      </w:r>
      <w:r>
        <w:rPr>
          <w:rFonts w:ascii="Calibri" w:hAnsi="Calibri"/>
          <w:szCs w:val="24"/>
          <w:vertAlign w:val="superscript"/>
          <w:lang w:bidi="ar"/>
        </w:rPr>
        <w:t>2</w:t>
      </w:r>
      <w:r>
        <w:rPr>
          <w:rFonts w:ascii="Calibri" w:hAnsi="Calibri"/>
          <w:szCs w:val="24"/>
          <w:lang w:bidi="ar"/>
        </w:rPr>
        <w:t>-D</w:t>
      </w:r>
      <w:r>
        <w:rPr>
          <w:rFonts w:ascii="Calibri" w:hAnsi="Calibri"/>
          <w:szCs w:val="24"/>
          <w:vertAlign w:val="superscript"/>
          <w:lang w:bidi="ar"/>
        </w:rPr>
        <w:t>2</w:t>
      </w:r>
      <w:r>
        <w:rPr>
          <w:rFonts w:ascii="Calibri" w:hAnsi="Calibri"/>
          <w:szCs w:val="24"/>
          <w:lang w:bidi="ar"/>
        </w:rPr>
        <w:t xml:space="preserve">)/4 </w:t>
      </w:r>
      <w:r>
        <w:rPr>
          <w:rFonts w:hint="eastAsia" w:ascii="Calibri" w:hAnsi="Calibri" w:cs="宋体"/>
          <w:szCs w:val="24"/>
          <w:lang w:bidi="ar"/>
        </w:rPr>
        <w:t>（</w:t>
      </w:r>
      <w:r>
        <w:rPr>
          <w:rFonts w:ascii="Calibri" w:hAnsi="Calibri"/>
          <w:szCs w:val="24"/>
          <w:lang w:bidi="ar"/>
        </w:rPr>
        <w:t>mm</w:t>
      </w:r>
      <w:r>
        <w:rPr>
          <w:rFonts w:ascii="Calibri" w:hAnsi="Calibri"/>
          <w:szCs w:val="24"/>
          <w:vertAlign w:val="superscript"/>
          <w:lang w:bidi="ar"/>
        </w:rPr>
        <w:t>2</w:t>
      </w:r>
      <w:r>
        <w:rPr>
          <w:rFonts w:hint="eastAsia" w:ascii="Calibri" w:hAnsi="Calibri" w:cs="宋体"/>
          <w:szCs w:val="24"/>
          <w:lang w:bidi="ar"/>
        </w:rPr>
        <w:t>）</w:t>
      </w:r>
    </w:p>
    <w:p w14:paraId="327EB5FB">
      <w:pPr>
        <w:ind w:firstLine="480"/>
        <w:rPr>
          <w:szCs w:val="24"/>
        </w:rPr>
      </w:pPr>
      <w:r>
        <w:rPr>
          <w:rFonts w:hint="eastAsia" w:ascii="Calibri" w:hAnsi="Calibri" w:cs="宋体"/>
          <w:szCs w:val="24"/>
          <w:lang w:bidi="ar"/>
        </w:rPr>
        <w:t>土体的弹性抗力：</w:t>
      </w:r>
      <w:r>
        <w:rPr>
          <w:rFonts w:ascii="Calibri" w:hAnsi="Calibri"/>
          <w:szCs w:val="24"/>
          <w:lang w:bidi="ar"/>
        </w:rPr>
        <w:t>K</w:t>
      </w:r>
      <w:r>
        <w:rPr>
          <w:rFonts w:ascii="Calibri" w:hAnsi="Calibri"/>
          <w:szCs w:val="24"/>
          <w:vertAlign w:val="subscript"/>
          <w:lang w:bidi="ar"/>
        </w:rPr>
        <w:t>1</w:t>
      </w:r>
      <w:r>
        <w:rPr>
          <w:rFonts w:ascii="Calibri" w:hAnsi="Calibri"/>
          <w:szCs w:val="24"/>
          <w:lang w:bidi="ar"/>
        </w:rPr>
        <w:t>=k</w:t>
      </w:r>
      <w:r>
        <w:rPr>
          <w:rFonts w:ascii="Calibri" w:hAnsi="Calibri"/>
          <w:szCs w:val="24"/>
          <w:vertAlign w:val="subscript"/>
          <w:lang w:bidi="ar"/>
        </w:rPr>
        <w:t>1</w:t>
      </w:r>
      <w:r>
        <w:rPr>
          <w:rFonts w:hint="eastAsia" w:ascii="Calibri" w:hAnsi="Calibri" w:cs="宋体"/>
          <w:szCs w:val="24"/>
          <w:lang w:bidi="ar"/>
        </w:rPr>
        <w:t>×</w:t>
      </w:r>
      <w:r>
        <w:rPr>
          <w:rFonts w:ascii="Calibri" w:hAnsi="Calibri"/>
          <w:szCs w:val="24"/>
          <w:lang w:bidi="ar"/>
        </w:rPr>
        <w:t xml:space="preserve"> u</w:t>
      </w:r>
      <w:r>
        <w:rPr>
          <w:rFonts w:ascii="Calibri" w:hAnsi="Calibri"/>
          <w:szCs w:val="24"/>
          <w:vertAlign w:val="subscript"/>
          <w:lang w:bidi="ar"/>
        </w:rPr>
        <w:t xml:space="preserve">p </w:t>
      </w:r>
      <w:r>
        <w:rPr>
          <w:rFonts w:hint="eastAsia" w:ascii="Calibri" w:hAnsi="Calibri" w:cs="宋体"/>
          <w:szCs w:val="24"/>
          <w:lang w:bidi="ar"/>
        </w:rPr>
        <w:t>（</w:t>
      </w:r>
      <w:r>
        <w:rPr>
          <w:rFonts w:ascii="Calibri" w:hAnsi="Calibri"/>
          <w:szCs w:val="24"/>
          <w:lang w:bidi="ar"/>
        </w:rPr>
        <w:t>N/mm</w:t>
      </w:r>
      <w:r>
        <w:rPr>
          <w:rFonts w:ascii="Calibri" w:hAnsi="Calibri"/>
          <w:szCs w:val="24"/>
          <w:vertAlign w:val="superscript"/>
          <w:lang w:bidi="ar"/>
        </w:rPr>
        <w:t>2</w:t>
      </w:r>
      <w:r>
        <w:rPr>
          <w:rFonts w:hint="eastAsia" w:ascii="Calibri" w:hAnsi="Calibri" w:cs="宋体"/>
          <w:szCs w:val="24"/>
          <w:lang w:bidi="ar"/>
        </w:rPr>
        <w:t>）</w:t>
      </w:r>
    </w:p>
    <w:p w14:paraId="00BEF6AB">
      <w:pPr>
        <w:ind w:firstLine="480"/>
        <w:rPr>
          <w:szCs w:val="24"/>
        </w:rPr>
      </w:pPr>
      <w:r>
        <w:rPr>
          <w:rFonts w:hint="eastAsia" w:ascii="Calibri" w:hAnsi="Calibri" w:cs="宋体"/>
          <w:szCs w:val="24"/>
          <w:lang w:bidi="ar"/>
        </w:rPr>
        <w:t>则可得：ξ</w:t>
      </w:r>
      <w:r>
        <w:rPr>
          <w:rFonts w:ascii="Calibri" w:hAnsi="Calibri"/>
          <w:szCs w:val="24"/>
          <w:vertAlign w:val="subscript"/>
          <w:lang w:bidi="ar"/>
        </w:rPr>
        <w:t>1</w:t>
      </w:r>
      <w:r>
        <w:rPr>
          <w:rFonts w:ascii="Calibri" w:hAnsi="Calibri"/>
          <w:szCs w:val="24"/>
          <w:lang w:bidi="ar"/>
        </w:rPr>
        <w:t>=1/[1+</w:t>
      </w:r>
      <w:r>
        <w:rPr>
          <w:rFonts w:hint="eastAsia" w:ascii="Calibri" w:hAnsi="Calibri" w:cs="宋体"/>
          <w:szCs w:val="24"/>
          <w:lang w:bidi="ar"/>
        </w:rPr>
        <w:t>（</w:t>
      </w:r>
      <w:r>
        <w:rPr>
          <w:rFonts w:ascii="Calibri" w:hAnsi="Calibri"/>
          <w:szCs w:val="24"/>
          <w:lang w:bidi="ar"/>
        </w:rPr>
        <w:t>2</w:t>
      </w:r>
      <w:r>
        <w:rPr>
          <w:rFonts w:hint="eastAsia" w:ascii="宋体" w:hAnsi="宋体" w:cs="宋体"/>
          <w:szCs w:val="24"/>
          <w:lang w:bidi="ar"/>
        </w:rPr>
        <w:t>π/L</w:t>
      </w:r>
      <w:r>
        <w:rPr>
          <w:rFonts w:hint="eastAsia" w:ascii="Calibri" w:hAnsi="Calibri" w:cs="宋体"/>
          <w:szCs w:val="24"/>
          <w:lang w:bidi="ar"/>
        </w:rPr>
        <w:t>）</w:t>
      </w:r>
      <w:r>
        <w:rPr>
          <w:rFonts w:ascii="Calibri" w:hAnsi="Calibri"/>
          <w:szCs w:val="24"/>
          <w:vertAlign w:val="superscript"/>
          <w:lang w:bidi="ar"/>
        </w:rPr>
        <w:t>2</w:t>
      </w:r>
      <w:r>
        <w:rPr>
          <w:rFonts w:ascii="Calibri" w:hAnsi="Calibri"/>
          <w:szCs w:val="24"/>
          <w:lang w:bidi="ar"/>
        </w:rPr>
        <w:t>EA/K</w:t>
      </w:r>
      <w:r>
        <w:rPr>
          <w:rFonts w:ascii="Calibri" w:hAnsi="Calibri"/>
          <w:szCs w:val="24"/>
          <w:vertAlign w:val="subscript"/>
          <w:lang w:bidi="ar"/>
        </w:rPr>
        <w:t>1</w:t>
      </w:r>
      <w:r>
        <w:rPr>
          <w:rFonts w:ascii="Calibri" w:hAnsi="Calibri"/>
          <w:szCs w:val="24"/>
          <w:lang w:bidi="ar"/>
        </w:rPr>
        <w:t xml:space="preserve">] </w:t>
      </w:r>
    </w:p>
    <w:p w14:paraId="5D69E73D">
      <w:pPr>
        <w:ind w:firstLine="480"/>
        <w:rPr>
          <w:szCs w:val="24"/>
        </w:rPr>
      </w:pPr>
      <w:r>
        <w:rPr>
          <w:rFonts w:hint="eastAsia" w:ascii="Calibri" w:hAnsi="Calibri" w:cs="宋体"/>
          <w:szCs w:val="24"/>
          <w:lang w:bidi="ar"/>
        </w:rPr>
        <w:t>管道沿管线方向半个视波长范围内的位移标准值为：△</w:t>
      </w:r>
      <w:r>
        <w:rPr>
          <w:rFonts w:ascii="Calibri" w:hAnsi="Calibri"/>
          <w:szCs w:val="24"/>
          <w:vertAlign w:val="subscript"/>
          <w:lang w:bidi="ar"/>
        </w:rPr>
        <w:t>pl</w:t>
      </w:r>
      <w:r>
        <w:rPr>
          <w:rFonts w:hint="eastAsia" w:ascii="Calibri" w:hAnsi="Calibri" w:cs="宋体"/>
          <w:szCs w:val="24"/>
          <w:vertAlign w:val="subscript"/>
          <w:lang w:bidi="ar"/>
        </w:rPr>
        <w:t>，</w:t>
      </w:r>
      <w:r>
        <w:rPr>
          <w:rFonts w:ascii="Calibri" w:hAnsi="Calibri"/>
          <w:szCs w:val="24"/>
          <w:vertAlign w:val="subscript"/>
          <w:lang w:bidi="ar"/>
        </w:rPr>
        <w:t>k</w:t>
      </w:r>
      <w:r>
        <w:rPr>
          <w:rFonts w:ascii="Calibri" w:hAnsi="Calibri"/>
          <w:szCs w:val="24"/>
          <w:lang w:bidi="ar"/>
        </w:rPr>
        <w:t>=</w:t>
      </w:r>
      <w:r>
        <w:rPr>
          <w:rFonts w:hint="eastAsia" w:ascii="Calibri" w:hAnsi="Calibri" w:cs="宋体"/>
          <w:szCs w:val="24"/>
          <w:lang w:bidi="ar"/>
        </w:rPr>
        <w:t>ξ</w:t>
      </w:r>
      <w:r>
        <w:rPr>
          <w:rFonts w:ascii="Calibri" w:hAnsi="Calibri"/>
          <w:szCs w:val="24"/>
          <w:vertAlign w:val="subscript"/>
          <w:lang w:bidi="ar"/>
        </w:rPr>
        <w:t>1</w:t>
      </w:r>
      <w:r>
        <w:rPr>
          <w:rFonts w:hint="eastAsia" w:ascii="Calibri" w:hAnsi="Calibri" w:cs="宋体"/>
          <w:szCs w:val="24"/>
          <w:lang w:bidi="ar"/>
        </w:rPr>
        <w:t>×△</w:t>
      </w:r>
      <w:r>
        <w:rPr>
          <w:rFonts w:ascii="Calibri" w:hAnsi="Calibri"/>
          <w:szCs w:val="24"/>
          <w:vertAlign w:val="subscript"/>
          <w:lang w:bidi="ar"/>
        </w:rPr>
        <w:t>sl</w:t>
      </w:r>
      <w:r>
        <w:rPr>
          <w:rFonts w:ascii="Calibri" w:hAnsi="Calibri"/>
          <w:szCs w:val="24"/>
          <w:vertAlign w:val="superscript"/>
          <w:lang w:bidi="ar"/>
        </w:rPr>
        <w:t>'</w:t>
      </w:r>
      <w:r>
        <w:rPr>
          <w:rFonts w:hint="eastAsia" w:ascii="Calibri" w:hAnsi="Calibri" w:cs="宋体"/>
          <w:szCs w:val="24"/>
          <w:vertAlign w:val="subscript"/>
          <w:lang w:bidi="ar"/>
        </w:rPr>
        <w:t>，</w:t>
      </w:r>
      <w:r>
        <w:rPr>
          <w:rFonts w:ascii="Calibri" w:hAnsi="Calibri"/>
          <w:szCs w:val="24"/>
          <w:vertAlign w:val="subscript"/>
          <w:lang w:bidi="ar"/>
        </w:rPr>
        <w:t xml:space="preserve">k </w:t>
      </w:r>
      <w:r>
        <w:rPr>
          <w:rFonts w:hint="eastAsia" w:ascii="Calibri" w:hAnsi="Calibri" w:cs="宋体"/>
          <w:szCs w:val="24"/>
          <w:lang w:bidi="ar"/>
        </w:rPr>
        <w:t>（</w:t>
      </w:r>
      <w:r>
        <w:rPr>
          <w:rFonts w:ascii="Calibri" w:hAnsi="Calibri"/>
          <w:szCs w:val="24"/>
          <w:lang w:bidi="ar"/>
        </w:rPr>
        <w:t>mm</w:t>
      </w:r>
      <w:r>
        <w:rPr>
          <w:rFonts w:hint="eastAsia" w:ascii="Calibri" w:hAnsi="Calibri" w:cs="宋体"/>
          <w:szCs w:val="24"/>
          <w:lang w:bidi="ar"/>
        </w:rPr>
        <w:t>）</w:t>
      </w:r>
    </w:p>
    <w:p w14:paraId="7C4EF2D2">
      <w:pPr>
        <w:ind w:firstLine="480"/>
        <w:rPr>
          <w:szCs w:val="24"/>
        </w:rPr>
      </w:pPr>
      <w:r>
        <w:rPr>
          <w:rFonts w:hint="eastAsia" w:ascii="Calibri" w:hAnsi="Calibri" w:cs="宋体"/>
          <w:szCs w:val="24"/>
          <w:lang w:bidi="ar"/>
        </w:rPr>
        <w:t>管道在半个视波长范围内的接头数（个）：</w:t>
      </w:r>
      <w:r>
        <w:rPr>
          <w:rFonts w:ascii="Calibri" w:hAnsi="Calibri"/>
          <w:szCs w:val="24"/>
          <w:lang w:bidi="ar"/>
        </w:rPr>
        <w:t>n=</w:t>
      </w:r>
      <w:r>
        <w:rPr>
          <w:rFonts w:ascii="Calibri" w:hAnsi="Calibri"/>
          <w:szCs w:val="24"/>
          <w:lang w:bidi="ar"/>
        </w:rPr>
        <w:object>
          <v:shape id="_x0000_i1026" o:spt="75" type="#_x0000_t75" style="height:41.9pt;width:33.3pt;" o:ole="t" filled="f" o:preferrelative="t" stroked="f" coordsize="21600,21600">
            <v:path/>
            <v:fill on="f" focussize="0,0"/>
            <v:stroke on="f" joinstyle="miter"/>
            <v:imagedata r:id="rId23" o:title=""/>
            <o:lock v:ext="edit" aspectratio="t"/>
            <w10:wrap type="none"/>
            <w10:anchorlock/>
          </v:shape>
          <o:OLEObject Type="Embed" ProgID="Equation.3" ShapeID="_x0000_i1026" DrawAspect="Content" ObjectID="_1468075726" r:id="rId22">
            <o:LockedField>false</o:LockedField>
          </o:OLEObject>
        </w:object>
      </w:r>
      <w:r>
        <w:rPr>
          <w:rFonts w:ascii="Calibri" w:hAnsi="Calibri"/>
          <w:position w:val="-36"/>
          <w:szCs w:val="24"/>
          <w:lang w:bidi="ar"/>
        </w:rPr>
        <w:t xml:space="preserve"> </w:t>
      </w:r>
    </w:p>
    <w:p w14:paraId="01668CEF">
      <w:pPr>
        <w:ind w:firstLine="480"/>
        <w:rPr>
          <w:position w:val="-24"/>
          <w:szCs w:val="24"/>
        </w:rPr>
      </w:pPr>
      <w:r>
        <w:rPr>
          <w:rFonts w:hint="eastAsia" w:ascii="Calibri" w:hAnsi="Calibri" w:cs="宋体"/>
          <w:szCs w:val="24"/>
          <w:lang w:bidi="ar"/>
        </w:rPr>
        <w:t>满足抗震要求时，每个接头应具有的允许位移量（</w:t>
      </w:r>
      <w:r>
        <w:rPr>
          <w:rFonts w:ascii="Calibri" w:hAnsi="Calibri"/>
          <w:szCs w:val="24"/>
          <w:lang w:bidi="ar"/>
        </w:rPr>
        <w:t>mm</w:t>
      </w:r>
      <w:r>
        <w:rPr>
          <w:rFonts w:hint="eastAsia" w:ascii="Calibri" w:hAnsi="Calibri" w:cs="宋体"/>
          <w:szCs w:val="24"/>
          <w:lang w:bidi="ar"/>
        </w:rPr>
        <w:t>）：</w:t>
      </w:r>
      <w:r>
        <w:rPr>
          <w:rFonts w:ascii="Calibri" w:hAnsi="Calibri"/>
          <w:szCs w:val="24"/>
          <w:lang w:bidi="ar"/>
        </w:rPr>
        <w:t>u</w:t>
      </w:r>
      <w:r>
        <w:rPr>
          <w:rFonts w:ascii="Calibri" w:hAnsi="Calibri"/>
          <w:szCs w:val="24"/>
          <w:vertAlign w:val="subscript"/>
          <w:lang w:bidi="ar"/>
        </w:rPr>
        <w:t>a</w:t>
      </w:r>
      <w:r>
        <w:rPr>
          <w:rFonts w:ascii="Calibri" w:hAnsi="Calibri"/>
          <w:szCs w:val="24"/>
          <w:lang w:bidi="ar"/>
        </w:rPr>
        <w:t>=</w:t>
      </w:r>
      <w:r>
        <w:rPr>
          <w:rFonts w:ascii="Calibri" w:hAnsi="Calibri"/>
          <w:szCs w:val="24"/>
          <w:lang w:bidi="ar"/>
        </w:rPr>
        <w:object>
          <v:shape id="_x0000_i1027" o:spt="75" type="#_x0000_t75" style="height:40.85pt;width:98.85pt;" o:ole="t" filled="f" o:preferrelative="t" stroked="f" coordsize="21600,21600">
            <v:path/>
            <v:fill on="f" focussize="0,0"/>
            <v:stroke on="f" joinstyle="miter"/>
            <v:imagedata r:id="rId25" o:title=""/>
            <o:lock v:ext="edit" aspectratio="t"/>
            <w10:wrap type="none"/>
            <w10:anchorlock/>
          </v:shape>
          <o:OLEObject Type="Embed" ProgID="Equation.3" ShapeID="_x0000_i1027" DrawAspect="Content" ObjectID="_1468075727" r:id="rId24">
            <o:LockedField>false</o:LockedField>
          </o:OLEObject>
        </w:object>
      </w:r>
    </w:p>
    <w:p w14:paraId="732E35ED">
      <w:pPr>
        <w:ind w:firstLine="480"/>
        <w:rPr>
          <w:rFonts w:ascii="Calibri" w:hAnsi="Calibri" w:cs="宋体"/>
          <w:szCs w:val="24"/>
          <w:lang w:bidi="ar"/>
        </w:rPr>
      </w:pPr>
      <w:r>
        <w:rPr>
          <w:rFonts w:hint="eastAsia" w:ascii="Calibri" w:hAnsi="Calibri" w:cs="宋体"/>
          <w:szCs w:val="24"/>
          <w:lang w:bidi="ar"/>
        </w:rPr>
        <w:t>根据抗震</w:t>
      </w:r>
      <w:r>
        <w:rPr>
          <w:rFonts w:ascii="Calibri" w:hAnsi="Calibri" w:cs="宋体"/>
          <w:szCs w:val="24"/>
          <w:lang w:bidi="ar"/>
        </w:rPr>
        <w:t>验算</w:t>
      </w:r>
      <w:r>
        <w:rPr>
          <w:rFonts w:hint="eastAsia" w:ascii="Calibri" w:hAnsi="Calibri" w:cs="宋体"/>
          <w:szCs w:val="24"/>
          <w:lang w:bidi="ar"/>
        </w:rPr>
        <w:t>，本工程</w:t>
      </w:r>
      <w:r>
        <w:rPr>
          <w:rFonts w:ascii="Calibri" w:hAnsi="Calibri" w:cs="宋体"/>
          <w:szCs w:val="24"/>
          <w:lang w:bidi="ar"/>
        </w:rPr>
        <w:t>管道</w:t>
      </w:r>
      <w:r>
        <w:rPr>
          <w:rFonts w:hint="eastAsia" w:ascii="Calibri" w:hAnsi="Calibri" w:cs="宋体"/>
          <w:b/>
          <w:szCs w:val="24"/>
          <w:lang w:bidi="ar"/>
        </w:rPr>
        <w:t>满足抗震要求。</w:t>
      </w:r>
      <w:r>
        <w:rPr>
          <w:rFonts w:hint="eastAsia" w:ascii="Calibri" w:hAnsi="Calibri" w:cs="宋体"/>
          <w:szCs w:val="24"/>
          <w:lang w:bidi="ar"/>
        </w:rPr>
        <w:t>详见下计算表。</w:t>
      </w:r>
    </w:p>
    <w:p w14:paraId="0C696760">
      <w:pPr>
        <w:ind w:firstLine="480"/>
        <w:rPr>
          <w:rFonts w:ascii="Calibri" w:hAnsi="Calibri" w:cs="宋体"/>
          <w:szCs w:val="24"/>
          <w:lang w:bidi="ar"/>
        </w:rPr>
      </w:pPr>
    </w:p>
    <w:p w14:paraId="04EDA22C">
      <w:pPr>
        <w:ind w:firstLine="480"/>
        <w:rPr>
          <w:rFonts w:ascii="Calibri" w:hAnsi="Calibri" w:cs="宋体"/>
          <w:szCs w:val="24"/>
          <w:lang w:bidi="ar"/>
        </w:rPr>
      </w:pPr>
    </w:p>
    <w:p w14:paraId="5116D4F8">
      <w:pPr>
        <w:ind w:firstLine="480"/>
        <w:rPr>
          <w:rFonts w:ascii="Calibri" w:hAnsi="Calibri" w:cs="宋体"/>
          <w:szCs w:val="24"/>
          <w:lang w:bidi="ar"/>
        </w:rPr>
      </w:pPr>
    </w:p>
    <w:p w14:paraId="2A72813C">
      <w:pPr>
        <w:ind w:firstLine="480"/>
        <w:rPr>
          <w:rFonts w:ascii="Calibri" w:hAnsi="Calibri" w:cs="宋体"/>
          <w:szCs w:val="24"/>
          <w:lang w:bidi="ar"/>
        </w:rPr>
      </w:pPr>
    </w:p>
    <w:p w14:paraId="71C8EBF7">
      <w:pPr>
        <w:ind w:firstLine="480"/>
        <w:rPr>
          <w:rFonts w:ascii="Calibri" w:hAnsi="Calibri" w:cs="宋体"/>
          <w:szCs w:val="24"/>
          <w:lang w:bidi="ar"/>
        </w:rPr>
      </w:pPr>
    </w:p>
    <w:p w14:paraId="21692ED3">
      <w:pPr>
        <w:ind w:firstLine="480"/>
        <w:rPr>
          <w:rFonts w:ascii="Calibri" w:hAnsi="Calibri" w:cs="宋体"/>
          <w:szCs w:val="24"/>
          <w:lang w:bidi="ar"/>
        </w:rPr>
      </w:pPr>
    </w:p>
    <w:p w14:paraId="6889ED62">
      <w:pPr>
        <w:ind w:firstLine="480"/>
        <w:rPr>
          <w:rFonts w:ascii="Calibri" w:hAnsi="Calibri" w:cs="宋体"/>
          <w:szCs w:val="24"/>
          <w:lang w:bidi="ar"/>
        </w:rPr>
      </w:pPr>
    </w:p>
    <w:p w14:paraId="545175DE">
      <w:pPr>
        <w:ind w:firstLine="480"/>
        <w:rPr>
          <w:rFonts w:ascii="Calibri" w:hAnsi="Calibri" w:cs="宋体"/>
          <w:szCs w:val="24"/>
          <w:lang w:bidi="ar"/>
        </w:rPr>
      </w:pPr>
    </w:p>
    <w:p w14:paraId="5D246429">
      <w:pPr>
        <w:ind w:firstLine="480"/>
        <w:rPr>
          <w:rFonts w:ascii="Calibri" w:hAnsi="Calibri" w:cs="宋体"/>
          <w:szCs w:val="24"/>
          <w:lang w:bidi="ar"/>
        </w:rPr>
      </w:pPr>
    </w:p>
    <w:p w14:paraId="2D715462">
      <w:pPr>
        <w:ind w:firstLine="480"/>
        <w:rPr>
          <w:rFonts w:ascii="Calibri" w:hAnsi="Calibri" w:cs="宋体"/>
          <w:szCs w:val="24"/>
          <w:lang w:bidi="ar"/>
        </w:rPr>
      </w:pPr>
    </w:p>
    <w:p w14:paraId="6F1F65F5">
      <w:pPr>
        <w:ind w:firstLine="480"/>
        <w:rPr>
          <w:rFonts w:ascii="Calibri" w:hAnsi="Calibri" w:cs="宋体"/>
          <w:szCs w:val="24"/>
          <w:lang w:bidi="ar"/>
        </w:rPr>
        <w:sectPr>
          <w:footerReference r:id="rId13" w:type="default"/>
          <w:pgSz w:w="23814" w:h="16839" w:orient="landscape"/>
          <w:pgMar w:top="1219" w:right="1219" w:bottom="1219" w:left="1219" w:header="851" w:footer="851" w:gutter="0"/>
          <w:pgNumType w:start="1"/>
          <w:cols w:space="720" w:num="2"/>
          <w:docGrid w:type="lines" w:linePitch="381" w:charSpace="0"/>
        </w:sectPr>
      </w:pPr>
    </w:p>
    <w:p w14:paraId="57923C51">
      <w:pPr>
        <w:ind w:firstLine="480"/>
        <w:rPr>
          <w:rFonts w:ascii="Calibri" w:hAnsi="Calibri" w:cs="宋体"/>
          <w:szCs w:val="24"/>
          <w:lang w:bidi="ar"/>
        </w:rPr>
      </w:pPr>
    </w:p>
    <w:tbl>
      <w:tblPr>
        <w:tblStyle w:val="29"/>
        <w:tblW w:w="21300" w:type="dxa"/>
        <w:tblInd w:w="93" w:type="dxa"/>
        <w:tblLayout w:type="autofit"/>
        <w:tblCellMar>
          <w:top w:w="0" w:type="dxa"/>
          <w:left w:w="108" w:type="dxa"/>
          <w:bottom w:w="0" w:type="dxa"/>
          <w:right w:w="108" w:type="dxa"/>
        </w:tblCellMar>
      </w:tblPr>
      <w:tblGrid>
        <w:gridCol w:w="555"/>
        <w:gridCol w:w="1193"/>
        <w:gridCol w:w="723"/>
        <w:gridCol w:w="724"/>
        <w:gridCol w:w="1080"/>
        <w:gridCol w:w="816"/>
        <w:gridCol w:w="1228"/>
        <w:gridCol w:w="816"/>
        <w:gridCol w:w="694"/>
        <w:gridCol w:w="874"/>
        <w:gridCol w:w="816"/>
        <w:gridCol w:w="905"/>
        <w:gridCol w:w="928"/>
        <w:gridCol w:w="826"/>
        <w:gridCol w:w="1080"/>
        <w:gridCol w:w="1080"/>
        <w:gridCol w:w="1228"/>
        <w:gridCol w:w="932"/>
        <w:gridCol w:w="972"/>
        <w:gridCol w:w="416"/>
        <w:gridCol w:w="1070"/>
        <w:gridCol w:w="928"/>
        <w:gridCol w:w="1416"/>
      </w:tblGrid>
      <w:tr w14:paraId="58E4AEB4">
        <w:tblPrEx>
          <w:tblCellMar>
            <w:top w:w="0" w:type="dxa"/>
            <w:left w:w="108" w:type="dxa"/>
            <w:bottom w:w="0" w:type="dxa"/>
            <w:right w:w="108" w:type="dxa"/>
          </w:tblCellMar>
        </w:tblPrEx>
        <w:trPr>
          <w:trHeight w:val="559" w:hRule="atLeast"/>
        </w:trPr>
        <w:tc>
          <w:tcPr>
            <w:tcW w:w="21300" w:type="dxa"/>
            <w:gridSpan w:val="2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0F87D">
            <w:pPr>
              <w:widowControl/>
              <w:spacing w:line="240" w:lineRule="auto"/>
              <w:ind w:firstLine="0" w:firstLineChars="0"/>
              <w:jc w:val="center"/>
              <w:textAlignment w:val="center"/>
              <w:rPr>
                <w:rFonts w:ascii="宋体" w:hAnsi="宋体" w:eastAsia="宋体" w:cs="宋体"/>
                <w:kern w:val="0"/>
                <w:sz w:val="20"/>
                <w:szCs w:val="20"/>
                <w:lang w:bidi="ar"/>
              </w:rPr>
            </w:pPr>
            <w:r>
              <w:rPr>
                <w:rFonts w:hint="eastAsia" w:hAnsi="宋体"/>
                <w:b/>
                <w:bCs/>
              </w:rPr>
              <w:t>承插口管抗震验算表</w:t>
            </w:r>
          </w:p>
        </w:tc>
      </w:tr>
      <w:tr w14:paraId="607972DB">
        <w:tblPrEx>
          <w:tblCellMar>
            <w:top w:w="0" w:type="dxa"/>
            <w:left w:w="108" w:type="dxa"/>
            <w:bottom w:w="0" w:type="dxa"/>
            <w:right w:w="108" w:type="dxa"/>
          </w:tblCellMar>
        </w:tblPrEx>
        <w:trPr>
          <w:trHeight w:val="1200" w:hRule="atLeast"/>
        </w:trPr>
        <w:tc>
          <w:tcPr>
            <w:tcW w:w="55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B91BA6">
            <w:pPr>
              <w:widowControl/>
              <w:spacing w:line="240" w:lineRule="auto"/>
              <w:ind w:firstLine="0" w:firstLineChars="0"/>
              <w:jc w:val="center"/>
              <w:textAlignment w:val="center"/>
              <w:rPr>
                <w:rFonts w:ascii="宋体" w:hAnsi="宋体" w:eastAsia="宋体" w:cs="宋体"/>
                <w:sz w:val="20"/>
                <w:szCs w:val="20"/>
              </w:rPr>
            </w:pPr>
          </w:p>
          <w:p w14:paraId="364A8EFE">
            <w:pPr>
              <w:widowControl/>
              <w:spacing w:line="240" w:lineRule="auto"/>
              <w:ind w:firstLine="0" w:firstLineChars="0"/>
              <w:jc w:val="center"/>
              <w:textAlignment w:val="center"/>
              <w:rPr>
                <w:rFonts w:ascii="宋体" w:hAnsi="宋体" w:eastAsia="宋体" w:cs="宋体"/>
                <w:sz w:val="20"/>
                <w:szCs w:val="20"/>
              </w:rPr>
            </w:pPr>
          </w:p>
        </w:tc>
        <w:tc>
          <w:tcPr>
            <w:tcW w:w="264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75B3AE">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管道规格（</w:t>
            </w:r>
            <w:r>
              <w:rPr>
                <w:rFonts w:ascii="Times New Roman" w:hAnsi="Times New Roman" w:eastAsia="宋体" w:cs="Times New Roman"/>
                <w:kern w:val="0"/>
                <w:sz w:val="20"/>
                <w:szCs w:val="20"/>
                <w:lang w:bidi="ar"/>
              </w:rPr>
              <w:t>mm</w:t>
            </w:r>
            <w:r>
              <w:rPr>
                <w:rFonts w:hint="eastAsia" w:ascii="宋体" w:hAnsi="宋体" w:eastAsia="宋体" w:cs="宋体"/>
                <w:kern w:val="0"/>
                <w:sz w:val="20"/>
                <w:szCs w:val="20"/>
                <w:lang w:bidi="ar"/>
              </w:rPr>
              <w:t>）</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6B6112">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管道材质</w:t>
            </w:r>
          </w:p>
        </w:tc>
        <w:tc>
          <w:tcPr>
            <w:tcW w:w="81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B39F0C3">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单节管道长度</w:t>
            </w:r>
            <w:r>
              <w:rPr>
                <w:rFonts w:ascii="Times New Roman" w:hAnsi="Times New Roman" w:eastAsia="宋体" w:cs="Times New Roman"/>
                <w:kern w:val="0"/>
                <w:sz w:val="20"/>
                <w:szCs w:val="20"/>
                <w:lang w:bidi="ar"/>
              </w:rPr>
              <w:t>l</w:t>
            </w:r>
            <w:r>
              <w:rPr>
                <w:rFonts w:ascii="Times New Roman" w:hAnsi="Times New Roman" w:eastAsia="宋体" w:cs="Times New Roman"/>
                <w:kern w:val="0"/>
                <w:szCs w:val="24"/>
                <w:lang w:bidi="ar"/>
              </w:rPr>
              <w:t>p</w:t>
            </w:r>
            <w:r>
              <w:rPr>
                <w:rFonts w:hint="eastAsia" w:ascii="宋体" w:hAnsi="宋体" w:eastAsia="宋体" w:cs="宋体"/>
                <w:kern w:val="0"/>
                <w:sz w:val="20"/>
                <w:szCs w:val="20"/>
                <w:lang w:bidi="ar"/>
              </w:rPr>
              <w:t>（mm）</w:t>
            </w:r>
          </w:p>
        </w:tc>
        <w:tc>
          <w:tcPr>
            <w:tcW w:w="122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FA5ACD5">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管材弹性模量</w:t>
            </w:r>
            <w:r>
              <w:rPr>
                <w:rFonts w:ascii="Times New Roman" w:hAnsi="Times New Roman" w:eastAsia="宋体" w:cs="Times New Roman"/>
                <w:kern w:val="0"/>
                <w:sz w:val="20"/>
                <w:szCs w:val="20"/>
                <w:lang w:bidi="ar"/>
              </w:rPr>
              <w:t>Ep</w:t>
            </w:r>
            <w:r>
              <w:rPr>
                <w:rFonts w:hint="eastAsia" w:ascii="宋体" w:hAnsi="宋体" w:eastAsia="宋体" w:cs="宋体"/>
                <w:kern w:val="0"/>
                <w:sz w:val="20"/>
                <w:szCs w:val="20"/>
                <w:lang w:bidi="ar"/>
              </w:rPr>
              <w:t>（</w:t>
            </w:r>
            <w:r>
              <w:rPr>
                <w:rFonts w:ascii="Times New Roman" w:hAnsi="Times New Roman" w:eastAsia="宋体" w:cs="Times New Roman"/>
                <w:kern w:val="0"/>
                <w:sz w:val="20"/>
                <w:szCs w:val="20"/>
                <w:lang w:bidi="ar"/>
              </w:rPr>
              <w:t>N/mm2</w:t>
            </w:r>
            <w:r>
              <w:rPr>
                <w:rFonts w:hint="eastAsia" w:ascii="宋体" w:hAnsi="宋体" w:eastAsia="宋体" w:cs="宋体"/>
                <w:kern w:val="0"/>
                <w:sz w:val="20"/>
                <w:szCs w:val="20"/>
                <w:lang w:bidi="ar"/>
              </w:rPr>
              <w:t>）</w:t>
            </w:r>
          </w:p>
        </w:tc>
        <w:tc>
          <w:tcPr>
            <w:tcW w:w="15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4F86C">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抗震设防要求</w:t>
            </w:r>
          </w:p>
        </w:tc>
        <w:tc>
          <w:tcPr>
            <w:tcW w:w="2595"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A97F6C">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场地地址条件</w:t>
            </w:r>
          </w:p>
        </w:tc>
        <w:tc>
          <w:tcPr>
            <w:tcW w:w="92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A088A15">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本场地土体的最大水平位移标准值</w:t>
            </w:r>
            <w:r>
              <w:rPr>
                <w:rFonts w:ascii="Times New Roman" w:hAnsi="Times New Roman" w:eastAsia="宋体" w:cs="Times New Roman"/>
                <w:kern w:val="0"/>
                <w:sz w:val="20"/>
                <w:szCs w:val="20"/>
                <w:lang w:bidi="ar"/>
              </w:rPr>
              <w:t>Uok</w:t>
            </w:r>
            <w:r>
              <w:rPr>
                <w:rFonts w:hint="eastAsia" w:ascii="宋体" w:hAnsi="宋体" w:eastAsia="宋体" w:cs="宋体"/>
                <w:kern w:val="0"/>
                <w:sz w:val="20"/>
                <w:szCs w:val="20"/>
                <w:lang w:bidi="ar"/>
              </w:rPr>
              <w:t>（</w:t>
            </w:r>
            <w:r>
              <w:rPr>
                <w:rFonts w:ascii="Times New Roman" w:hAnsi="Times New Roman" w:eastAsia="宋体" w:cs="Times New Roman"/>
                <w:kern w:val="0"/>
                <w:sz w:val="20"/>
                <w:szCs w:val="20"/>
                <w:lang w:bidi="ar"/>
              </w:rPr>
              <w:t>mm</w:t>
            </w:r>
            <w:r>
              <w:rPr>
                <w:rFonts w:hint="eastAsia" w:ascii="宋体" w:hAnsi="宋体" w:eastAsia="宋体" w:cs="宋体"/>
                <w:kern w:val="0"/>
                <w:sz w:val="20"/>
                <w:szCs w:val="20"/>
                <w:lang w:bidi="ar"/>
              </w:rPr>
              <w:t>）</w:t>
            </w:r>
          </w:p>
        </w:tc>
        <w:tc>
          <w:tcPr>
            <w:tcW w:w="8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57C7F0">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沿管线方向半个视波长范围内自由土体的位移标准值</w:t>
            </w:r>
          </w:p>
        </w:tc>
        <w:tc>
          <w:tcPr>
            <w:tcW w:w="4320"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002676">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管、土间的方位移传递系数</w:t>
            </w:r>
            <w:r>
              <w:rPr>
                <w:rFonts w:ascii="Times New Roman" w:hAnsi="Times New Roman" w:eastAsia="宋体" w:cs="Times New Roman"/>
                <w:kern w:val="0"/>
                <w:sz w:val="20"/>
                <w:szCs w:val="20"/>
                <w:lang w:bidi="ar"/>
              </w:rPr>
              <w:t>ξ1</w:t>
            </w:r>
          </w:p>
        </w:tc>
        <w:tc>
          <w:tcPr>
            <w:tcW w:w="97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81571EE">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管道沿管线方向半个视波长范围内的位移标准值</w:t>
            </w:r>
            <w:r>
              <w:rPr>
                <w:rFonts w:ascii="Times New Roman" w:hAnsi="Times New Roman" w:eastAsia="宋体" w:cs="Times New Roman"/>
                <w:kern w:val="0"/>
                <w:sz w:val="20"/>
                <w:szCs w:val="20"/>
                <w:lang w:bidi="ar"/>
              </w:rPr>
              <w:t>△pl</w:t>
            </w:r>
            <w:r>
              <w:rPr>
                <w:rFonts w:hint="eastAsia" w:ascii="宋体" w:hAnsi="宋体" w:eastAsia="宋体" w:cs="宋体"/>
                <w:kern w:val="0"/>
                <w:sz w:val="20"/>
                <w:szCs w:val="20"/>
                <w:lang w:bidi="ar"/>
              </w:rPr>
              <w:t>，</w:t>
            </w:r>
            <w:r>
              <w:rPr>
                <w:rFonts w:ascii="Times New Roman" w:hAnsi="Times New Roman" w:eastAsia="宋体" w:cs="Times New Roman"/>
                <w:kern w:val="0"/>
                <w:sz w:val="20"/>
                <w:szCs w:val="20"/>
                <w:lang w:bidi="ar"/>
              </w:rPr>
              <w:t>k</w:t>
            </w:r>
            <w:r>
              <w:rPr>
                <w:rFonts w:hint="eastAsia" w:ascii="宋体" w:hAnsi="宋体" w:eastAsia="宋体" w:cs="宋体"/>
                <w:kern w:val="0"/>
                <w:sz w:val="20"/>
                <w:szCs w:val="20"/>
                <w:lang w:bidi="ar"/>
              </w:rPr>
              <w:t>（</w:t>
            </w:r>
            <w:r>
              <w:rPr>
                <w:rFonts w:ascii="Times New Roman" w:hAnsi="Times New Roman" w:eastAsia="宋体" w:cs="Times New Roman"/>
                <w:kern w:val="0"/>
                <w:sz w:val="20"/>
                <w:szCs w:val="20"/>
                <w:lang w:bidi="ar"/>
              </w:rPr>
              <w:t>mm</w:t>
            </w:r>
            <w:r>
              <w:rPr>
                <w:rFonts w:hint="eastAsia" w:ascii="宋体" w:hAnsi="宋体" w:eastAsia="宋体" w:cs="宋体"/>
                <w:kern w:val="0"/>
                <w:sz w:val="20"/>
                <w:szCs w:val="20"/>
                <w:lang w:bidi="ar"/>
              </w:rPr>
              <w:t>）</w:t>
            </w:r>
          </w:p>
        </w:tc>
        <w:tc>
          <w:tcPr>
            <w:tcW w:w="41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453EF8B">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管道在半个视波长范围内的接头数</w:t>
            </w:r>
            <w:r>
              <w:rPr>
                <w:rFonts w:ascii="Times New Roman" w:hAnsi="Times New Roman" w:eastAsia="宋体" w:cs="Times New Roman"/>
                <w:kern w:val="0"/>
                <w:sz w:val="20"/>
                <w:szCs w:val="20"/>
                <w:lang w:bidi="ar"/>
              </w:rPr>
              <w:t>n</w:t>
            </w:r>
          </w:p>
        </w:tc>
        <w:tc>
          <w:tcPr>
            <w:tcW w:w="107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B724CA2">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满足抗震要求时，每个接口的位移量估算值</w:t>
            </w:r>
            <w:r>
              <w:rPr>
                <w:rFonts w:ascii="Times New Roman" w:hAnsi="Times New Roman" w:eastAsia="宋体" w:cs="Times New Roman"/>
                <w:kern w:val="0"/>
                <w:sz w:val="20"/>
                <w:szCs w:val="20"/>
                <w:lang w:bidi="ar"/>
              </w:rPr>
              <w:t>u</w:t>
            </w:r>
            <w:r>
              <w:rPr>
                <w:rFonts w:ascii="Times New Roman" w:hAnsi="Times New Roman" w:eastAsia="宋体" w:cs="Times New Roman"/>
                <w:kern w:val="0"/>
                <w:szCs w:val="24"/>
                <w:lang w:bidi="ar"/>
              </w:rPr>
              <w:t>a</w:t>
            </w:r>
            <w:r>
              <w:rPr>
                <w:rFonts w:hint="eastAsia" w:ascii="宋体" w:hAnsi="宋体" w:eastAsia="宋体" w:cs="宋体"/>
                <w:kern w:val="0"/>
                <w:szCs w:val="24"/>
                <w:lang w:bidi="ar"/>
              </w:rPr>
              <w:t>（</w:t>
            </w:r>
            <w:r>
              <w:rPr>
                <w:rFonts w:ascii="Times New Roman" w:hAnsi="Times New Roman" w:eastAsia="宋体" w:cs="Times New Roman"/>
                <w:kern w:val="0"/>
                <w:szCs w:val="24"/>
                <w:lang w:bidi="ar"/>
              </w:rPr>
              <w:t>mm</w:t>
            </w:r>
            <w:r>
              <w:rPr>
                <w:rFonts w:hint="eastAsia" w:ascii="宋体" w:hAnsi="宋体" w:eastAsia="宋体" w:cs="宋体"/>
                <w:kern w:val="0"/>
                <w:szCs w:val="24"/>
                <w:lang w:bidi="ar"/>
              </w:rPr>
              <w:t>）</w:t>
            </w:r>
          </w:p>
        </w:tc>
        <w:tc>
          <w:tcPr>
            <w:tcW w:w="92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CB2DC9B">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管道接口允许最大伸缩量</w:t>
            </w:r>
            <w:r>
              <w:rPr>
                <w:rFonts w:ascii="Times New Roman" w:hAnsi="Times New Roman" w:eastAsia="宋体" w:cs="Times New Roman"/>
                <w:kern w:val="0"/>
                <w:sz w:val="20"/>
                <w:szCs w:val="20"/>
                <w:lang w:bidi="ar"/>
              </w:rPr>
              <w:t>[Ua]</w:t>
            </w:r>
            <w:r>
              <w:rPr>
                <w:rFonts w:hint="eastAsia" w:ascii="宋体" w:hAnsi="宋体" w:eastAsia="宋体" w:cs="宋体"/>
                <w:kern w:val="0"/>
                <w:sz w:val="20"/>
                <w:szCs w:val="20"/>
                <w:lang w:bidi="ar"/>
              </w:rPr>
              <w:t>值（</w:t>
            </w:r>
            <w:r>
              <w:rPr>
                <w:rFonts w:ascii="Times New Roman" w:hAnsi="Times New Roman" w:eastAsia="宋体" w:cs="Times New Roman"/>
                <w:kern w:val="0"/>
                <w:sz w:val="20"/>
                <w:szCs w:val="20"/>
                <w:lang w:bidi="ar"/>
              </w:rPr>
              <w:t>mm</w:t>
            </w:r>
            <w:r>
              <w:rPr>
                <w:rFonts w:hint="eastAsia" w:ascii="宋体" w:hAnsi="宋体" w:eastAsia="宋体" w:cs="宋体"/>
                <w:kern w:val="0"/>
                <w:sz w:val="20"/>
                <w:szCs w:val="20"/>
                <w:lang w:bidi="ar"/>
              </w:rPr>
              <w:t>）</w:t>
            </w:r>
          </w:p>
        </w:tc>
        <w:tc>
          <w:tcPr>
            <w:tcW w:w="141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E5D41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验算结论</w:t>
            </w:r>
          </w:p>
        </w:tc>
      </w:tr>
      <w:tr w14:paraId="115CD4AA">
        <w:tblPrEx>
          <w:tblCellMar>
            <w:top w:w="0" w:type="dxa"/>
            <w:left w:w="108" w:type="dxa"/>
            <w:bottom w:w="0" w:type="dxa"/>
            <w:right w:w="108" w:type="dxa"/>
          </w:tblCellMar>
        </w:tblPrEx>
        <w:trPr>
          <w:trHeight w:val="540" w:hRule="atLeast"/>
        </w:trPr>
        <w:tc>
          <w:tcPr>
            <w:tcW w:w="55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BCCFB6">
            <w:pPr>
              <w:widowControl/>
              <w:spacing w:line="240" w:lineRule="auto"/>
              <w:ind w:firstLine="0" w:firstLineChars="0"/>
              <w:jc w:val="center"/>
              <w:rPr>
                <w:rFonts w:ascii="宋体" w:hAnsi="宋体" w:eastAsia="宋体" w:cs="宋体"/>
                <w:sz w:val="20"/>
                <w:szCs w:val="20"/>
              </w:rPr>
            </w:pPr>
          </w:p>
        </w:tc>
        <w:tc>
          <w:tcPr>
            <w:tcW w:w="119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A9E5B">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公称直径</w:t>
            </w:r>
          </w:p>
        </w:tc>
        <w:tc>
          <w:tcPr>
            <w:tcW w:w="72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C2AF9D">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内径</w:t>
            </w:r>
          </w:p>
        </w:tc>
        <w:tc>
          <w:tcPr>
            <w:tcW w:w="724"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B8CABE">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壁厚</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17F5F1">
            <w:pPr>
              <w:widowControl/>
              <w:spacing w:line="240" w:lineRule="auto"/>
              <w:ind w:firstLine="0" w:firstLineChars="0"/>
              <w:jc w:val="center"/>
              <w:rPr>
                <w:rFonts w:ascii="宋体" w:hAnsi="宋体" w:eastAsia="宋体" w:cs="宋体"/>
                <w:sz w:val="20"/>
                <w:szCs w:val="20"/>
              </w:rPr>
            </w:pPr>
          </w:p>
        </w:tc>
        <w:tc>
          <w:tcPr>
            <w:tcW w:w="81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F8F062">
            <w:pPr>
              <w:widowControl/>
              <w:spacing w:line="240" w:lineRule="auto"/>
              <w:ind w:firstLine="0" w:firstLineChars="0"/>
              <w:jc w:val="center"/>
              <w:rPr>
                <w:rFonts w:ascii="宋体" w:hAnsi="宋体" w:eastAsia="宋体" w:cs="宋体"/>
                <w:sz w:val="20"/>
                <w:szCs w:val="20"/>
              </w:rPr>
            </w:pPr>
          </w:p>
        </w:tc>
        <w:tc>
          <w:tcPr>
            <w:tcW w:w="12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A3E853">
            <w:pPr>
              <w:widowControl/>
              <w:spacing w:line="240" w:lineRule="auto"/>
              <w:ind w:firstLine="0" w:firstLineChars="0"/>
              <w:jc w:val="center"/>
              <w:rPr>
                <w:rFonts w:ascii="宋体" w:hAnsi="宋体" w:eastAsia="宋体" w:cs="宋体"/>
                <w:sz w:val="20"/>
                <w:szCs w:val="20"/>
              </w:rPr>
            </w:pPr>
          </w:p>
        </w:tc>
        <w:tc>
          <w:tcPr>
            <w:tcW w:w="81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A7E8B6E">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设防烈度（度）</w:t>
            </w:r>
          </w:p>
        </w:tc>
        <w:tc>
          <w:tcPr>
            <w:tcW w:w="69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7DB7F7D">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特征周期</w:t>
            </w:r>
            <w:r>
              <w:rPr>
                <w:rFonts w:ascii="Times New Roman" w:hAnsi="Times New Roman" w:eastAsia="宋体" w:cs="Times New Roman"/>
                <w:kern w:val="0"/>
                <w:sz w:val="20"/>
                <w:szCs w:val="20"/>
                <w:lang w:bidi="ar"/>
              </w:rPr>
              <w:t>Tg</w:t>
            </w:r>
            <w:r>
              <w:rPr>
                <w:rFonts w:hint="eastAsia" w:ascii="宋体" w:hAnsi="宋体" w:eastAsia="宋体" w:cs="宋体"/>
                <w:kern w:val="0"/>
                <w:sz w:val="20"/>
                <w:szCs w:val="20"/>
                <w:lang w:bidi="ar"/>
              </w:rPr>
              <w:t>（</w:t>
            </w:r>
            <w:r>
              <w:rPr>
                <w:rFonts w:ascii="Times New Roman" w:hAnsi="Times New Roman" w:eastAsia="宋体" w:cs="Times New Roman"/>
                <w:kern w:val="0"/>
                <w:sz w:val="20"/>
                <w:szCs w:val="20"/>
                <w:lang w:bidi="ar"/>
              </w:rPr>
              <w:t>s</w:t>
            </w:r>
            <w:r>
              <w:rPr>
                <w:rFonts w:hint="eastAsia" w:ascii="宋体" w:hAnsi="宋体" w:eastAsia="宋体" w:cs="宋体"/>
                <w:kern w:val="0"/>
                <w:sz w:val="20"/>
                <w:szCs w:val="20"/>
                <w:lang w:bidi="ar"/>
              </w:rPr>
              <w:t>）</w:t>
            </w:r>
          </w:p>
        </w:tc>
        <w:tc>
          <w:tcPr>
            <w:tcW w:w="87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6B4A4F9">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设计地震加速度</w:t>
            </w:r>
            <w:r>
              <w:rPr>
                <w:rFonts w:ascii="Times New Roman" w:hAnsi="Times New Roman" w:eastAsia="宋体" w:cs="Times New Roman"/>
                <w:kern w:val="0"/>
                <w:sz w:val="20"/>
                <w:szCs w:val="20"/>
                <w:lang w:bidi="ar"/>
              </w:rPr>
              <w:t>K</w:t>
            </w:r>
            <w:r>
              <w:rPr>
                <w:rFonts w:ascii="Times New Roman" w:hAnsi="Times New Roman" w:eastAsia="宋体" w:cs="Times New Roman"/>
                <w:kern w:val="0"/>
                <w:szCs w:val="24"/>
                <w:lang w:bidi="ar"/>
              </w:rPr>
              <w:t>H</w:t>
            </w:r>
            <w:r>
              <w:rPr>
                <w:rFonts w:hint="eastAsia" w:ascii="宋体" w:hAnsi="宋体" w:eastAsia="宋体" w:cs="宋体"/>
                <w:kern w:val="0"/>
                <w:sz w:val="20"/>
                <w:szCs w:val="20"/>
                <w:lang w:bidi="ar"/>
              </w:rPr>
              <w:t>（g）</w:t>
            </w:r>
          </w:p>
        </w:tc>
        <w:tc>
          <w:tcPr>
            <w:tcW w:w="81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5F7556B">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设计地震分组</w:t>
            </w:r>
          </w:p>
        </w:tc>
        <w:tc>
          <w:tcPr>
            <w:tcW w:w="9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74794C2">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剪切波速（</w:t>
            </w:r>
            <w:r>
              <w:rPr>
                <w:rFonts w:ascii="Times New Roman" w:hAnsi="Times New Roman" w:eastAsia="宋体" w:cs="Times New Roman"/>
                <w:kern w:val="0"/>
                <w:sz w:val="20"/>
                <w:szCs w:val="20"/>
                <w:lang w:bidi="ar"/>
              </w:rPr>
              <w:t>m/s</w:t>
            </w:r>
            <w:r>
              <w:rPr>
                <w:rFonts w:hint="eastAsia" w:ascii="宋体" w:hAnsi="宋体" w:eastAsia="宋体" w:cs="宋体"/>
                <w:kern w:val="0"/>
                <w:sz w:val="20"/>
                <w:szCs w:val="20"/>
                <w:lang w:bidi="ar"/>
              </w:rPr>
              <w:t>）</w:t>
            </w:r>
          </w:p>
        </w:tc>
        <w:tc>
          <w:tcPr>
            <w:tcW w:w="9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E65471">
            <w:pPr>
              <w:widowControl/>
              <w:spacing w:line="240" w:lineRule="auto"/>
              <w:ind w:firstLine="0" w:firstLineChars="0"/>
              <w:jc w:val="center"/>
              <w:rPr>
                <w:rFonts w:ascii="宋体" w:hAnsi="宋体" w:eastAsia="宋体" w:cs="宋体"/>
                <w:sz w:val="20"/>
                <w:szCs w:val="20"/>
              </w:rPr>
            </w:pPr>
          </w:p>
        </w:tc>
        <w:tc>
          <w:tcPr>
            <w:tcW w:w="82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BC4B542">
            <w:pPr>
              <w:widowControl/>
              <w:spacing w:line="240" w:lineRule="auto"/>
              <w:ind w:firstLine="0" w:firstLineChars="0"/>
              <w:jc w:val="center"/>
              <w:textAlignment w:val="center"/>
              <w:rPr>
                <w:rFonts w:ascii="Times New Roman" w:hAnsi="Times New Roman" w:eastAsia="宋体" w:cs="Times New Roman"/>
                <w:sz w:val="20"/>
                <w:szCs w:val="20"/>
              </w:rPr>
            </w:pPr>
            <w:r>
              <w:rPr>
                <w:rFonts w:ascii="Times New Roman" w:hAnsi="Times New Roman" w:eastAsia="宋体" w:cs="Times New Roman"/>
                <w:kern w:val="0"/>
                <w:sz w:val="20"/>
                <w:szCs w:val="20"/>
                <w:lang w:bidi="ar"/>
              </w:rPr>
              <w:t>△sl'</w:t>
            </w:r>
            <w:r>
              <w:rPr>
                <w:rFonts w:hint="eastAsia" w:ascii="宋体" w:hAnsi="宋体" w:eastAsia="宋体" w:cs="宋体"/>
                <w:kern w:val="0"/>
                <w:szCs w:val="24"/>
                <w:lang w:bidi="ar"/>
              </w:rPr>
              <w:t>，</w:t>
            </w:r>
            <w:r>
              <w:rPr>
                <w:rFonts w:hint="eastAsia" w:ascii="宋体" w:hAnsi="宋体" w:eastAsia="宋体" w:cs="宋体"/>
                <w:kern w:val="0"/>
                <w:sz w:val="20"/>
                <w:szCs w:val="20"/>
                <w:lang w:bidi="ar"/>
              </w:rPr>
              <w:t>k（mm）</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D4EC52D">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剪切波的波长</w:t>
            </w:r>
            <w:r>
              <w:rPr>
                <w:rFonts w:ascii="Times New Roman" w:hAnsi="Times New Roman" w:eastAsia="宋体" w:cs="Times New Roman"/>
                <w:kern w:val="0"/>
                <w:sz w:val="20"/>
                <w:szCs w:val="20"/>
                <w:lang w:bidi="ar"/>
              </w:rPr>
              <w:t>L</w:t>
            </w:r>
            <w:r>
              <w:rPr>
                <w:rFonts w:hint="eastAsia" w:ascii="宋体" w:hAnsi="宋体" w:eastAsia="宋体" w:cs="宋体"/>
                <w:kern w:val="0"/>
                <w:sz w:val="20"/>
                <w:szCs w:val="20"/>
                <w:lang w:bidi="ar"/>
              </w:rPr>
              <w:t>（</w:t>
            </w:r>
            <w:r>
              <w:rPr>
                <w:rFonts w:ascii="Times New Roman" w:hAnsi="Times New Roman" w:eastAsia="宋体" w:cs="Times New Roman"/>
                <w:kern w:val="0"/>
                <w:sz w:val="20"/>
                <w:szCs w:val="20"/>
                <w:lang w:bidi="ar"/>
              </w:rPr>
              <w:t>mm</w:t>
            </w:r>
            <w:r>
              <w:rPr>
                <w:rFonts w:hint="eastAsia" w:ascii="宋体" w:hAnsi="宋体" w:eastAsia="宋体" w:cs="宋体"/>
                <w:kern w:val="0"/>
                <w:sz w:val="20"/>
                <w:szCs w:val="20"/>
                <w:lang w:bidi="ar"/>
              </w:rPr>
              <w:t>）</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15EA27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管道的横截面面积</w:t>
            </w:r>
            <w:r>
              <w:rPr>
                <w:rFonts w:ascii="Times New Roman" w:hAnsi="Times New Roman" w:eastAsia="宋体" w:cs="Times New Roman"/>
                <w:kern w:val="0"/>
                <w:sz w:val="20"/>
                <w:szCs w:val="20"/>
                <w:lang w:bidi="ar"/>
              </w:rPr>
              <w:t>A</w:t>
            </w:r>
            <w:r>
              <w:rPr>
                <w:rFonts w:hint="eastAsia" w:ascii="宋体" w:hAnsi="宋体" w:eastAsia="宋体" w:cs="宋体"/>
                <w:kern w:val="0"/>
                <w:sz w:val="20"/>
                <w:szCs w:val="20"/>
                <w:lang w:bidi="ar"/>
              </w:rPr>
              <w:t>（</w:t>
            </w:r>
            <w:r>
              <w:rPr>
                <w:rFonts w:ascii="Times New Roman" w:hAnsi="Times New Roman" w:eastAsia="宋体" w:cs="Times New Roman"/>
                <w:kern w:val="0"/>
                <w:sz w:val="20"/>
                <w:szCs w:val="20"/>
                <w:lang w:bidi="ar"/>
              </w:rPr>
              <w:t>mm2</w:t>
            </w:r>
            <w:r>
              <w:rPr>
                <w:rFonts w:hint="eastAsia" w:ascii="宋体" w:hAnsi="宋体" w:eastAsia="宋体" w:cs="宋体"/>
                <w:kern w:val="0"/>
                <w:sz w:val="20"/>
                <w:szCs w:val="20"/>
                <w:lang w:bidi="ar"/>
              </w:rPr>
              <w:t>）</w:t>
            </w:r>
          </w:p>
        </w:tc>
        <w:tc>
          <w:tcPr>
            <w:tcW w:w="122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5E353B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土体的弹性抗力</w:t>
            </w:r>
            <w:r>
              <w:rPr>
                <w:rFonts w:ascii="Times New Roman" w:hAnsi="Times New Roman" w:eastAsia="宋体" w:cs="Times New Roman"/>
                <w:kern w:val="0"/>
                <w:sz w:val="20"/>
                <w:szCs w:val="20"/>
                <w:lang w:bidi="ar"/>
              </w:rPr>
              <w:t>K1</w:t>
            </w:r>
            <w:r>
              <w:rPr>
                <w:rFonts w:hint="eastAsia" w:ascii="宋体" w:hAnsi="宋体" w:eastAsia="宋体" w:cs="宋体"/>
                <w:kern w:val="0"/>
                <w:sz w:val="20"/>
                <w:szCs w:val="20"/>
                <w:lang w:bidi="ar"/>
              </w:rPr>
              <w:t>（</w:t>
            </w:r>
            <w:r>
              <w:rPr>
                <w:rFonts w:ascii="Times New Roman" w:hAnsi="Times New Roman" w:eastAsia="宋体" w:cs="Times New Roman"/>
                <w:kern w:val="0"/>
                <w:sz w:val="20"/>
                <w:szCs w:val="20"/>
                <w:lang w:bidi="ar"/>
              </w:rPr>
              <w:t>N/mm2</w:t>
            </w:r>
            <w:r>
              <w:rPr>
                <w:rFonts w:hint="eastAsia" w:ascii="宋体" w:hAnsi="宋体" w:eastAsia="宋体" w:cs="宋体"/>
                <w:kern w:val="0"/>
                <w:sz w:val="20"/>
                <w:szCs w:val="20"/>
                <w:lang w:bidi="ar"/>
              </w:rPr>
              <w:t>）</w:t>
            </w:r>
          </w:p>
        </w:tc>
        <w:tc>
          <w:tcPr>
            <w:tcW w:w="9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895E25">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传递系数</w:t>
            </w:r>
          </w:p>
        </w:tc>
        <w:tc>
          <w:tcPr>
            <w:tcW w:w="9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F40C8F">
            <w:pPr>
              <w:widowControl/>
              <w:spacing w:line="240" w:lineRule="auto"/>
              <w:ind w:firstLine="0" w:firstLineChars="0"/>
              <w:jc w:val="center"/>
              <w:rPr>
                <w:rFonts w:ascii="宋体" w:hAnsi="宋体" w:eastAsia="宋体" w:cs="宋体"/>
                <w:sz w:val="20"/>
                <w:szCs w:val="20"/>
              </w:rPr>
            </w:pPr>
          </w:p>
        </w:tc>
        <w:tc>
          <w:tcPr>
            <w:tcW w:w="41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3444DD">
            <w:pPr>
              <w:widowControl/>
              <w:spacing w:line="240" w:lineRule="auto"/>
              <w:ind w:firstLine="0" w:firstLineChars="0"/>
              <w:jc w:val="center"/>
              <w:rPr>
                <w:rFonts w:ascii="宋体" w:hAnsi="宋体" w:eastAsia="宋体" w:cs="宋体"/>
                <w:sz w:val="20"/>
                <w:szCs w:val="20"/>
              </w:rPr>
            </w:pPr>
          </w:p>
        </w:tc>
        <w:tc>
          <w:tcPr>
            <w:tcW w:w="10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6EF788">
            <w:pPr>
              <w:widowControl/>
              <w:spacing w:line="240" w:lineRule="auto"/>
              <w:ind w:firstLine="0" w:firstLineChars="0"/>
              <w:jc w:val="center"/>
              <w:rPr>
                <w:rFonts w:ascii="宋体" w:hAnsi="宋体" w:eastAsia="宋体" w:cs="宋体"/>
                <w:sz w:val="20"/>
                <w:szCs w:val="20"/>
              </w:rPr>
            </w:pPr>
          </w:p>
        </w:tc>
        <w:tc>
          <w:tcPr>
            <w:tcW w:w="9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56014E">
            <w:pPr>
              <w:widowControl/>
              <w:spacing w:line="240" w:lineRule="auto"/>
              <w:ind w:firstLine="0" w:firstLineChars="0"/>
              <w:jc w:val="center"/>
              <w:rPr>
                <w:rFonts w:ascii="宋体" w:hAnsi="宋体" w:eastAsia="宋体" w:cs="宋体"/>
                <w:sz w:val="20"/>
                <w:szCs w:val="20"/>
              </w:rPr>
            </w:pPr>
          </w:p>
        </w:tc>
        <w:tc>
          <w:tcPr>
            <w:tcW w:w="141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D410A">
            <w:pPr>
              <w:widowControl/>
              <w:spacing w:line="240" w:lineRule="auto"/>
              <w:ind w:firstLine="0" w:firstLineChars="0"/>
              <w:jc w:val="center"/>
              <w:rPr>
                <w:rFonts w:ascii="宋体" w:hAnsi="宋体" w:eastAsia="宋体" w:cs="宋体"/>
                <w:sz w:val="20"/>
                <w:szCs w:val="20"/>
              </w:rPr>
            </w:pPr>
          </w:p>
        </w:tc>
      </w:tr>
      <w:tr w14:paraId="01028A85">
        <w:tblPrEx>
          <w:tblCellMar>
            <w:top w:w="0" w:type="dxa"/>
            <w:left w:w="108" w:type="dxa"/>
            <w:bottom w:w="0" w:type="dxa"/>
            <w:right w:w="108" w:type="dxa"/>
          </w:tblCellMar>
        </w:tblPrEx>
        <w:trPr>
          <w:trHeight w:val="285" w:hRule="atLeast"/>
        </w:trPr>
        <w:tc>
          <w:tcPr>
            <w:tcW w:w="55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923B90">
            <w:pPr>
              <w:widowControl/>
              <w:spacing w:line="240" w:lineRule="auto"/>
              <w:ind w:firstLine="0" w:firstLineChars="0"/>
              <w:jc w:val="center"/>
              <w:rPr>
                <w:rFonts w:ascii="宋体" w:hAnsi="宋体" w:eastAsia="宋体" w:cs="宋体"/>
                <w:sz w:val="20"/>
                <w:szCs w:val="20"/>
              </w:rPr>
            </w:pPr>
          </w:p>
        </w:tc>
        <w:tc>
          <w:tcPr>
            <w:tcW w:w="119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A6FFA">
            <w:pPr>
              <w:widowControl/>
              <w:spacing w:line="240" w:lineRule="auto"/>
              <w:ind w:firstLine="0" w:firstLineChars="0"/>
              <w:jc w:val="center"/>
              <w:rPr>
                <w:rFonts w:ascii="宋体" w:hAnsi="宋体" w:eastAsia="宋体" w:cs="宋体"/>
                <w:sz w:val="20"/>
                <w:szCs w:val="20"/>
              </w:rPr>
            </w:pPr>
          </w:p>
        </w:tc>
        <w:tc>
          <w:tcPr>
            <w:tcW w:w="72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6D49DE">
            <w:pPr>
              <w:widowControl/>
              <w:spacing w:line="240" w:lineRule="auto"/>
              <w:ind w:firstLine="0" w:firstLineChars="0"/>
              <w:jc w:val="center"/>
              <w:rPr>
                <w:rFonts w:ascii="宋体" w:hAnsi="宋体" w:eastAsia="宋体" w:cs="宋体"/>
                <w:sz w:val="20"/>
                <w:szCs w:val="20"/>
              </w:rPr>
            </w:pPr>
          </w:p>
        </w:tc>
        <w:tc>
          <w:tcPr>
            <w:tcW w:w="72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2A02A">
            <w:pPr>
              <w:widowControl/>
              <w:spacing w:line="240" w:lineRule="auto"/>
              <w:ind w:firstLine="0" w:firstLineChars="0"/>
              <w:jc w:val="center"/>
              <w:rPr>
                <w:rFonts w:ascii="宋体" w:hAnsi="宋体" w:eastAsia="宋体" w:cs="宋体"/>
                <w:sz w:val="20"/>
                <w:szCs w:val="20"/>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D8A081">
            <w:pPr>
              <w:widowControl/>
              <w:spacing w:line="240" w:lineRule="auto"/>
              <w:ind w:firstLine="0" w:firstLineChars="0"/>
              <w:jc w:val="center"/>
              <w:rPr>
                <w:rFonts w:ascii="宋体" w:hAnsi="宋体" w:eastAsia="宋体" w:cs="宋体"/>
                <w:sz w:val="20"/>
                <w:szCs w:val="20"/>
              </w:rPr>
            </w:pPr>
          </w:p>
        </w:tc>
        <w:tc>
          <w:tcPr>
            <w:tcW w:w="81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F7B043">
            <w:pPr>
              <w:widowControl/>
              <w:spacing w:line="240" w:lineRule="auto"/>
              <w:ind w:firstLine="0" w:firstLineChars="0"/>
              <w:jc w:val="center"/>
              <w:rPr>
                <w:rFonts w:ascii="宋体" w:hAnsi="宋体" w:eastAsia="宋体" w:cs="宋体"/>
                <w:sz w:val="20"/>
                <w:szCs w:val="20"/>
              </w:rPr>
            </w:pPr>
          </w:p>
        </w:tc>
        <w:tc>
          <w:tcPr>
            <w:tcW w:w="12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925CD8">
            <w:pPr>
              <w:widowControl/>
              <w:spacing w:line="240" w:lineRule="auto"/>
              <w:ind w:firstLine="0" w:firstLineChars="0"/>
              <w:jc w:val="center"/>
              <w:rPr>
                <w:rFonts w:ascii="宋体" w:hAnsi="宋体" w:eastAsia="宋体" w:cs="宋体"/>
                <w:sz w:val="20"/>
                <w:szCs w:val="20"/>
              </w:rPr>
            </w:pPr>
          </w:p>
        </w:tc>
        <w:tc>
          <w:tcPr>
            <w:tcW w:w="81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F81A88">
            <w:pPr>
              <w:widowControl/>
              <w:spacing w:line="240" w:lineRule="auto"/>
              <w:ind w:firstLine="0" w:firstLineChars="0"/>
              <w:jc w:val="center"/>
              <w:rPr>
                <w:rFonts w:ascii="宋体" w:hAnsi="宋体" w:eastAsia="宋体" w:cs="宋体"/>
                <w:sz w:val="20"/>
                <w:szCs w:val="20"/>
              </w:rPr>
            </w:pPr>
          </w:p>
        </w:tc>
        <w:tc>
          <w:tcPr>
            <w:tcW w:w="6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42A6F2">
            <w:pPr>
              <w:widowControl/>
              <w:spacing w:line="240" w:lineRule="auto"/>
              <w:ind w:firstLine="0" w:firstLineChars="0"/>
              <w:jc w:val="center"/>
              <w:rPr>
                <w:rFonts w:ascii="宋体" w:hAnsi="宋体" w:eastAsia="宋体" w:cs="宋体"/>
                <w:sz w:val="20"/>
                <w:szCs w:val="20"/>
              </w:rPr>
            </w:pPr>
          </w:p>
        </w:tc>
        <w:tc>
          <w:tcPr>
            <w:tcW w:w="87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73272B">
            <w:pPr>
              <w:widowControl/>
              <w:spacing w:line="240" w:lineRule="auto"/>
              <w:ind w:firstLine="0" w:firstLineChars="0"/>
              <w:jc w:val="center"/>
              <w:rPr>
                <w:rFonts w:ascii="宋体" w:hAnsi="宋体" w:eastAsia="宋体" w:cs="宋体"/>
                <w:sz w:val="20"/>
                <w:szCs w:val="20"/>
              </w:rPr>
            </w:pPr>
          </w:p>
        </w:tc>
        <w:tc>
          <w:tcPr>
            <w:tcW w:w="81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BA9BCCB">
            <w:pPr>
              <w:widowControl/>
              <w:spacing w:line="240" w:lineRule="auto"/>
              <w:ind w:firstLine="0" w:firstLineChars="0"/>
              <w:jc w:val="center"/>
              <w:rPr>
                <w:rFonts w:ascii="宋体" w:hAnsi="宋体" w:eastAsia="宋体" w:cs="宋体"/>
                <w:sz w:val="20"/>
                <w:szCs w:val="20"/>
              </w:rPr>
            </w:pPr>
          </w:p>
        </w:tc>
        <w:tc>
          <w:tcPr>
            <w:tcW w:w="9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6FCF61">
            <w:pPr>
              <w:widowControl/>
              <w:spacing w:line="240" w:lineRule="auto"/>
              <w:ind w:firstLine="0" w:firstLineChars="0"/>
              <w:jc w:val="center"/>
              <w:rPr>
                <w:rFonts w:ascii="宋体" w:hAnsi="宋体" w:eastAsia="宋体" w:cs="宋体"/>
                <w:sz w:val="20"/>
                <w:szCs w:val="20"/>
              </w:rPr>
            </w:pPr>
          </w:p>
        </w:tc>
        <w:tc>
          <w:tcPr>
            <w:tcW w:w="9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825B5A">
            <w:pPr>
              <w:widowControl/>
              <w:spacing w:line="240" w:lineRule="auto"/>
              <w:ind w:firstLine="0" w:firstLineChars="0"/>
              <w:jc w:val="center"/>
              <w:rPr>
                <w:rFonts w:ascii="宋体" w:hAnsi="宋体" w:eastAsia="宋体" w:cs="宋体"/>
                <w:sz w:val="20"/>
                <w:szCs w:val="20"/>
              </w:rPr>
            </w:pPr>
          </w:p>
        </w:tc>
        <w:tc>
          <w:tcPr>
            <w:tcW w:w="82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005292">
            <w:pPr>
              <w:widowControl/>
              <w:spacing w:line="240" w:lineRule="auto"/>
              <w:ind w:firstLine="0" w:firstLineChars="0"/>
              <w:jc w:val="center"/>
              <w:rPr>
                <w:rFonts w:ascii="Times New Roman" w:hAnsi="Times New Roman" w:eastAsia="宋体" w:cs="Times New Roman"/>
                <w:sz w:val="20"/>
                <w:szCs w:val="20"/>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E586F2">
            <w:pPr>
              <w:widowControl/>
              <w:spacing w:line="240" w:lineRule="auto"/>
              <w:ind w:firstLine="0" w:firstLineChars="0"/>
              <w:jc w:val="center"/>
              <w:rPr>
                <w:rFonts w:ascii="宋体" w:hAnsi="宋体" w:eastAsia="宋体" w:cs="宋体"/>
                <w:sz w:val="20"/>
                <w:szCs w:val="20"/>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1126E5">
            <w:pPr>
              <w:widowControl/>
              <w:spacing w:line="240" w:lineRule="auto"/>
              <w:ind w:firstLine="0" w:firstLineChars="0"/>
              <w:jc w:val="center"/>
              <w:rPr>
                <w:rFonts w:ascii="宋体" w:hAnsi="宋体" w:eastAsia="宋体" w:cs="宋体"/>
                <w:sz w:val="20"/>
                <w:szCs w:val="20"/>
              </w:rPr>
            </w:pPr>
          </w:p>
        </w:tc>
        <w:tc>
          <w:tcPr>
            <w:tcW w:w="12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6AB73B">
            <w:pPr>
              <w:widowControl/>
              <w:spacing w:line="240" w:lineRule="auto"/>
              <w:ind w:firstLine="0" w:firstLineChars="0"/>
              <w:jc w:val="center"/>
              <w:rPr>
                <w:rFonts w:ascii="宋体" w:hAnsi="宋体" w:eastAsia="宋体" w:cs="宋体"/>
                <w:sz w:val="20"/>
                <w:szCs w:val="20"/>
              </w:rPr>
            </w:pPr>
          </w:p>
        </w:tc>
        <w:tc>
          <w:tcPr>
            <w:tcW w:w="9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E5AF8C">
            <w:pPr>
              <w:widowControl/>
              <w:spacing w:line="240" w:lineRule="auto"/>
              <w:ind w:firstLine="0" w:firstLineChars="0"/>
              <w:jc w:val="center"/>
              <w:textAlignment w:val="center"/>
              <w:rPr>
                <w:rFonts w:ascii="Times New Roman" w:hAnsi="Times New Roman" w:eastAsia="宋体" w:cs="Times New Roman"/>
                <w:sz w:val="20"/>
                <w:szCs w:val="20"/>
              </w:rPr>
            </w:pPr>
            <w:r>
              <w:rPr>
                <w:rFonts w:ascii="Times New Roman" w:hAnsi="Times New Roman" w:eastAsia="宋体" w:cs="Times New Roman"/>
                <w:kern w:val="0"/>
                <w:sz w:val="20"/>
                <w:szCs w:val="20"/>
                <w:lang w:bidi="ar"/>
              </w:rPr>
              <w:t>ξ1</w:t>
            </w:r>
          </w:p>
        </w:tc>
        <w:tc>
          <w:tcPr>
            <w:tcW w:w="9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5C0219">
            <w:pPr>
              <w:widowControl/>
              <w:spacing w:line="240" w:lineRule="auto"/>
              <w:ind w:firstLine="0" w:firstLineChars="0"/>
              <w:jc w:val="center"/>
              <w:rPr>
                <w:rFonts w:ascii="宋体" w:hAnsi="宋体" w:eastAsia="宋体" w:cs="宋体"/>
                <w:sz w:val="20"/>
                <w:szCs w:val="20"/>
              </w:rPr>
            </w:pPr>
          </w:p>
        </w:tc>
        <w:tc>
          <w:tcPr>
            <w:tcW w:w="41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0126B4">
            <w:pPr>
              <w:widowControl/>
              <w:spacing w:line="240" w:lineRule="auto"/>
              <w:ind w:firstLine="0" w:firstLineChars="0"/>
              <w:jc w:val="center"/>
              <w:rPr>
                <w:rFonts w:ascii="宋体" w:hAnsi="宋体" w:eastAsia="宋体" w:cs="宋体"/>
                <w:sz w:val="20"/>
                <w:szCs w:val="20"/>
              </w:rPr>
            </w:pPr>
          </w:p>
        </w:tc>
        <w:tc>
          <w:tcPr>
            <w:tcW w:w="10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45ED4F">
            <w:pPr>
              <w:widowControl/>
              <w:spacing w:line="240" w:lineRule="auto"/>
              <w:ind w:firstLine="0" w:firstLineChars="0"/>
              <w:jc w:val="center"/>
              <w:rPr>
                <w:rFonts w:ascii="宋体" w:hAnsi="宋体" w:eastAsia="宋体" w:cs="宋体"/>
                <w:sz w:val="20"/>
                <w:szCs w:val="20"/>
              </w:rPr>
            </w:pPr>
          </w:p>
        </w:tc>
        <w:tc>
          <w:tcPr>
            <w:tcW w:w="9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1F15C4">
            <w:pPr>
              <w:widowControl/>
              <w:spacing w:line="240" w:lineRule="auto"/>
              <w:ind w:firstLine="0" w:firstLineChars="0"/>
              <w:jc w:val="center"/>
              <w:rPr>
                <w:rFonts w:ascii="宋体" w:hAnsi="宋体" w:eastAsia="宋体" w:cs="宋体"/>
                <w:sz w:val="20"/>
                <w:szCs w:val="20"/>
              </w:rPr>
            </w:pPr>
          </w:p>
        </w:tc>
        <w:tc>
          <w:tcPr>
            <w:tcW w:w="141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8A843">
            <w:pPr>
              <w:widowControl/>
              <w:spacing w:line="240" w:lineRule="auto"/>
              <w:ind w:firstLine="0" w:firstLineChars="0"/>
              <w:jc w:val="center"/>
              <w:rPr>
                <w:rFonts w:ascii="宋体" w:hAnsi="宋体" w:eastAsia="宋体" w:cs="宋体"/>
                <w:sz w:val="20"/>
                <w:szCs w:val="20"/>
              </w:rPr>
            </w:pPr>
          </w:p>
        </w:tc>
      </w:tr>
      <w:tr w14:paraId="5E97A636">
        <w:trPr>
          <w:trHeight w:val="615"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30DED">
            <w:pPr>
              <w:widowControl/>
              <w:spacing w:line="240" w:lineRule="auto"/>
              <w:ind w:firstLine="0" w:firstLineChars="0"/>
              <w:jc w:val="center"/>
              <w:textAlignment w:val="center"/>
              <w:rPr>
                <w:rFonts w:ascii="Times New Roman" w:hAnsi="Times New Roman" w:eastAsia="宋体" w:cs="Times New Roman"/>
                <w:sz w:val="20"/>
                <w:szCs w:val="20"/>
              </w:rPr>
            </w:pPr>
            <w:r>
              <w:rPr>
                <w:rFonts w:ascii="Times New Roman" w:hAnsi="Times New Roman" w:eastAsia="宋体" w:cs="Times New Roman"/>
                <w:kern w:val="0"/>
                <w:sz w:val="20"/>
                <w:szCs w:val="20"/>
                <w:lang w:bidi="ar"/>
              </w:rPr>
              <w:t>1</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B37AE">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d</w:t>
            </w:r>
            <w:r>
              <w:rPr>
                <w:rStyle w:val="85"/>
                <w:rFonts w:hint="default"/>
                <w:color w:val="auto"/>
                <w:lang w:bidi="ar"/>
              </w:rPr>
              <w:t xml:space="preserve">300 </w:t>
            </w:r>
          </w:p>
        </w:tc>
        <w:tc>
          <w:tcPr>
            <w:tcW w:w="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CCCFE">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300</w:t>
            </w:r>
          </w:p>
        </w:tc>
        <w:tc>
          <w:tcPr>
            <w:tcW w:w="7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8ABEC">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30</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32FEC9">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钢筋混凝土承插管</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D49C3">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2000</w:t>
            </w:r>
          </w:p>
        </w:tc>
        <w:tc>
          <w:tcPr>
            <w:tcW w:w="1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19283A">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34500</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132E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6</w:t>
            </w:r>
          </w:p>
        </w:tc>
        <w:tc>
          <w:tcPr>
            <w:tcW w:w="6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692D2">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0.35</w:t>
            </w:r>
          </w:p>
        </w:tc>
        <w:tc>
          <w:tcPr>
            <w:tcW w:w="8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80A2C">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0.05</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0224CD">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第一组</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77AC44">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300</w:t>
            </w:r>
          </w:p>
        </w:tc>
        <w:tc>
          <w:tcPr>
            <w:tcW w:w="9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27022">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4.35 </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7B7E43">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6.16 </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6F443C">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70000</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FC9B3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31086</w:t>
            </w:r>
          </w:p>
        </w:tc>
        <w:tc>
          <w:tcPr>
            <w:tcW w:w="1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83C11">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67.86 </w:t>
            </w:r>
          </w:p>
        </w:tc>
        <w:tc>
          <w:tcPr>
            <w:tcW w:w="9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6CA00E">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0.89 </w:t>
            </w:r>
          </w:p>
        </w:tc>
        <w:tc>
          <w:tcPr>
            <w:tcW w:w="9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AED656">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5.46 </w:t>
            </w:r>
          </w:p>
        </w:tc>
        <w:tc>
          <w:tcPr>
            <w:tcW w:w="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D74D23">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25</w:t>
            </w:r>
          </w:p>
        </w:tc>
        <w:tc>
          <w:tcPr>
            <w:tcW w:w="10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D2E0E4">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0.48 </w:t>
            </w:r>
          </w:p>
        </w:tc>
        <w:tc>
          <w:tcPr>
            <w:tcW w:w="9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53DFE3">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10</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CE433">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满足抗震要求</w:t>
            </w:r>
          </w:p>
        </w:tc>
      </w:tr>
      <w:tr w14:paraId="69960BFA">
        <w:tblPrEx>
          <w:tblCellMar>
            <w:top w:w="0" w:type="dxa"/>
            <w:left w:w="108" w:type="dxa"/>
            <w:bottom w:w="0" w:type="dxa"/>
            <w:right w:w="108" w:type="dxa"/>
          </w:tblCellMar>
        </w:tblPrEx>
        <w:trPr>
          <w:trHeight w:val="615"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3540C">
            <w:pPr>
              <w:widowControl/>
              <w:spacing w:line="240" w:lineRule="auto"/>
              <w:ind w:firstLine="0" w:firstLineChars="0"/>
              <w:jc w:val="center"/>
              <w:textAlignment w:val="center"/>
              <w:rPr>
                <w:rFonts w:ascii="Times New Roman" w:hAnsi="Times New Roman" w:eastAsia="宋体" w:cs="Times New Roman"/>
                <w:sz w:val="20"/>
                <w:szCs w:val="20"/>
              </w:rPr>
            </w:pPr>
            <w:r>
              <w:rPr>
                <w:rFonts w:ascii="Times New Roman" w:hAnsi="Times New Roman" w:eastAsia="宋体" w:cs="Times New Roman"/>
                <w:kern w:val="0"/>
                <w:sz w:val="20"/>
                <w:szCs w:val="20"/>
                <w:lang w:bidi="ar"/>
              </w:rPr>
              <w:t>3</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60D0EA">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d</w:t>
            </w:r>
            <w:r>
              <w:rPr>
                <w:rStyle w:val="85"/>
                <w:rFonts w:hint="default"/>
                <w:color w:val="auto"/>
                <w:lang w:bidi="ar"/>
              </w:rPr>
              <w:t>800</w:t>
            </w:r>
          </w:p>
        </w:tc>
        <w:tc>
          <w:tcPr>
            <w:tcW w:w="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9D6E4D">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800</w:t>
            </w:r>
          </w:p>
        </w:tc>
        <w:tc>
          <w:tcPr>
            <w:tcW w:w="7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1F45AD">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80</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CC1E2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钢筋混凝土承插管</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C2942">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2000</w:t>
            </w:r>
          </w:p>
        </w:tc>
        <w:tc>
          <w:tcPr>
            <w:tcW w:w="1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9A4CE4">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34500</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F01AB">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6</w:t>
            </w:r>
          </w:p>
        </w:tc>
        <w:tc>
          <w:tcPr>
            <w:tcW w:w="6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FE2C8B">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0.35</w:t>
            </w:r>
          </w:p>
        </w:tc>
        <w:tc>
          <w:tcPr>
            <w:tcW w:w="8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E2AFBA">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0.05</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BC0CF">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第一组</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88B9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300</w:t>
            </w:r>
          </w:p>
        </w:tc>
        <w:tc>
          <w:tcPr>
            <w:tcW w:w="9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57F5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4.35 </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25DC6C">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6.16 </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13541">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70000</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D1BE9">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221056</w:t>
            </w:r>
          </w:p>
        </w:tc>
        <w:tc>
          <w:tcPr>
            <w:tcW w:w="1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E81CF">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180.95 </w:t>
            </w:r>
          </w:p>
        </w:tc>
        <w:tc>
          <w:tcPr>
            <w:tcW w:w="9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9E3AE">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0.75 </w:t>
            </w:r>
          </w:p>
        </w:tc>
        <w:tc>
          <w:tcPr>
            <w:tcW w:w="9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0BFC4">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4.60 </w:t>
            </w:r>
          </w:p>
        </w:tc>
        <w:tc>
          <w:tcPr>
            <w:tcW w:w="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BB49E0">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25</w:t>
            </w:r>
          </w:p>
        </w:tc>
        <w:tc>
          <w:tcPr>
            <w:tcW w:w="10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07CA16">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0.40 </w:t>
            </w:r>
          </w:p>
        </w:tc>
        <w:tc>
          <w:tcPr>
            <w:tcW w:w="9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2CB025">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10</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5FCE7C">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满足抗震要求</w:t>
            </w:r>
          </w:p>
        </w:tc>
      </w:tr>
      <w:tr w14:paraId="02D533D9">
        <w:tblPrEx>
          <w:tblCellMar>
            <w:top w:w="0" w:type="dxa"/>
            <w:left w:w="108" w:type="dxa"/>
            <w:bottom w:w="0" w:type="dxa"/>
            <w:right w:w="108" w:type="dxa"/>
          </w:tblCellMar>
        </w:tblPrEx>
        <w:trPr>
          <w:trHeight w:val="615"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1BE306">
            <w:pPr>
              <w:widowControl/>
              <w:spacing w:line="240" w:lineRule="auto"/>
              <w:ind w:firstLine="0" w:firstLineChars="0"/>
              <w:jc w:val="center"/>
              <w:textAlignment w:val="center"/>
              <w:rPr>
                <w:rFonts w:ascii="Times New Roman" w:hAnsi="Times New Roman" w:eastAsia="宋体" w:cs="Times New Roman"/>
                <w:sz w:val="20"/>
                <w:szCs w:val="20"/>
              </w:rPr>
            </w:pPr>
            <w:r>
              <w:rPr>
                <w:rFonts w:ascii="Times New Roman" w:hAnsi="Times New Roman" w:eastAsia="宋体" w:cs="Times New Roman"/>
                <w:kern w:val="0"/>
                <w:sz w:val="20"/>
                <w:szCs w:val="20"/>
                <w:lang w:bidi="ar"/>
              </w:rPr>
              <w:t>3</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FFF60">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d1000</w:t>
            </w:r>
          </w:p>
        </w:tc>
        <w:tc>
          <w:tcPr>
            <w:tcW w:w="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E7A4A">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1000</w:t>
            </w:r>
          </w:p>
        </w:tc>
        <w:tc>
          <w:tcPr>
            <w:tcW w:w="7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CA8BEC">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100</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9F210">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钢筋混凝土承插管</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6BD4E4">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2000</w:t>
            </w:r>
          </w:p>
        </w:tc>
        <w:tc>
          <w:tcPr>
            <w:tcW w:w="1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74738">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34500</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2092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6</w:t>
            </w:r>
          </w:p>
        </w:tc>
        <w:tc>
          <w:tcPr>
            <w:tcW w:w="6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8566A">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0.35</w:t>
            </w:r>
          </w:p>
        </w:tc>
        <w:tc>
          <w:tcPr>
            <w:tcW w:w="8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91078">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0.05</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27329">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第一组</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20A35">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300</w:t>
            </w:r>
          </w:p>
        </w:tc>
        <w:tc>
          <w:tcPr>
            <w:tcW w:w="9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B34461">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4.35 </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0C7918">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6.16 </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520F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70000</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973CB">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345400</w:t>
            </w:r>
          </w:p>
        </w:tc>
        <w:tc>
          <w:tcPr>
            <w:tcW w:w="1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9C3B2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226.19 </w:t>
            </w:r>
          </w:p>
        </w:tc>
        <w:tc>
          <w:tcPr>
            <w:tcW w:w="9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C0B8C9">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0.70 </w:t>
            </w:r>
          </w:p>
        </w:tc>
        <w:tc>
          <w:tcPr>
            <w:tcW w:w="9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93BD3">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4.32 </w:t>
            </w:r>
          </w:p>
        </w:tc>
        <w:tc>
          <w:tcPr>
            <w:tcW w:w="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53062">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25</w:t>
            </w:r>
          </w:p>
        </w:tc>
        <w:tc>
          <w:tcPr>
            <w:tcW w:w="10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EC71BA">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0.38 </w:t>
            </w:r>
          </w:p>
        </w:tc>
        <w:tc>
          <w:tcPr>
            <w:tcW w:w="9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4AB72">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10</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87374">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满足抗震要求</w:t>
            </w:r>
          </w:p>
        </w:tc>
      </w:tr>
      <w:tr w14:paraId="138671A6">
        <w:tblPrEx>
          <w:tblCellMar>
            <w:top w:w="0" w:type="dxa"/>
            <w:left w:w="108" w:type="dxa"/>
            <w:bottom w:w="0" w:type="dxa"/>
            <w:right w:w="108" w:type="dxa"/>
          </w:tblCellMar>
        </w:tblPrEx>
        <w:trPr>
          <w:trHeight w:val="615"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841C0">
            <w:pPr>
              <w:widowControl/>
              <w:spacing w:line="240" w:lineRule="auto"/>
              <w:ind w:firstLine="0" w:firstLineChars="0"/>
              <w:jc w:val="center"/>
              <w:textAlignment w:val="center"/>
              <w:rPr>
                <w:rFonts w:ascii="Times New Roman" w:hAnsi="Times New Roman" w:eastAsia="宋体" w:cs="Times New Roman"/>
                <w:sz w:val="20"/>
                <w:szCs w:val="20"/>
              </w:rPr>
            </w:pPr>
            <w:r>
              <w:rPr>
                <w:rFonts w:ascii="Times New Roman" w:hAnsi="Times New Roman" w:eastAsia="宋体" w:cs="Times New Roman"/>
                <w:kern w:val="0"/>
                <w:sz w:val="20"/>
                <w:szCs w:val="20"/>
                <w:lang w:bidi="ar"/>
              </w:rPr>
              <w:t>3</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1A814">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d1200</w:t>
            </w:r>
          </w:p>
        </w:tc>
        <w:tc>
          <w:tcPr>
            <w:tcW w:w="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267435">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1200</w:t>
            </w:r>
          </w:p>
        </w:tc>
        <w:tc>
          <w:tcPr>
            <w:tcW w:w="7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09CCE">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100</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B90B5D">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钢筋混凝土承插管</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762B2">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2000</w:t>
            </w:r>
          </w:p>
        </w:tc>
        <w:tc>
          <w:tcPr>
            <w:tcW w:w="1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F6AE78">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34500</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D18A2">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6</w:t>
            </w:r>
          </w:p>
        </w:tc>
        <w:tc>
          <w:tcPr>
            <w:tcW w:w="6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CDEFEC">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0.35</w:t>
            </w:r>
          </w:p>
        </w:tc>
        <w:tc>
          <w:tcPr>
            <w:tcW w:w="8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7A774">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0.05</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8F645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第一组</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A136EC">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300</w:t>
            </w:r>
          </w:p>
        </w:tc>
        <w:tc>
          <w:tcPr>
            <w:tcW w:w="9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2FB8A">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4.35 </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89EFF8">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6.16 </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918EF6">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70000</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DF2A0A">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408200</w:t>
            </w:r>
          </w:p>
        </w:tc>
        <w:tc>
          <w:tcPr>
            <w:tcW w:w="1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63DCF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263.89 </w:t>
            </w:r>
          </w:p>
        </w:tc>
        <w:tc>
          <w:tcPr>
            <w:tcW w:w="9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06A7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0.70 </w:t>
            </w:r>
          </w:p>
        </w:tc>
        <w:tc>
          <w:tcPr>
            <w:tcW w:w="9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EEF0DE">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4.31 </w:t>
            </w:r>
          </w:p>
        </w:tc>
        <w:tc>
          <w:tcPr>
            <w:tcW w:w="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B7CED2">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25</w:t>
            </w:r>
          </w:p>
        </w:tc>
        <w:tc>
          <w:tcPr>
            <w:tcW w:w="10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A171D">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0.38 </w:t>
            </w:r>
          </w:p>
        </w:tc>
        <w:tc>
          <w:tcPr>
            <w:tcW w:w="9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B7E28B">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10</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83399F">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满足抗震要求</w:t>
            </w:r>
          </w:p>
        </w:tc>
      </w:tr>
      <w:tr w14:paraId="7B711860">
        <w:tblPrEx>
          <w:tblCellMar>
            <w:top w:w="0" w:type="dxa"/>
            <w:left w:w="108" w:type="dxa"/>
            <w:bottom w:w="0" w:type="dxa"/>
            <w:right w:w="108" w:type="dxa"/>
          </w:tblCellMar>
        </w:tblPrEx>
        <w:trPr>
          <w:trHeight w:val="615"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DD70B">
            <w:pPr>
              <w:widowControl/>
              <w:spacing w:line="240" w:lineRule="auto"/>
              <w:ind w:firstLine="0" w:firstLineChars="0"/>
              <w:jc w:val="center"/>
              <w:textAlignment w:val="center"/>
              <w:rPr>
                <w:rFonts w:ascii="Times New Roman" w:hAnsi="Times New Roman" w:eastAsia="宋体" w:cs="Times New Roman"/>
                <w:sz w:val="20"/>
                <w:szCs w:val="20"/>
              </w:rPr>
            </w:pPr>
            <w:r>
              <w:rPr>
                <w:rFonts w:ascii="Times New Roman" w:hAnsi="Times New Roman" w:eastAsia="宋体" w:cs="Times New Roman"/>
                <w:kern w:val="0"/>
                <w:sz w:val="20"/>
                <w:szCs w:val="20"/>
                <w:lang w:bidi="ar"/>
              </w:rPr>
              <w:t>3</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8466D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d1350</w:t>
            </w:r>
          </w:p>
        </w:tc>
        <w:tc>
          <w:tcPr>
            <w:tcW w:w="7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01C53D">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1350</w:t>
            </w:r>
          </w:p>
        </w:tc>
        <w:tc>
          <w:tcPr>
            <w:tcW w:w="7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6A33C">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100</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E4E941">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钢筋混凝土承插管</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3DA64">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2000</w:t>
            </w:r>
          </w:p>
        </w:tc>
        <w:tc>
          <w:tcPr>
            <w:tcW w:w="1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67C92">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34500</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29524">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6</w:t>
            </w:r>
          </w:p>
        </w:tc>
        <w:tc>
          <w:tcPr>
            <w:tcW w:w="6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62240">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0.35</w:t>
            </w:r>
          </w:p>
        </w:tc>
        <w:tc>
          <w:tcPr>
            <w:tcW w:w="8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6D4072">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0.05</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913B3">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第一组</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969367">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300</w:t>
            </w:r>
          </w:p>
        </w:tc>
        <w:tc>
          <w:tcPr>
            <w:tcW w:w="9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2739B">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4.35 </w:t>
            </w:r>
          </w:p>
        </w:tc>
        <w:tc>
          <w:tcPr>
            <w:tcW w:w="8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6EF14C">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6.16 </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F5934">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70000</w:t>
            </w:r>
          </w:p>
        </w:tc>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5D2D6">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455300</w:t>
            </w:r>
          </w:p>
        </w:tc>
        <w:tc>
          <w:tcPr>
            <w:tcW w:w="12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16AC3">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292.16 </w:t>
            </w:r>
          </w:p>
        </w:tc>
        <w:tc>
          <w:tcPr>
            <w:tcW w:w="9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309C34">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0.70 </w:t>
            </w:r>
          </w:p>
        </w:tc>
        <w:tc>
          <w:tcPr>
            <w:tcW w:w="9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FA13F">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4.30 </w:t>
            </w:r>
          </w:p>
        </w:tc>
        <w:tc>
          <w:tcPr>
            <w:tcW w:w="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68ECE0">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25</w:t>
            </w:r>
          </w:p>
        </w:tc>
        <w:tc>
          <w:tcPr>
            <w:tcW w:w="10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49A8DA">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 xml:space="preserve">0.38 </w:t>
            </w:r>
          </w:p>
        </w:tc>
        <w:tc>
          <w:tcPr>
            <w:tcW w:w="9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58A6A0">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10</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44C4A">
            <w:pPr>
              <w:widowControl/>
              <w:spacing w:line="240" w:lineRule="auto"/>
              <w:ind w:firstLine="0" w:firstLineChars="0"/>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满足抗震要求</w:t>
            </w:r>
          </w:p>
        </w:tc>
      </w:tr>
    </w:tbl>
    <w:p w14:paraId="353857F5">
      <w:pPr>
        <w:ind w:firstLine="480"/>
        <w:rPr>
          <w:rFonts w:ascii="Calibri" w:hAnsi="Calibri" w:cs="宋体"/>
          <w:szCs w:val="24"/>
          <w:lang w:bidi="ar"/>
        </w:rPr>
      </w:pPr>
    </w:p>
    <w:p w14:paraId="7B2B5157">
      <w:pPr>
        <w:pStyle w:val="84"/>
        <w:spacing w:line="360" w:lineRule="auto"/>
        <w:ind w:firstLine="360" w:firstLineChars="0"/>
        <w:rPr>
          <w:rFonts w:hAnsi="宋体"/>
        </w:rPr>
        <w:sectPr>
          <w:type w:val="continuous"/>
          <w:pgSz w:w="23814" w:h="16839" w:orient="landscape"/>
          <w:pgMar w:top="1219" w:right="1219" w:bottom="1219" w:left="1219" w:header="851" w:footer="851" w:gutter="0"/>
          <w:cols w:space="0" w:num="1"/>
          <w:docGrid w:type="lines" w:linePitch="381" w:charSpace="0"/>
        </w:sectPr>
      </w:pPr>
    </w:p>
    <w:p w14:paraId="37073740">
      <w:pPr>
        <w:pStyle w:val="4"/>
        <w:rPr>
          <w:rFonts w:ascii="Times New Roman" w:hAnsi="Times New Roman" w:cs="Times New Roman"/>
        </w:rPr>
      </w:pPr>
      <w:bookmarkStart w:id="73" w:name="_Toc13467"/>
      <w:r>
        <w:rPr>
          <w:rFonts w:ascii="Times New Roman" w:hAnsi="Times New Roman" w:cs="Times New Roman"/>
        </w:rPr>
        <w:t>路面恢复</w:t>
      </w:r>
      <w:bookmarkEnd w:id="72"/>
      <w:bookmarkEnd w:id="73"/>
    </w:p>
    <w:p w14:paraId="1688B36B">
      <w:pPr>
        <w:ind w:firstLine="480"/>
        <w:rPr>
          <w:rFonts w:ascii="Times New Roman" w:hAnsi="Times New Roman" w:cs="Times New Roman"/>
        </w:rPr>
      </w:pPr>
      <w:r>
        <w:rPr>
          <w:rFonts w:ascii="Times New Roman" w:hAnsi="Times New Roman" w:cs="Times New Roman"/>
        </w:rPr>
        <w:t>城区路面范围下管顶表面50cm内回填砂砾石，回填材料分层充实；砂砾石层上面采用级配砂石回填，回填厚度根据沟槽深度现场确定，压实度达到96%以上；采用下面层中粒式改性沥青混凝土AC-20，厚度6cm；上层面细粒式橡胶沥青混凝土RAC-13，厚度5cm。</w:t>
      </w:r>
    </w:p>
    <w:p w14:paraId="75084306">
      <w:pPr>
        <w:ind w:firstLine="480"/>
        <w:rPr>
          <w:rFonts w:ascii="Times New Roman" w:hAnsi="Times New Roman" w:cs="Times New Roman"/>
        </w:rPr>
      </w:pPr>
      <w:r>
        <w:rPr>
          <w:rFonts w:ascii="Times New Roman" w:hAnsi="Times New Roman" w:cs="Times New Roman"/>
        </w:rPr>
        <w:t>1、摊铺</w:t>
      </w:r>
    </w:p>
    <w:p w14:paraId="4A36DD3D">
      <w:pPr>
        <w:ind w:firstLine="480"/>
        <w:rPr>
          <w:rFonts w:ascii="Times New Roman" w:hAnsi="Times New Roman" w:cs="Times New Roman"/>
        </w:rPr>
      </w:pPr>
      <w:r>
        <w:rPr>
          <w:rFonts w:ascii="Times New Roman" w:hAnsi="Times New Roman" w:cs="Times New Roman"/>
        </w:rPr>
        <w:t>摊铺机开工前应提前0.5—1小时预热熨平板不低于100</w:t>
      </w:r>
      <w:r>
        <w:rPr>
          <w:rFonts w:hint="eastAsia" w:ascii="宋体" w:hAnsi="宋体" w:eastAsia="宋体" w:cs="宋体"/>
        </w:rPr>
        <w:t>℃</w:t>
      </w:r>
      <w:r>
        <w:rPr>
          <w:rFonts w:ascii="Times New Roman" w:hAnsi="Times New Roman" w:cs="Times New Roman"/>
        </w:rPr>
        <w:t>。铺筑过程中应选择熨平板的夯锤压实装置具有适宜的振动频率和振幅，以提高路面的初始压实度。熨平板加宽连接应仔细调节至摊铺的混合料没有明显的离析痕迹。</w:t>
      </w:r>
    </w:p>
    <w:p w14:paraId="1CAA3265">
      <w:pPr>
        <w:ind w:firstLine="480"/>
        <w:rPr>
          <w:rFonts w:ascii="Times New Roman" w:hAnsi="Times New Roman" w:cs="Times New Roman"/>
        </w:rPr>
      </w:pPr>
      <w:r>
        <w:rPr>
          <w:rFonts w:ascii="Times New Roman" w:hAnsi="Times New Roman" w:cs="Times New Roman"/>
        </w:rPr>
        <w:t>摊铺机必须缓慢、均匀、连续不间断地摊铺，不得随意变换速度或中途停车，以提高平整度，减少混合料的离析。摊铺速度控制在2—6m/min的范围内，对改性沥青混合料宜控制在1—3m/min的范围内。当发现混合料出现明显的离析、波浪、裂缝、拖痕时，应分析原因，予以消除。</w:t>
      </w:r>
    </w:p>
    <w:p w14:paraId="583D5CCE">
      <w:pPr>
        <w:ind w:firstLine="480"/>
        <w:rPr>
          <w:rFonts w:ascii="Times New Roman" w:hAnsi="Times New Roman" w:cs="Times New Roman"/>
        </w:rPr>
      </w:pPr>
      <w:r>
        <w:rPr>
          <w:rFonts w:ascii="Times New Roman" w:hAnsi="Times New Roman" w:cs="Times New Roman"/>
        </w:rPr>
        <w:t>摊铺机的螺旋布料器应相应于太平速度调整到保持一个稳定的速度均衡地转动，两侧应保持有不少于2/3高度的混合料，以减少摊铺过程中混合料的离析。用机械摊铺的混合料不宜用人工反复修整。当不得不由人工作局部找补或更换混合料时，需仔细进行，特别严重的缺陷应整层铲除</w:t>
      </w:r>
    </w:p>
    <w:p w14:paraId="2BB04403">
      <w:pPr>
        <w:ind w:firstLine="480"/>
        <w:rPr>
          <w:rFonts w:ascii="Times New Roman" w:hAnsi="Times New Roman" w:cs="Times New Roman"/>
        </w:rPr>
      </w:pPr>
      <w:r>
        <w:rPr>
          <w:rFonts w:ascii="Times New Roman" w:hAnsi="Times New Roman" w:cs="Times New Roman"/>
        </w:rPr>
        <w:t>2、碾压</w:t>
      </w:r>
    </w:p>
    <w:p w14:paraId="1E40E386">
      <w:pPr>
        <w:ind w:firstLine="480"/>
        <w:rPr>
          <w:rFonts w:ascii="Times New Roman" w:hAnsi="Times New Roman" w:cs="Times New Roman"/>
        </w:rPr>
      </w:pPr>
      <w:r>
        <w:rPr>
          <w:rFonts w:ascii="Times New Roman" w:hAnsi="Times New Roman" w:cs="Times New Roman"/>
        </w:rPr>
        <w:t>碾压按照由上而下、先静后振、先慢后快的原则进行，尽量长距离碾压，振压时保证先停振后停机，先起步后起振。碾压时，相邻碾压带重叠1/3～1/2轮宽，从横断面上低的一侧逐步移向高的一侧，压路机来回一次为一遍。压路机碾压时，离摊铺机方向不在同一断面上，而是呈阶梯形，每次前后错开50cm左右，并且先长后短，即第一次碾压距离长，其余各次逐渐缩短。碾压时，调整好压路面碾压轮洒水喷嘴，使其洒水适量，以不粘轮为宜。压路机禁止在未碾压成型或未冷却的路段上转向、制动或停留。在压路机压不到的地方，采用振动夯板来压实。</w:t>
      </w:r>
    </w:p>
    <w:p w14:paraId="43FD0D49">
      <w:pPr>
        <w:ind w:firstLine="480"/>
        <w:rPr>
          <w:rFonts w:ascii="Times New Roman" w:hAnsi="Times New Roman" w:cs="Times New Roman"/>
        </w:rPr>
      </w:pPr>
      <w:r>
        <w:rPr>
          <w:rFonts w:ascii="Times New Roman" w:hAnsi="Times New Roman" w:cs="Times New Roman"/>
        </w:rPr>
        <w:t>3、接缝</w:t>
      </w:r>
    </w:p>
    <w:p w14:paraId="4C9554F2">
      <w:pPr>
        <w:ind w:firstLine="480"/>
        <w:rPr>
          <w:rFonts w:ascii="Times New Roman" w:hAnsi="Times New Roman" w:cs="Times New Roman"/>
        </w:rPr>
      </w:pPr>
      <w:r>
        <w:rPr>
          <w:rFonts w:ascii="Times New Roman" w:hAnsi="Times New Roman" w:cs="Times New Roman"/>
        </w:rPr>
        <w:t>接缝应粘结紧密，压实充分，连接平顺，不得产生明显的接缝离析。上、下层的纵缝应错开150mm（热接缝）或300-400mm（冷接缝）以上。相邻两幅及上、下层的横向接缝均应错位1m以上。</w:t>
      </w:r>
    </w:p>
    <w:p w14:paraId="262D907F">
      <w:pPr>
        <w:ind w:firstLine="480"/>
        <w:rPr>
          <w:rFonts w:ascii="Times New Roman" w:hAnsi="Times New Roman" w:cs="Times New Roman"/>
        </w:rPr>
      </w:pPr>
      <w:r>
        <w:rPr>
          <w:rFonts w:ascii="Times New Roman" w:hAnsi="Times New Roman" w:cs="Times New Roman"/>
        </w:rPr>
        <w:t>摊铺时采用梯队作业的纵缝应采用热接缝，将已铺部分留下100-200㎜宽暂不碾压，作为后续部分的基准面，然后作跨缝碾压以消除缝迹。</w:t>
      </w:r>
    </w:p>
    <w:p w14:paraId="5626246E">
      <w:pPr>
        <w:ind w:firstLine="480"/>
        <w:rPr>
          <w:rFonts w:ascii="Times New Roman" w:hAnsi="Times New Roman" w:cs="Times New Roman"/>
        </w:rPr>
      </w:pPr>
      <w:r>
        <w:rPr>
          <w:rFonts w:ascii="Times New Roman" w:hAnsi="Times New Roman" w:cs="Times New Roman"/>
        </w:rPr>
        <w:t>当半幅施工而产生纵向冷接缝时，可在混合料尚未完全冷却前用镐刨除边缘留下毛茬的方式，不宜在冷却后采用切割机作纵向切缝。加铺另半幅前应涂洒少量沥青，重叠在已铺层上50-100mm，再铲走铺在前半幅上面的混合料，碾压时由边向中碾压留下100-150mm，再跨缝挤紧密实。或者先在已压实路面上行走碾压新铺层150mm左右，然后压实新铺部分。</w:t>
      </w:r>
    </w:p>
    <w:p w14:paraId="736190F0">
      <w:pPr>
        <w:pStyle w:val="4"/>
        <w:rPr>
          <w:rFonts w:ascii="Times New Roman" w:hAnsi="Times New Roman" w:cs="Times New Roman"/>
        </w:rPr>
      </w:pPr>
      <w:bookmarkStart w:id="74" w:name="_Toc932"/>
      <w:r>
        <w:rPr>
          <w:rFonts w:ascii="Times New Roman" w:hAnsi="Times New Roman" w:cs="Times New Roman"/>
        </w:rPr>
        <w:t>交通组织设计</w:t>
      </w:r>
      <w:bookmarkEnd w:id="74"/>
    </w:p>
    <w:p w14:paraId="083DADE3">
      <w:pPr>
        <w:ind w:firstLine="480"/>
        <w:rPr>
          <w:rFonts w:ascii="Times New Roman" w:hAnsi="Times New Roman" w:cs="Times New Roman"/>
        </w:rPr>
      </w:pPr>
      <w:bookmarkStart w:id="75" w:name="bookmark75"/>
      <w:bookmarkEnd w:id="75"/>
      <w:r>
        <w:rPr>
          <w:rFonts w:ascii="Times New Roman" w:hAnsi="Times New Roman" w:cs="Times New Roman"/>
        </w:rPr>
        <w:t>概述：为了加强宜州城区地下管网改造提升项目的安全技术管理，防止施工安全事故，保障人身和财产安全，根据国务院《建设工程安全生产管理条例》、《道路交通标志和标线 第4部分：作业区》（GB5768.4—2017）及本项目工程实际情况，根据编制依据的规定，结合本工程的特点，编制本项目交通组织设计方案。</w:t>
      </w:r>
    </w:p>
    <w:p w14:paraId="497EFF19">
      <w:pPr>
        <w:pStyle w:val="5"/>
        <w:rPr>
          <w:rFonts w:ascii="Times New Roman" w:hAnsi="Times New Roman" w:cs="Times New Roman"/>
        </w:rPr>
      </w:pPr>
      <w:r>
        <w:rPr>
          <w:rFonts w:ascii="Times New Roman" w:hAnsi="Times New Roman" w:cs="Times New Roman"/>
        </w:rPr>
        <w:t>设计依据</w:t>
      </w:r>
    </w:p>
    <w:p w14:paraId="353C7758">
      <w:pPr>
        <w:ind w:firstLine="480"/>
        <w:rPr>
          <w:rFonts w:ascii="Times New Roman" w:hAnsi="Times New Roman" w:cs="Times New Roman"/>
        </w:rPr>
      </w:pPr>
      <w:r>
        <w:rPr>
          <w:rFonts w:ascii="Times New Roman" w:hAnsi="Times New Roman" w:cs="Times New Roman"/>
        </w:rPr>
        <w:t>（1）《道路交通标志和标线 第2部分：道路交通标志》（GB5768.2—2022）；</w:t>
      </w:r>
    </w:p>
    <w:p w14:paraId="1DFE4BAC">
      <w:pPr>
        <w:ind w:firstLine="480"/>
        <w:rPr>
          <w:rFonts w:ascii="Times New Roman" w:hAnsi="Times New Roman" w:cs="Times New Roman"/>
        </w:rPr>
      </w:pPr>
      <w:r>
        <w:rPr>
          <w:rFonts w:ascii="Times New Roman" w:hAnsi="Times New Roman" w:cs="Times New Roman"/>
        </w:rPr>
        <w:t>（2）《道路交通标志和标线 第3部分：道路交通标线》（GB5768.3—2009）；</w:t>
      </w:r>
    </w:p>
    <w:p w14:paraId="671B0C65">
      <w:pPr>
        <w:ind w:firstLine="480"/>
        <w:rPr>
          <w:rFonts w:ascii="Times New Roman" w:hAnsi="Times New Roman" w:cs="Times New Roman"/>
        </w:rPr>
      </w:pPr>
      <w:r>
        <w:rPr>
          <w:rFonts w:ascii="Times New Roman" w:hAnsi="Times New Roman" w:cs="Times New Roman"/>
        </w:rPr>
        <w:t>（3）《道路交通标志和标线 第4部分：作业区》（GB5768.4—2017）；</w:t>
      </w:r>
    </w:p>
    <w:p w14:paraId="35B989F6">
      <w:pPr>
        <w:ind w:firstLine="480"/>
        <w:rPr>
          <w:rFonts w:ascii="Times New Roman" w:hAnsi="Times New Roman" w:cs="Times New Roman"/>
        </w:rPr>
      </w:pPr>
      <w:r>
        <w:rPr>
          <w:rFonts w:ascii="Times New Roman" w:hAnsi="Times New Roman" w:cs="Times New Roman"/>
        </w:rPr>
        <w:t>（4）《城市道路交通工程项目规范》（GB55011—2021）；</w:t>
      </w:r>
    </w:p>
    <w:p w14:paraId="20CF9CA2">
      <w:pPr>
        <w:ind w:firstLine="480"/>
        <w:rPr>
          <w:rFonts w:ascii="Times New Roman" w:hAnsi="Times New Roman" w:cs="Times New Roman"/>
        </w:rPr>
      </w:pPr>
      <w:r>
        <w:rPr>
          <w:rFonts w:ascii="Times New Roman" w:hAnsi="Times New Roman" w:cs="Times New Roman"/>
        </w:rPr>
        <w:t>（5）《城市道路交通标志和标线设置规范》（GB51038—2015）；</w:t>
      </w:r>
    </w:p>
    <w:p w14:paraId="50581D0C">
      <w:pPr>
        <w:ind w:firstLine="480"/>
        <w:rPr>
          <w:rFonts w:ascii="Times New Roman" w:hAnsi="Times New Roman" w:cs="Times New Roman"/>
        </w:rPr>
      </w:pPr>
      <w:r>
        <w:rPr>
          <w:rFonts w:ascii="Times New Roman" w:hAnsi="Times New Roman" w:cs="Times New Roman"/>
        </w:rPr>
        <w:t>（6）《城市道路交通设施设计规范》（GB50688—2011）（2019年版）；</w:t>
      </w:r>
    </w:p>
    <w:p w14:paraId="25C74238">
      <w:pPr>
        <w:ind w:firstLine="480"/>
        <w:rPr>
          <w:rFonts w:ascii="Times New Roman" w:hAnsi="Times New Roman" w:cs="Times New Roman"/>
        </w:rPr>
      </w:pPr>
      <w:r>
        <w:rPr>
          <w:rFonts w:ascii="Times New Roman" w:hAnsi="Times New Roman" w:cs="Times New Roman"/>
        </w:rPr>
        <w:t>（7）《路面标线涂料》（JT/T280—2004）；</w:t>
      </w:r>
    </w:p>
    <w:p w14:paraId="5DB78230">
      <w:pPr>
        <w:ind w:firstLine="480"/>
        <w:rPr>
          <w:rFonts w:ascii="Times New Roman" w:hAnsi="Times New Roman" w:cs="Times New Roman"/>
        </w:rPr>
      </w:pPr>
      <w:r>
        <w:rPr>
          <w:rFonts w:ascii="Times New Roman" w:hAnsi="Times New Roman" w:cs="Times New Roman"/>
        </w:rPr>
        <w:t>（8）《道路交通反光膜》（GB/T18833—2012）；</w:t>
      </w:r>
    </w:p>
    <w:p w14:paraId="0EBCD333">
      <w:pPr>
        <w:ind w:firstLine="480"/>
        <w:rPr>
          <w:rFonts w:ascii="Times New Roman" w:hAnsi="Times New Roman" w:cs="Times New Roman"/>
        </w:rPr>
      </w:pPr>
      <w:r>
        <w:rPr>
          <w:rFonts w:ascii="Times New Roman" w:hAnsi="Times New Roman" w:cs="Times New Roman"/>
        </w:rPr>
        <w:t>（9）《道路交通标志板及支撑件》（GBT23827-2021）；</w:t>
      </w:r>
    </w:p>
    <w:p w14:paraId="24B33C69">
      <w:pPr>
        <w:ind w:firstLine="480"/>
        <w:rPr>
          <w:rFonts w:ascii="Times New Roman" w:hAnsi="Times New Roman" w:cs="Times New Roman"/>
        </w:rPr>
      </w:pPr>
      <w:r>
        <w:rPr>
          <w:rFonts w:ascii="Times New Roman" w:hAnsi="Times New Roman" w:cs="Times New Roman"/>
        </w:rPr>
        <w:t>（10）《路面标线用玻璃珠》（GBT24722—2020）；</w:t>
      </w:r>
    </w:p>
    <w:p w14:paraId="22023CBE">
      <w:pPr>
        <w:ind w:firstLine="480"/>
        <w:rPr>
          <w:rFonts w:ascii="Times New Roman" w:hAnsi="Times New Roman" w:cs="Times New Roman"/>
        </w:rPr>
      </w:pPr>
      <w:r>
        <w:rPr>
          <w:rFonts w:ascii="Times New Roman" w:hAnsi="Times New Roman" w:cs="Times New Roman"/>
        </w:rPr>
        <w:t>（11）《道路交通标线质量要求和检测方法》（GBT16311-2009）；</w:t>
      </w:r>
    </w:p>
    <w:p w14:paraId="373E785E">
      <w:pPr>
        <w:ind w:firstLine="480"/>
        <w:rPr>
          <w:rFonts w:ascii="Times New Roman" w:hAnsi="Times New Roman" w:cs="Times New Roman"/>
        </w:rPr>
      </w:pPr>
      <w:r>
        <w:rPr>
          <w:rFonts w:ascii="Times New Roman" w:hAnsi="Times New Roman" w:cs="Times New Roman"/>
        </w:rPr>
        <w:t>（12）《中华人民共和国道路交通安全法》；</w:t>
      </w:r>
    </w:p>
    <w:p w14:paraId="08B1BCEB">
      <w:pPr>
        <w:ind w:firstLine="480"/>
        <w:rPr>
          <w:rFonts w:ascii="Times New Roman" w:hAnsi="Times New Roman" w:cs="Times New Roman"/>
        </w:rPr>
      </w:pPr>
      <w:r>
        <w:rPr>
          <w:rFonts w:ascii="Times New Roman" w:hAnsi="Times New Roman" w:cs="Times New Roman"/>
        </w:rPr>
        <w:t>（13）《中华人民共和国道路交通安全法实施条例》；</w:t>
      </w:r>
    </w:p>
    <w:p w14:paraId="43409500">
      <w:pPr>
        <w:ind w:firstLine="480"/>
        <w:rPr>
          <w:rFonts w:ascii="Times New Roman" w:hAnsi="Times New Roman" w:cs="Times New Roman"/>
          <w:szCs w:val="22"/>
        </w:rPr>
      </w:pPr>
      <w:r>
        <w:rPr>
          <w:rFonts w:ascii="Times New Roman" w:hAnsi="Times New Roman" w:cs="Times New Roman"/>
          <w:szCs w:val="22"/>
        </w:rPr>
        <w:t>（14）相关道路用地地形图，其它相关道路的规划要点、图纸、文字资料等。</w:t>
      </w:r>
    </w:p>
    <w:p w14:paraId="275DE777">
      <w:pPr>
        <w:pStyle w:val="5"/>
        <w:rPr>
          <w:rFonts w:ascii="Times New Roman" w:hAnsi="Times New Roman" w:cs="Times New Roman"/>
        </w:rPr>
      </w:pPr>
      <w:r>
        <w:rPr>
          <w:rFonts w:ascii="Times New Roman" w:hAnsi="Times New Roman" w:cs="Times New Roman"/>
        </w:rPr>
        <w:t>交通组织疏导方案</w:t>
      </w:r>
    </w:p>
    <w:p w14:paraId="3183BBA0">
      <w:pPr>
        <w:ind w:firstLine="480"/>
        <w:rPr>
          <w:rFonts w:ascii="Times New Roman" w:hAnsi="Times New Roman" w:cs="Times New Roman"/>
        </w:rPr>
      </w:pPr>
      <w:r>
        <w:rPr>
          <w:rFonts w:ascii="Times New Roman" w:hAnsi="Times New Roman" w:cs="Times New Roman"/>
        </w:rPr>
        <w:t>为保证项目施工期间区域交通正常运转，对本项目25处涉及现状道路进行雨污水管改造施工，对涉及施工道路路面或人行道进行分时分段围挡及施工，针对施工区域，占用施工段一侧单车道，对其进行分段封闭交通组织施工。临时交通设施按《城市道路交通标志和标线第4部分：作业区》（GB5768.4-2017）城市道路作业区布置示例进行设置。</w:t>
      </w:r>
    </w:p>
    <w:p w14:paraId="683ABBD6">
      <w:pPr>
        <w:ind w:firstLine="480"/>
        <w:rPr>
          <w:rFonts w:ascii="Times New Roman" w:hAnsi="Times New Roman" w:cs="Times New Roman"/>
        </w:rPr>
      </w:pPr>
      <w:r>
        <w:rPr>
          <w:rFonts w:ascii="Times New Roman" w:hAnsi="Times New Roman" w:cs="Times New Roman"/>
        </w:rPr>
        <w:t>根据项目情况，本项目需对现状施工区域道路进行交通疏导组织，组织车辆合理绕行和分流。本项目分为车道全封闭道路改造施工段、双2车道道路改造施工段、双4车道道路改造施工段。</w:t>
      </w:r>
    </w:p>
    <w:p w14:paraId="43628408">
      <w:pPr>
        <w:ind w:firstLine="480"/>
        <w:rPr>
          <w:rFonts w:ascii="Times New Roman" w:hAnsi="Times New Roman" w:cs="Times New Roman"/>
        </w:rPr>
      </w:pPr>
      <w:r>
        <w:rPr>
          <w:rFonts w:ascii="Times New Roman" w:hAnsi="Times New Roman" w:cs="Times New Roman"/>
        </w:rPr>
        <w:t>（1）路段施工期交通组织</w:t>
      </w:r>
    </w:p>
    <w:p w14:paraId="1D3D184A">
      <w:pPr>
        <w:ind w:firstLine="480"/>
        <w:rPr>
          <w:rFonts w:ascii="Times New Roman" w:hAnsi="Times New Roman" w:cs="Times New Roman"/>
        </w:rPr>
      </w:pPr>
      <w:r>
        <w:rPr>
          <w:rFonts w:hint="eastAsia" w:ascii="宋体" w:hAnsi="宋体" w:eastAsia="宋体" w:cs="宋体"/>
        </w:rPr>
        <w:t>①</w:t>
      </w:r>
      <w:r>
        <w:rPr>
          <w:rFonts w:ascii="Times New Roman" w:hAnsi="Times New Roman" w:cs="Times New Roman"/>
        </w:rPr>
        <w:t>车道全封闭道路改造施工段</w:t>
      </w:r>
    </w:p>
    <w:p w14:paraId="5B5E02CC">
      <w:pPr>
        <w:ind w:firstLine="480"/>
        <w:rPr>
          <w:rFonts w:ascii="Times New Roman" w:hAnsi="Times New Roman" w:cs="Times New Roman"/>
        </w:rPr>
      </w:pPr>
      <w:r>
        <w:rPr>
          <w:rFonts w:ascii="Times New Roman" w:hAnsi="Times New Roman" w:cs="Times New Roman"/>
        </w:rPr>
        <w:t>该段适用于单车道双向行驶道路或施工面占用路面面积较大的双2车道路面处雨污水管改造施工路段，针对路面给排水管改造路段进行车道全封闭和围挡，拟采用全封闭分段限制交通措施，具体施工方案如下：</w:t>
      </w:r>
    </w:p>
    <w:p w14:paraId="2B3EAC69">
      <w:pPr>
        <w:ind w:firstLine="480"/>
        <w:rPr>
          <w:rFonts w:ascii="Times New Roman" w:hAnsi="Times New Roman" w:cs="Times New Roman"/>
        </w:rPr>
      </w:pPr>
      <w:r>
        <w:rPr>
          <w:rFonts w:ascii="Times New Roman" w:hAnsi="Times New Roman" w:cs="Times New Roman"/>
        </w:rPr>
        <w:t>全封闭分段限制交通措施：</w:t>
      </w:r>
    </w:p>
    <w:p w14:paraId="773C34DF">
      <w:pPr>
        <w:ind w:firstLine="480"/>
        <w:rPr>
          <w:rFonts w:ascii="Times New Roman" w:hAnsi="Times New Roman" w:cs="Times New Roman"/>
        </w:rPr>
      </w:pPr>
      <w:r>
        <w:rPr>
          <w:rFonts w:ascii="Times New Roman" w:hAnsi="Times New Roman" w:cs="Times New Roman"/>
        </w:rPr>
        <w:t>本次交通组织方案采取车道全封闭施工，禁止一切车辆通行，车辆进行绕行改道措施。封闭期间，在起终点位置设置相应的疏导及施工告示等临时标志和情报版，连续设置彩钢板围挡施工区域，前端设置路栏与长度为1.5m的水马。周边路口提前设置车辆绕行告示牌，过往车辆绕行周边路网进行交通疏解。</w:t>
      </w:r>
    </w:p>
    <w:p w14:paraId="603FF132">
      <w:pPr>
        <w:ind w:firstLine="480"/>
        <w:rPr>
          <w:rFonts w:ascii="Times New Roman" w:hAnsi="Times New Roman" w:cs="Times New Roman"/>
        </w:rPr>
      </w:pPr>
      <w:r>
        <w:rPr>
          <w:rFonts w:ascii="Times New Roman" w:hAnsi="Times New Roman" w:cs="Times New Roman"/>
        </w:rPr>
        <w:t>施工期的交通组织如下图所示：</w:t>
      </w:r>
    </w:p>
    <w:p w14:paraId="6048FC0E">
      <w:pPr>
        <w:adjustRightInd w:val="0"/>
        <w:snapToGrid w:val="0"/>
        <w:spacing w:before="69"/>
        <w:ind w:firstLine="560"/>
        <w:jc w:val="center"/>
        <w:rPr>
          <w:rFonts w:ascii="Times New Roman" w:hAnsi="Times New Roman" w:eastAsia="楷体_GB2312" w:cs="Times New Roman"/>
          <w:sz w:val="28"/>
          <w:szCs w:val="28"/>
        </w:rPr>
      </w:pPr>
      <w:r>
        <w:rPr>
          <w:rFonts w:ascii="Times New Roman" w:hAnsi="Times New Roman" w:eastAsia="楷体_GB2312" w:cs="Times New Roman"/>
          <w:position w:val="-112"/>
          <w:sz w:val="28"/>
          <w:szCs w:val="28"/>
        </w:rPr>
        <w:drawing>
          <wp:inline distT="0" distB="0" distL="0" distR="0">
            <wp:extent cx="4222750" cy="356425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26" cstate="print"/>
                    <a:stretch>
                      <a:fillRect/>
                    </a:stretch>
                  </pic:blipFill>
                  <pic:spPr>
                    <a:xfrm>
                      <a:off x="0" y="0"/>
                      <a:ext cx="4223004" cy="3564636"/>
                    </a:xfrm>
                    <a:prstGeom prst="rect">
                      <a:avLst/>
                    </a:prstGeom>
                  </pic:spPr>
                </pic:pic>
              </a:graphicData>
            </a:graphic>
          </wp:inline>
        </w:drawing>
      </w:r>
    </w:p>
    <w:p w14:paraId="5DAC7B2E">
      <w:pPr>
        <w:pStyle w:val="28"/>
        <w:rPr>
          <w:rFonts w:ascii="Times New Roman" w:hAnsi="Times New Roman" w:cs="Times New Roman"/>
        </w:rPr>
      </w:pPr>
      <w:r>
        <w:rPr>
          <w:rFonts w:ascii="Times New Roman" w:hAnsi="Times New Roman" w:cs="Times New Roman"/>
        </w:rPr>
        <w:t>单车道全封闭施工交通组织示意图</w:t>
      </w:r>
    </w:p>
    <w:p w14:paraId="5DFDC4AF">
      <w:pPr>
        <w:ind w:firstLine="480"/>
        <w:rPr>
          <w:rFonts w:ascii="Times New Roman" w:hAnsi="Times New Roman" w:cs="Times New Roman"/>
        </w:rPr>
      </w:pPr>
      <w:r>
        <w:rPr>
          <w:rFonts w:hint="eastAsia" w:ascii="宋体" w:hAnsi="宋体" w:eastAsia="宋体" w:cs="宋体"/>
        </w:rPr>
        <w:t>②</w:t>
      </w:r>
      <w:r>
        <w:rPr>
          <w:rFonts w:ascii="Times New Roman" w:hAnsi="Times New Roman" w:cs="Times New Roman"/>
        </w:rPr>
        <w:t>双2车道道路改造施工段（单车道双向行驶段）</w:t>
      </w:r>
    </w:p>
    <w:p w14:paraId="791C7523">
      <w:pPr>
        <w:ind w:firstLine="480"/>
        <w:rPr>
          <w:rFonts w:ascii="Times New Roman" w:hAnsi="Times New Roman" w:cs="Times New Roman"/>
        </w:rPr>
      </w:pPr>
      <w:r>
        <w:rPr>
          <w:rFonts w:ascii="Times New Roman" w:hAnsi="Times New Roman" w:cs="Times New Roman"/>
        </w:rPr>
        <w:t>适用于路幅较窄或施工面占用路面面积较大的双2车道雨污水管改造施工路段，拟采用半封闭限制交通措施，以上道路为单幅路，双车道行驶道路，拟采用半封闭限制交通措施，具体施工</w:t>
      </w:r>
    </w:p>
    <w:p w14:paraId="3B6399BE">
      <w:pPr>
        <w:ind w:firstLine="480"/>
        <w:rPr>
          <w:rFonts w:ascii="Times New Roman" w:hAnsi="Times New Roman" w:cs="Times New Roman"/>
        </w:rPr>
      </w:pPr>
      <w:r>
        <w:rPr>
          <w:rFonts w:ascii="Times New Roman" w:hAnsi="Times New Roman" w:cs="Times New Roman"/>
        </w:rPr>
        <w:t>方案如下：</w:t>
      </w:r>
    </w:p>
    <w:p w14:paraId="7F036A88">
      <w:pPr>
        <w:adjustRightInd w:val="0"/>
        <w:snapToGrid w:val="0"/>
        <w:spacing w:before="104"/>
        <w:ind w:firstLine="560"/>
        <w:jc w:val="center"/>
        <w:rPr>
          <w:rFonts w:ascii="Times New Roman" w:hAnsi="Times New Roman" w:eastAsia="楷体_GB2312" w:cs="Times New Roman"/>
          <w:sz w:val="28"/>
          <w:szCs w:val="28"/>
        </w:rPr>
      </w:pPr>
      <w:r>
        <w:rPr>
          <w:rFonts w:ascii="Times New Roman" w:hAnsi="Times New Roman" w:eastAsia="楷体_GB2312" w:cs="Times New Roman"/>
          <w:position w:val="-119"/>
          <w:sz w:val="28"/>
          <w:szCs w:val="28"/>
        </w:rPr>
        <w:drawing>
          <wp:inline distT="0" distB="0" distL="0" distR="0">
            <wp:extent cx="4993640" cy="378396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27" cstate="print"/>
                    <a:stretch>
                      <a:fillRect/>
                    </a:stretch>
                  </pic:blipFill>
                  <pic:spPr>
                    <a:xfrm>
                      <a:off x="0" y="0"/>
                      <a:ext cx="4994147" cy="3784092"/>
                    </a:xfrm>
                    <a:prstGeom prst="rect">
                      <a:avLst/>
                    </a:prstGeom>
                  </pic:spPr>
                </pic:pic>
              </a:graphicData>
            </a:graphic>
          </wp:inline>
        </w:drawing>
      </w:r>
    </w:p>
    <w:p w14:paraId="462B9020">
      <w:pPr>
        <w:pStyle w:val="28"/>
        <w:rPr>
          <w:rFonts w:ascii="Times New Roman" w:hAnsi="Times New Roman" w:eastAsia="楷体_GB2312" w:cs="Times New Roman"/>
          <w:sz w:val="28"/>
          <w:szCs w:val="28"/>
        </w:rPr>
      </w:pPr>
      <w:r>
        <w:rPr>
          <w:rFonts w:ascii="Times New Roman" w:hAnsi="Times New Roman" w:cs="Times New Roman"/>
        </w:rPr>
        <w:t>双2车道半封闭施工交通组织示意图（单车道双向行驶段）半封闭限制交通措施</w:t>
      </w:r>
    </w:p>
    <w:p w14:paraId="79028F9E">
      <w:pPr>
        <w:ind w:firstLine="480"/>
        <w:rPr>
          <w:rFonts w:ascii="Times New Roman" w:hAnsi="Times New Roman" w:cs="Times New Roman"/>
        </w:rPr>
      </w:pPr>
      <w:r>
        <w:rPr>
          <w:rFonts w:ascii="Times New Roman" w:hAnsi="Times New Roman" w:cs="Times New Roman"/>
        </w:rPr>
        <w:t>本次交通组织方案采取双车道半封闭施工，施工期间，围绕施工作业区连续设置彩钢板，进行单向隔离，并设置相应的限制、疏导及告示等临时安全标志和情报板。</w:t>
      </w:r>
    </w:p>
    <w:p w14:paraId="66055B46">
      <w:pPr>
        <w:ind w:firstLine="480"/>
        <w:rPr>
          <w:rFonts w:ascii="Times New Roman" w:hAnsi="Times New Roman" w:cs="Times New Roman"/>
        </w:rPr>
      </w:pPr>
      <w:r>
        <w:rPr>
          <w:rFonts w:ascii="Times New Roman" w:hAnsi="Times New Roman" w:cs="Times New Roman"/>
        </w:rPr>
        <w:t>为保证道路局部施工正常运转，拟采用改变单车道交通流，半封闭施工，过往车辆绕行周边路网方案。双车道封闭一车道作业时，工作区前端需利用锥筒改变单向车辆至对向车道，实行临时单车道双向交通行驶。左幅与右幅分段实施，左幅施工围挡时同右幅设置，临时标牌摆放位置因根据现场施工方案进行调整。</w:t>
      </w:r>
    </w:p>
    <w:p w14:paraId="4BE3D0E3">
      <w:pPr>
        <w:ind w:firstLine="480"/>
        <w:rPr>
          <w:rFonts w:ascii="Times New Roman" w:hAnsi="Times New Roman" w:cs="Times New Roman"/>
          <w:szCs w:val="22"/>
        </w:rPr>
      </w:pPr>
      <w:r>
        <w:rPr>
          <w:rFonts w:hint="eastAsia" w:ascii="宋体" w:hAnsi="宋体" w:eastAsia="宋体" w:cs="宋体"/>
          <w:szCs w:val="22"/>
        </w:rPr>
        <w:t>③</w:t>
      </w:r>
      <w:r>
        <w:rPr>
          <w:rFonts w:ascii="Times New Roman" w:hAnsi="Times New Roman" w:cs="Times New Roman"/>
          <w:szCs w:val="22"/>
        </w:rPr>
        <w:t>双2车道道路改造施工段（维持双2车道行驶段）</w:t>
      </w:r>
    </w:p>
    <w:p w14:paraId="7676E5C6">
      <w:pPr>
        <w:ind w:firstLine="480"/>
        <w:rPr>
          <w:rFonts w:ascii="Times New Roman" w:hAnsi="Times New Roman" w:cs="Times New Roman"/>
        </w:rPr>
      </w:pPr>
      <w:r>
        <w:rPr>
          <w:rFonts w:ascii="Times New Roman" w:hAnsi="Times New Roman" w:cs="Times New Roman"/>
        </w:rPr>
        <w:t>适用于路幅较宽的双2车道雨污水管改造施工路段，拟采用半封闭限制交通措施，具体施工方案如下：</w:t>
      </w:r>
    </w:p>
    <w:p w14:paraId="0798D0F9">
      <w:pPr>
        <w:pStyle w:val="28"/>
        <w:rPr>
          <w:rFonts w:ascii="Times New Roman" w:hAnsi="Times New Roman" w:cs="Times New Roman"/>
        </w:rPr>
      </w:pPr>
      <w:r>
        <w:rPr>
          <w:rFonts w:ascii="Times New Roman" w:hAnsi="Times New Roman" w:cs="Times New Roman"/>
        </w:rPr>
        <w:drawing>
          <wp:inline distT="0" distB="0" distL="0" distR="0">
            <wp:extent cx="4944745" cy="4032250"/>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28" cstate="print"/>
                    <a:stretch>
                      <a:fillRect/>
                    </a:stretch>
                  </pic:blipFill>
                  <pic:spPr>
                    <a:xfrm>
                      <a:off x="0" y="0"/>
                      <a:ext cx="4945379" cy="4032504"/>
                    </a:xfrm>
                    <a:prstGeom prst="rect">
                      <a:avLst/>
                    </a:prstGeom>
                  </pic:spPr>
                </pic:pic>
              </a:graphicData>
            </a:graphic>
          </wp:inline>
        </w:drawing>
      </w:r>
    </w:p>
    <w:p w14:paraId="66789E88">
      <w:pPr>
        <w:pStyle w:val="28"/>
        <w:rPr>
          <w:rFonts w:ascii="Times New Roman" w:hAnsi="Times New Roman" w:eastAsia="楷体_GB2312" w:cs="Times New Roman"/>
          <w:sz w:val="28"/>
          <w:szCs w:val="28"/>
        </w:rPr>
      </w:pPr>
      <w:bookmarkStart w:id="76" w:name="bookmark76"/>
      <w:bookmarkEnd w:id="76"/>
      <w:r>
        <w:rPr>
          <w:rFonts w:ascii="Times New Roman" w:hAnsi="Times New Roman" w:cs="Times New Roman"/>
        </w:rPr>
        <w:t>双2车道局部封闭施工交通组织示意图（维持双2车道行驶段）半封闭限制交通措施</w:t>
      </w:r>
    </w:p>
    <w:p w14:paraId="118E0BB9">
      <w:pPr>
        <w:ind w:firstLine="480"/>
        <w:rPr>
          <w:rFonts w:ascii="Times New Roman" w:hAnsi="Times New Roman" w:cs="Times New Roman"/>
        </w:rPr>
      </w:pPr>
      <w:r>
        <w:rPr>
          <w:rFonts w:ascii="Times New Roman" w:hAnsi="Times New Roman" w:cs="Times New Roman"/>
        </w:rPr>
        <w:t>本次交通组织方案采取双车道局部封闭施工，施工期间，围绕施工作业区连续设置彩钢板，进行单向隔离，并设置相应的限制、疏导及告示等临时安全标志和情报板。</w:t>
      </w:r>
    </w:p>
    <w:p w14:paraId="11661914">
      <w:pPr>
        <w:ind w:firstLine="480"/>
        <w:rPr>
          <w:rFonts w:ascii="Times New Roman" w:hAnsi="Times New Roman" w:cs="Times New Roman"/>
        </w:rPr>
      </w:pPr>
      <w:r>
        <w:rPr>
          <w:rFonts w:ascii="Times New Roman" w:hAnsi="Times New Roman" w:cs="Times New Roman"/>
        </w:rPr>
        <w:t>为保证道路局部施工正常运转，拟采用改变单车道交通流，局部封闭施工，过往车辆绕行周边路网方案。封闭半幅靠人行道一侧的局部车道作业时，现状机动车道均缩减部分宽度并维持双二车道行驶，车辆通过施工区域后则恢复原车道宽度通行。左幅与右幅分段实施，左幅施工围挡时同右幅设置，临时标牌摆放位置因根据现场施工方案进行调整。</w:t>
      </w:r>
    </w:p>
    <w:p w14:paraId="230A3CBF">
      <w:pPr>
        <w:ind w:firstLine="480"/>
        <w:rPr>
          <w:rFonts w:ascii="Times New Roman" w:hAnsi="Times New Roman" w:cs="Times New Roman"/>
        </w:rPr>
      </w:pPr>
      <w:r>
        <w:rPr>
          <w:rFonts w:hint="eastAsia" w:ascii="宋体" w:hAnsi="宋体" w:eastAsia="宋体" w:cs="宋体"/>
        </w:rPr>
        <w:t>④</w:t>
      </w:r>
      <w:r>
        <w:rPr>
          <w:rFonts w:ascii="Times New Roman" w:hAnsi="Times New Roman" w:cs="Times New Roman"/>
        </w:rPr>
        <w:t>双4车道道路改造施工段</w:t>
      </w:r>
    </w:p>
    <w:p w14:paraId="1E560F3B">
      <w:pPr>
        <w:ind w:firstLine="480"/>
        <w:rPr>
          <w:rFonts w:ascii="Times New Roman" w:hAnsi="Times New Roman" w:cs="Times New Roman"/>
          <w:szCs w:val="22"/>
        </w:rPr>
      </w:pPr>
      <w:r>
        <w:rPr>
          <w:rFonts w:ascii="Times New Roman" w:hAnsi="Times New Roman" w:cs="Times New Roman"/>
          <w:szCs w:val="22"/>
        </w:rPr>
        <w:t>适用于双</w:t>
      </w:r>
      <w:r>
        <w:rPr>
          <w:rFonts w:ascii="Times New Roman" w:hAnsi="Times New Roman" w:cs="Times New Roman"/>
        </w:rPr>
        <w:t>4</w:t>
      </w:r>
      <w:r>
        <w:rPr>
          <w:rFonts w:ascii="Times New Roman" w:hAnsi="Times New Roman" w:cs="Times New Roman"/>
          <w:szCs w:val="22"/>
        </w:rPr>
        <w:t>车道路面雨污水管改造施工路段，拟采用半封闭限制交通措施，具体施工方案如下：</w:t>
      </w:r>
    </w:p>
    <w:p w14:paraId="16D904E3">
      <w:pPr>
        <w:pStyle w:val="28"/>
        <w:rPr>
          <w:rFonts w:ascii="Times New Roman" w:hAnsi="Times New Roman" w:cs="Times New Roman"/>
        </w:rPr>
      </w:pPr>
      <w:r>
        <w:rPr>
          <w:rFonts w:ascii="Times New Roman" w:hAnsi="Times New Roman" w:cs="Times New Roman"/>
        </w:rPr>
        <w:drawing>
          <wp:inline distT="0" distB="0" distL="0" distR="0">
            <wp:extent cx="4222750" cy="403161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29" cstate="print"/>
                    <a:stretch>
                      <a:fillRect/>
                    </a:stretch>
                  </pic:blipFill>
                  <pic:spPr>
                    <a:xfrm>
                      <a:off x="0" y="0"/>
                      <a:ext cx="4223004" cy="4031628"/>
                    </a:xfrm>
                    <a:prstGeom prst="rect">
                      <a:avLst/>
                    </a:prstGeom>
                  </pic:spPr>
                </pic:pic>
              </a:graphicData>
            </a:graphic>
          </wp:inline>
        </w:drawing>
      </w:r>
    </w:p>
    <w:p w14:paraId="194242FE">
      <w:pPr>
        <w:pStyle w:val="28"/>
        <w:rPr>
          <w:rFonts w:ascii="Times New Roman" w:hAnsi="Times New Roman" w:eastAsia="楷体_GB2312" w:cs="Times New Roman"/>
          <w:sz w:val="28"/>
          <w:szCs w:val="28"/>
        </w:rPr>
      </w:pPr>
      <w:r>
        <w:rPr>
          <w:rFonts w:ascii="Times New Roman" w:hAnsi="Times New Roman" w:cs="Times New Roman"/>
        </w:rPr>
        <w:t>半幅单车道封闭施工交通组织示意图（双4车道）</w:t>
      </w:r>
    </w:p>
    <w:p w14:paraId="0D0E2701">
      <w:pPr>
        <w:ind w:firstLine="480"/>
        <w:rPr>
          <w:rFonts w:ascii="Times New Roman" w:hAnsi="Times New Roman" w:cs="Times New Roman"/>
        </w:rPr>
      </w:pPr>
      <w:r>
        <w:rPr>
          <w:rFonts w:ascii="Times New Roman" w:hAnsi="Times New Roman" w:cs="Times New Roman"/>
        </w:rPr>
        <w:t>本次交通组织方案采取半幅车道封闭施工，施工期间，围绕施工作业区连续设置彩钢板，进行单向隔离，并设置相应的限制、疏导及告示等临时安全标志和情报板。</w:t>
      </w:r>
    </w:p>
    <w:p w14:paraId="3D9FB3BF">
      <w:pPr>
        <w:ind w:firstLine="480"/>
        <w:rPr>
          <w:rFonts w:ascii="Times New Roman" w:hAnsi="Times New Roman" w:cs="Times New Roman"/>
        </w:rPr>
      </w:pPr>
      <w:r>
        <w:rPr>
          <w:rFonts w:ascii="Times New Roman" w:hAnsi="Times New Roman" w:cs="Times New Roman"/>
        </w:rPr>
        <w:t>为保证本项目施工正常运转，拟采用车道半封闭限制交通措施：封闭半幅车道，改变单向交通流，利用对向车道改道的方案。机动车由现状双4车道临时缩减为双2车道行驶，车辆通过施工区域后则恢复原车道数通行。左幅与右幅分段实施，左幅施工围挡时同右幅设置，临时标牌摆放位置因根据现场施工方案进行调整。</w:t>
      </w:r>
    </w:p>
    <w:p w14:paraId="48BA4E40">
      <w:pPr>
        <w:ind w:firstLine="480"/>
        <w:rPr>
          <w:rFonts w:ascii="Times New Roman" w:hAnsi="Times New Roman" w:cs="Times New Roman"/>
          <w:szCs w:val="22"/>
        </w:rPr>
      </w:pPr>
      <w:r>
        <w:rPr>
          <w:rFonts w:ascii="Times New Roman" w:hAnsi="Times New Roman" w:cs="Times New Roman"/>
          <w:szCs w:val="22"/>
        </w:rPr>
        <w:t>（2）支路路口施工期交通组织</w:t>
      </w:r>
    </w:p>
    <w:p w14:paraId="28E124F6">
      <w:pPr>
        <w:ind w:firstLine="480"/>
        <w:rPr>
          <w:rFonts w:ascii="Times New Roman" w:hAnsi="Times New Roman" w:cs="Times New Roman"/>
        </w:rPr>
      </w:pPr>
      <w:r>
        <w:rPr>
          <w:rFonts w:ascii="Times New Roman" w:hAnsi="Times New Roman" w:cs="Times New Roman"/>
        </w:rPr>
        <w:t>路口围挡施工需对路面进行开挖，为避免高峰期交通行车的影响，路口段应进行夜间施工，施工时需进行封闭围挡，单位进出口施放厚钢板以保证临时行车。</w:t>
      </w:r>
    </w:p>
    <w:p w14:paraId="0161E768">
      <w:pPr>
        <w:ind w:firstLine="480"/>
        <w:rPr>
          <w:rFonts w:ascii="Times New Roman" w:hAnsi="Times New Roman" w:cs="Times New Roman"/>
          <w:szCs w:val="22"/>
        </w:rPr>
      </w:pPr>
      <w:r>
        <w:rPr>
          <w:rFonts w:ascii="Times New Roman" w:hAnsi="Times New Roman" w:cs="Times New Roman"/>
          <w:szCs w:val="22"/>
        </w:rPr>
        <w:t>施工完成后，对路面及交通标线进行恢复。</w:t>
      </w:r>
    </w:p>
    <w:p w14:paraId="7D168F5C">
      <w:pPr>
        <w:pStyle w:val="28"/>
        <w:rPr>
          <w:rFonts w:ascii="Times New Roman" w:hAnsi="Times New Roman" w:cs="Times New Roman"/>
        </w:rPr>
      </w:pPr>
      <w:r>
        <w:rPr>
          <w:rFonts w:ascii="Times New Roman" w:hAnsi="Times New Roman" w:cs="Times New Roman"/>
        </w:rPr>
        <w:drawing>
          <wp:inline distT="0" distB="0" distL="0" distR="0">
            <wp:extent cx="5460365" cy="250825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30" cstate="print"/>
                    <a:stretch>
                      <a:fillRect/>
                    </a:stretch>
                  </pic:blipFill>
                  <pic:spPr>
                    <a:xfrm>
                      <a:off x="0" y="0"/>
                      <a:ext cx="5460492" cy="2508504"/>
                    </a:xfrm>
                    <a:prstGeom prst="rect">
                      <a:avLst/>
                    </a:prstGeom>
                  </pic:spPr>
                </pic:pic>
              </a:graphicData>
            </a:graphic>
          </wp:inline>
        </w:drawing>
      </w:r>
    </w:p>
    <w:p w14:paraId="7DD9AF12">
      <w:pPr>
        <w:pStyle w:val="28"/>
        <w:rPr>
          <w:rFonts w:ascii="Times New Roman" w:hAnsi="Times New Roman" w:cs="Times New Roman"/>
        </w:rPr>
      </w:pPr>
      <w:r>
        <w:rPr>
          <w:rFonts w:ascii="Times New Roman" w:hAnsi="Times New Roman" w:cs="Times New Roman"/>
        </w:rPr>
        <w:t>支路路口施工期交通组织示意图</w:t>
      </w:r>
    </w:p>
    <w:p w14:paraId="015EADA5">
      <w:pPr>
        <w:ind w:firstLine="480"/>
        <w:rPr>
          <w:rFonts w:ascii="Times New Roman" w:hAnsi="Times New Roman" w:cs="Times New Roman"/>
        </w:rPr>
      </w:pPr>
      <w:r>
        <w:rPr>
          <w:rFonts w:ascii="Times New Roman" w:hAnsi="Times New Roman" w:cs="Times New Roman"/>
        </w:rPr>
        <w:t>交叉口围挡期间，进出口道区域分节施工，按10m一段垫设钢板，以保证相邻道路进出口的通行。</w:t>
      </w:r>
    </w:p>
    <w:p w14:paraId="55BAB026">
      <w:pPr>
        <w:pStyle w:val="5"/>
        <w:rPr>
          <w:rFonts w:ascii="Times New Roman" w:hAnsi="Times New Roman" w:cs="Times New Roman"/>
        </w:rPr>
      </w:pPr>
      <w:bookmarkStart w:id="77" w:name="OLE_LINK3"/>
      <w:r>
        <w:rPr>
          <w:rFonts w:ascii="Times New Roman" w:hAnsi="Times New Roman" w:cs="Times New Roman"/>
        </w:rPr>
        <w:t>作</w:t>
      </w:r>
      <w:bookmarkEnd w:id="77"/>
      <w:r>
        <w:rPr>
          <w:rFonts w:ascii="Times New Roman" w:hAnsi="Times New Roman" w:cs="Times New Roman"/>
        </w:rPr>
        <w:t>业区布置要求</w:t>
      </w:r>
    </w:p>
    <w:p w14:paraId="3C851A5B">
      <w:pPr>
        <w:ind w:firstLine="480"/>
        <w:rPr>
          <w:rFonts w:ascii="Times New Roman" w:hAnsi="Times New Roman" w:cs="Times New Roman"/>
        </w:rPr>
      </w:pPr>
      <w:r>
        <w:rPr>
          <w:rFonts w:ascii="Times New Roman" w:hAnsi="Times New Roman" w:cs="Times New Roman"/>
        </w:rPr>
        <w:t>（1）施工现场严格按照文明施工标准要求施工，围挡施工质量符合标准，加强日常维护管理，持续保持坚固、整洁、美观，脏污、残缺、破损的应及时修复或更换。</w:t>
      </w:r>
    </w:p>
    <w:p w14:paraId="630EA747">
      <w:pPr>
        <w:ind w:firstLine="480"/>
        <w:rPr>
          <w:rFonts w:ascii="Times New Roman" w:hAnsi="Times New Roman" w:cs="Times New Roman"/>
        </w:rPr>
      </w:pPr>
      <w:r>
        <w:rPr>
          <w:rFonts w:ascii="Times New Roman" w:hAnsi="Times New Roman" w:cs="Times New Roman"/>
        </w:rPr>
        <w:t>（2）作业区采用围挡将工作区与交通流分隔，施工围挡采用彩钢板，装配式结构，高 1.8m，须在显著位置设置安全标示标识和安全文明提示标语。</w:t>
      </w:r>
    </w:p>
    <w:p w14:paraId="225ABBF8">
      <w:pPr>
        <w:ind w:firstLine="480"/>
        <w:rPr>
          <w:rFonts w:ascii="Times New Roman" w:hAnsi="Times New Roman" w:cs="Times New Roman"/>
        </w:rPr>
      </w:pPr>
      <w:r>
        <w:rPr>
          <w:rFonts w:ascii="Times New Roman" w:hAnsi="Times New Roman" w:cs="Times New Roman"/>
        </w:rPr>
        <w:t>（3）作业区占用道路的围挡转角、十字交叉口20m范围内距离地面0.8m以上的部分应采用半通透式围挡，不能覆盖绿色人工草坪，减少视野受阻带来的交通安全风险。</w:t>
      </w:r>
    </w:p>
    <w:p w14:paraId="27A735C0">
      <w:pPr>
        <w:ind w:firstLine="480"/>
        <w:rPr>
          <w:rFonts w:ascii="Times New Roman" w:hAnsi="Times New Roman" w:cs="Times New Roman"/>
        </w:rPr>
      </w:pPr>
      <w:r>
        <w:rPr>
          <w:rFonts w:ascii="Times New Roman" w:hAnsi="Times New Roman" w:cs="Times New Roman"/>
        </w:rPr>
        <w:t>（4）城市道路上与作业区相邻的机动车道宽度不应小于2.75m，否则应封闭该车道。</w:t>
      </w:r>
    </w:p>
    <w:p w14:paraId="421C03AF">
      <w:pPr>
        <w:ind w:firstLine="480"/>
        <w:rPr>
          <w:rFonts w:ascii="Times New Roman" w:hAnsi="Times New Roman" w:cs="Times New Roman"/>
        </w:rPr>
      </w:pPr>
      <w:r>
        <w:rPr>
          <w:rFonts w:ascii="Times New Roman" w:hAnsi="Times New Roman" w:cs="Times New Roman"/>
        </w:rPr>
        <w:t>（5）作业区标志可设置在支架上，设置在支架上时应保证其可见性。</w:t>
      </w:r>
    </w:p>
    <w:p w14:paraId="11ABAE36">
      <w:pPr>
        <w:ind w:firstLine="480"/>
        <w:rPr>
          <w:rFonts w:ascii="Times New Roman" w:hAnsi="Times New Roman" w:cs="Times New Roman"/>
        </w:rPr>
      </w:pPr>
      <w:r>
        <w:rPr>
          <w:rFonts w:ascii="Times New Roman" w:hAnsi="Times New Roman" w:cs="Times New Roman"/>
        </w:rPr>
        <w:t>（6）作业区布置应减少对非机动车、行人的影响。作业区占用人行道或非机动车道时，宜提供另外的人行通道和非机动车通道。</w:t>
      </w:r>
    </w:p>
    <w:p w14:paraId="70CFAF9B">
      <w:pPr>
        <w:ind w:firstLine="480"/>
        <w:rPr>
          <w:rFonts w:ascii="Times New Roman" w:hAnsi="Times New Roman" w:cs="Times New Roman"/>
        </w:rPr>
      </w:pPr>
      <w:r>
        <w:rPr>
          <w:rFonts w:ascii="Times New Roman" w:hAnsi="Times New Roman" w:cs="Times New Roman"/>
        </w:rPr>
        <w:t>（7）施工作业过程中，在施工封闭围挡前设置相应的施工作业标志指示标志等设施，所有设施应配置相应的反光及夜间警示措施。</w:t>
      </w:r>
    </w:p>
    <w:p w14:paraId="524C25BA">
      <w:pPr>
        <w:ind w:firstLine="480"/>
        <w:rPr>
          <w:rFonts w:ascii="Times New Roman" w:hAnsi="Times New Roman" w:cs="Times New Roman"/>
        </w:rPr>
      </w:pPr>
      <w:r>
        <w:rPr>
          <w:rFonts w:ascii="Times New Roman" w:hAnsi="Times New Roman" w:cs="Times New Roman"/>
        </w:rPr>
        <w:t>（8）施工时参照市政道路维修养护施工作业设置相应交通设施。</w:t>
      </w:r>
    </w:p>
    <w:p w14:paraId="62AEB61C">
      <w:pPr>
        <w:ind w:firstLine="480"/>
        <w:rPr>
          <w:rFonts w:ascii="Times New Roman" w:hAnsi="Times New Roman" w:cs="Times New Roman"/>
        </w:rPr>
      </w:pPr>
      <w:r>
        <w:rPr>
          <w:rFonts w:ascii="Times New Roman" w:hAnsi="Times New Roman" w:cs="Times New Roman"/>
        </w:rPr>
        <w:t>施工期间，要协调好施工车辆与正常交通车辆的运行组织，尽可能的减少施工车辆对正常交通车辆的干扰。货运出行应避开交通高峰期，建议出行的具体时间段，私家车尽可能减少不必要的出行，各路段口增加临时标志牌，辅助车辆对交通路线的选择及行车安全，交通高峰期派专员在车辆拥堵路段管制交通，疏导车辆有序通行。各城区之间连接路段增加临时标志牌，提前告知车辆适当选择交通路线及行车安全。</w:t>
      </w:r>
    </w:p>
    <w:tbl>
      <w:tblPr>
        <w:tblStyle w:val="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72"/>
        <w:gridCol w:w="5272"/>
      </w:tblGrid>
      <w:tr w14:paraId="3D3F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2" w:type="dxa"/>
          </w:tcPr>
          <w:p w14:paraId="5CAF6C99">
            <w:pPr>
              <w:pStyle w:val="53"/>
            </w:pPr>
            <w:r>
              <w:drawing>
                <wp:inline distT="0" distB="0" distL="0" distR="0">
                  <wp:extent cx="2101850" cy="2576830"/>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31" cstate="print"/>
                          <a:stretch>
                            <a:fillRect/>
                          </a:stretch>
                        </pic:blipFill>
                        <pic:spPr>
                          <a:xfrm>
                            <a:off x="0" y="0"/>
                            <a:ext cx="2101850" cy="2576830"/>
                          </a:xfrm>
                          <a:prstGeom prst="rect">
                            <a:avLst/>
                          </a:prstGeom>
                        </pic:spPr>
                      </pic:pic>
                    </a:graphicData>
                  </a:graphic>
                </wp:inline>
              </w:drawing>
            </w:r>
          </w:p>
        </w:tc>
        <w:tc>
          <w:tcPr>
            <w:tcW w:w="5272" w:type="dxa"/>
          </w:tcPr>
          <w:p w14:paraId="20794C3B">
            <w:pPr>
              <w:pStyle w:val="53"/>
            </w:pPr>
            <w:r>
              <w:drawing>
                <wp:inline distT="0" distB="0" distL="0" distR="0">
                  <wp:extent cx="2564765" cy="2529205"/>
                  <wp:effectExtent l="0" t="0" r="6985" b="4445"/>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64765" cy="2529205"/>
                          </a:xfrm>
                          <a:prstGeom prst="rect">
                            <a:avLst/>
                          </a:prstGeom>
                        </pic:spPr>
                      </pic:pic>
                    </a:graphicData>
                  </a:graphic>
                </wp:inline>
              </w:drawing>
            </w:r>
          </w:p>
        </w:tc>
      </w:tr>
      <w:tr w14:paraId="76DFA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544" w:type="dxa"/>
            <w:gridSpan w:val="2"/>
          </w:tcPr>
          <w:p w14:paraId="60CB499E">
            <w:pPr>
              <w:pStyle w:val="53"/>
            </w:pPr>
            <w:r>
              <w:rPr>
                <w:position w:val="-77"/>
              </w:rPr>
              <w:drawing>
                <wp:inline distT="0" distB="0" distL="0" distR="0">
                  <wp:extent cx="4955540" cy="2459355"/>
                  <wp:effectExtent l="0" t="0" r="0" b="0"/>
                  <wp:docPr id="2" name="IM 218"/>
                  <wp:cNvGraphicFramePr/>
                  <a:graphic xmlns:a="http://schemas.openxmlformats.org/drawingml/2006/main">
                    <a:graphicData uri="http://schemas.openxmlformats.org/drawingml/2006/picture">
                      <pic:pic xmlns:pic="http://schemas.openxmlformats.org/drawingml/2006/picture">
                        <pic:nvPicPr>
                          <pic:cNvPr id="2" name="IM 218"/>
                          <pic:cNvPicPr/>
                        </pic:nvPicPr>
                        <pic:blipFill>
                          <a:blip r:embed="rId33" cstate="print"/>
                          <a:stretch>
                            <a:fillRect/>
                          </a:stretch>
                        </pic:blipFill>
                        <pic:spPr>
                          <a:xfrm>
                            <a:off x="0" y="0"/>
                            <a:ext cx="4955540" cy="2459355"/>
                          </a:xfrm>
                          <a:prstGeom prst="rect">
                            <a:avLst/>
                          </a:prstGeom>
                        </pic:spPr>
                      </pic:pic>
                    </a:graphicData>
                  </a:graphic>
                </wp:inline>
              </w:drawing>
            </w:r>
          </w:p>
        </w:tc>
      </w:tr>
    </w:tbl>
    <w:p w14:paraId="09DEA837">
      <w:pPr>
        <w:pStyle w:val="28"/>
        <w:rPr>
          <w:rFonts w:ascii="Times New Roman" w:hAnsi="Times New Roman" w:cs="Times New Roman"/>
        </w:rPr>
      </w:pPr>
      <w:r>
        <w:rPr>
          <w:rFonts w:ascii="Times New Roman" w:hAnsi="Times New Roman" w:cs="Times New Roman"/>
        </w:rPr>
        <w:t>施工围挡设施示意图</w:t>
      </w:r>
    </w:p>
    <w:p w14:paraId="59D87456">
      <w:pPr>
        <w:pStyle w:val="5"/>
        <w:rPr>
          <w:rFonts w:ascii="Times New Roman" w:hAnsi="Times New Roman" w:cs="Times New Roman"/>
        </w:rPr>
      </w:pPr>
      <w:r>
        <w:rPr>
          <w:rFonts w:ascii="Times New Roman" w:hAnsi="Times New Roman" w:cs="Times New Roman"/>
        </w:rPr>
        <w:t>交通事故应急预案</w:t>
      </w:r>
    </w:p>
    <w:p w14:paraId="119E8912">
      <w:pPr>
        <w:ind w:firstLine="480"/>
        <w:rPr>
          <w:rFonts w:ascii="Times New Roman" w:hAnsi="Times New Roman" w:cs="Times New Roman"/>
        </w:rPr>
      </w:pPr>
      <w:r>
        <w:rPr>
          <w:rFonts w:ascii="Times New Roman" w:hAnsi="Times New Roman" w:cs="Times New Roman"/>
        </w:rPr>
        <w:t>（1）应急管理小组</w:t>
      </w:r>
    </w:p>
    <w:p w14:paraId="0D11288C">
      <w:pPr>
        <w:ind w:firstLine="480"/>
        <w:rPr>
          <w:rFonts w:ascii="Times New Roman" w:hAnsi="Times New Roman" w:cs="Times New Roman"/>
        </w:rPr>
      </w:pPr>
      <w:r>
        <w:rPr>
          <w:rFonts w:hint="eastAsia" w:ascii="宋体" w:hAnsi="宋体" w:eastAsia="宋体" w:cs="宋体"/>
        </w:rPr>
        <w:t>①</w:t>
      </w:r>
      <w:r>
        <w:rPr>
          <w:rFonts w:ascii="Times New Roman" w:hAnsi="Times New Roman" w:cs="Times New Roman"/>
        </w:rPr>
        <w:t>项目部成立交通事故应急领导小组，组长由项目经理担任，副组长由项目总工担任，组员为项目主要管理人员。当交通事故发生时，项目部应急救治指挥机构迅速启动，项目应急领导小组成员立即到达指定岗位，按职责分开展开工作。</w:t>
      </w:r>
    </w:p>
    <w:p w14:paraId="1A38A1FB">
      <w:pPr>
        <w:ind w:firstLine="480"/>
        <w:rPr>
          <w:rFonts w:ascii="Times New Roman" w:hAnsi="Times New Roman" w:cs="Times New Roman"/>
        </w:rPr>
      </w:pPr>
      <w:r>
        <w:rPr>
          <w:rFonts w:hint="eastAsia" w:ascii="宋体" w:hAnsi="宋体" w:eastAsia="宋体" w:cs="宋体"/>
        </w:rPr>
        <w:t>②</w:t>
      </w:r>
      <w:r>
        <w:rPr>
          <w:rFonts w:ascii="Times New Roman" w:hAnsi="Times New Roman" w:cs="Times New Roman"/>
        </w:rPr>
        <w:t>项目交通事故应急救治领导小组调动一切可以调动一切可以调动的力量，采取一切手段，以最快的速度和最有效的办法救治交通事故受伤人员，尽最大能力把交通事故造成的经济损失和不良影响做到最低限度，确保社会秩序稳定。</w:t>
      </w:r>
    </w:p>
    <w:p w14:paraId="292AF087">
      <w:pPr>
        <w:ind w:firstLine="480"/>
        <w:rPr>
          <w:rFonts w:ascii="Times New Roman" w:hAnsi="Times New Roman" w:cs="Times New Roman"/>
        </w:rPr>
      </w:pPr>
      <w:r>
        <w:rPr>
          <w:rFonts w:hint="eastAsia" w:ascii="宋体" w:hAnsi="宋体" w:eastAsia="宋体" w:cs="宋体"/>
        </w:rPr>
        <w:t>③</w:t>
      </w:r>
      <w:r>
        <w:rPr>
          <w:rFonts w:ascii="Times New Roman" w:hAnsi="Times New Roman" w:cs="Times New Roman"/>
        </w:rPr>
        <w:t>组长在接到交通事故报告后，立即赶到现场，指挥各项工作，组织人员保护事故现场，了解伤亡情况，调动一切可以调动的力量救治伤员，及时向有关部门报告，协助安全委员会事故调查。副组长在确认交通事故发生后，采取紧急措施，停止其他工作，在第一时间报告相关部门，联系附近医院，协助救治伤员。</w:t>
      </w:r>
    </w:p>
    <w:p w14:paraId="03A6CC15">
      <w:pPr>
        <w:ind w:firstLine="480"/>
        <w:rPr>
          <w:rFonts w:ascii="Times New Roman" w:hAnsi="Times New Roman" w:cs="Times New Roman"/>
        </w:rPr>
      </w:pPr>
      <w:r>
        <w:rPr>
          <w:rFonts w:hint="eastAsia" w:ascii="宋体" w:hAnsi="宋体" w:eastAsia="宋体" w:cs="宋体"/>
        </w:rPr>
        <w:t>④</w:t>
      </w:r>
      <w:r>
        <w:rPr>
          <w:rFonts w:ascii="Times New Roman" w:hAnsi="Times New Roman" w:cs="Times New Roman"/>
        </w:rPr>
        <w:t>项目安全人员接到交通事故报告，立即赶到事故现场，组织安全人员对事故现场保护协助疏导交通工作，展开事故调查，记录事故放生经过和原因分析，必要时制定预防措施，包括验证。</w:t>
      </w:r>
    </w:p>
    <w:p w14:paraId="2431ED60">
      <w:pPr>
        <w:ind w:firstLine="480"/>
        <w:rPr>
          <w:rFonts w:ascii="Times New Roman" w:hAnsi="Times New Roman" w:cs="Times New Roman"/>
        </w:rPr>
      </w:pPr>
      <w:r>
        <w:rPr>
          <w:rFonts w:hint="eastAsia" w:ascii="宋体" w:hAnsi="宋体" w:eastAsia="宋体" w:cs="宋体"/>
        </w:rPr>
        <w:t>⑤</w:t>
      </w:r>
      <w:r>
        <w:rPr>
          <w:rFonts w:ascii="Times New Roman" w:hAnsi="Times New Roman" w:cs="Times New Roman"/>
        </w:rPr>
        <w:t>组员负责协助事故现场相关工作，做好准备，随时听候调派。</w:t>
      </w:r>
    </w:p>
    <w:p w14:paraId="66A795E0">
      <w:pPr>
        <w:ind w:firstLine="480"/>
        <w:rPr>
          <w:rFonts w:ascii="Times New Roman" w:hAnsi="Times New Roman" w:cs="Times New Roman"/>
        </w:rPr>
      </w:pPr>
      <w:r>
        <w:rPr>
          <w:rFonts w:ascii="Times New Roman" w:hAnsi="Times New Roman" w:cs="Times New Roman"/>
        </w:rPr>
        <w:t>（2）事故现场处置措施</w:t>
      </w:r>
    </w:p>
    <w:p w14:paraId="44B7125E">
      <w:pPr>
        <w:ind w:firstLine="480"/>
        <w:rPr>
          <w:rFonts w:ascii="Times New Roman" w:hAnsi="Times New Roman" w:cs="Times New Roman"/>
        </w:rPr>
      </w:pPr>
      <w:r>
        <w:rPr>
          <w:rFonts w:hint="eastAsia" w:ascii="宋体" w:hAnsi="宋体" w:eastAsia="宋体" w:cs="宋体"/>
        </w:rPr>
        <w:t>①</w:t>
      </w:r>
      <w:r>
        <w:rPr>
          <w:rFonts w:ascii="Times New Roman" w:hAnsi="Times New Roman" w:cs="Times New Roman"/>
        </w:rPr>
        <w:t>事故未造成交通中断的，应立即划定警戒区，疏散无关人员，视情况采取临时性交通管制措施及其他控制措施，防止引发二次交通事故，并在警戒区外按照“远疏近密”的要求，在来车方向前放置发光或者反光锥筒、警告标志、告示牌等。白天要配合交通警察负责警戒并指挥过往车辆减速、变更车道。夜间或者雨天等能见度低于500m时，应提前在来车方向放置发光或者反光锥筒、警告标志、告示牌等。</w:t>
      </w:r>
    </w:p>
    <w:p w14:paraId="6BD792E8">
      <w:pPr>
        <w:ind w:firstLine="480"/>
        <w:rPr>
          <w:rFonts w:ascii="Times New Roman" w:hAnsi="Times New Roman" w:cs="Times New Roman"/>
        </w:rPr>
      </w:pPr>
      <w:r>
        <w:rPr>
          <w:rFonts w:hint="eastAsia" w:ascii="宋体" w:hAnsi="宋体" w:eastAsia="宋体" w:cs="宋体"/>
        </w:rPr>
        <w:t>②</w:t>
      </w:r>
      <w:r>
        <w:rPr>
          <w:rFonts w:ascii="Times New Roman" w:hAnsi="Times New Roman" w:cs="Times New Roman"/>
        </w:rPr>
        <w:t>如事故造成交通受阻，应立即布设警示标志并设置专人配合交警实施预警，预警应根据堵车情况持续向后移动，通过喊话和交通信号指挥后方来车减速并有序停放。同时，应确定专人负责应急车道的管理，严禁车辆在应急车道内行驶、停放，以保证应急车道畅通，并引导医疗、施救等车辆、人员顺利出入事故现场，做好相关辅助性工作。</w:t>
      </w:r>
    </w:p>
    <w:p w14:paraId="44AB2F9A">
      <w:pPr>
        <w:ind w:firstLine="480"/>
        <w:rPr>
          <w:rFonts w:ascii="Times New Roman" w:hAnsi="Times New Roman" w:cs="Times New Roman"/>
        </w:rPr>
      </w:pPr>
      <w:r>
        <w:rPr>
          <w:rFonts w:hint="eastAsia" w:ascii="宋体" w:hAnsi="宋体" w:eastAsia="宋体" w:cs="宋体"/>
        </w:rPr>
        <w:t>③</w:t>
      </w:r>
      <w:r>
        <w:rPr>
          <w:rFonts w:ascii="Times New Roman" w:hAnsi="Times New Roman" w:cs="Times New Roman"/>
        </w:rPr>
        <w:t>现场人员应迅速对现场情况、清理时间作出准确的判断，并及时反馈给交警大队领导，由大队领导根据具体情况，采取适当的交通管制措施并及时报告上级公安交通管理部门。在医疗急救机构人员到达现场之前，现场勘查人员应组织抢救受伤人员，对因抢救伤员需要移动车辆、物品的，应当先标明原始位置。</w:t>
      </w:r>
    </w:p>
    <w:p w14:paraId="2779AB4A">
      <w:pPr>
        <w:ind w:firstLine="480"/>
        <w:rPr>
          <w:rFonts w:ascii="Times New Roman" w:hAnsi="Times New Roman" w:cs="Times New Roman"/>
        </w:rPr>
      </w:pPr>
      <w:r>
        <w:rPr>
          <w:rFonts w:ascii="Times New Roman" w:hAnsi="Times New Roman" w:cs="Times New Roman"/>
        </w:rPr>
        <w:t>（3）应急救援通讯联络第三方救援联系方法：</w:t>
      </w:r>
    </w:p>
    <w:p w14:paraId="23CC9DCB">
      <w:pPr>
        <w:ind w:firstLine="480"/>
        <w:rPr>
          <w:rFonts w:ascii="Times New Roman" w:hAnsi="Times New Roman" w:cs="Times New Roman"/>
        </w:rPr>
      </w:pPr>
      <w:r>
        <w:rPr>
          <w:rFonts w:ascii="Times New Roman" w:hAnsi="Times New Roman" w:cs="Times New Roman"/>
        </w:rPr>
        <w:t>急救电话：120；宜州区人民医院：0778-*****。</w:t>
      </w:r>
    </w:p>
    <w:p w14:paraId="1840B003">
      <w:pPr>
        <w:pStyle w:val="4"/>
        <w:rPr>
          <w:rFonts w:ascii="Times New Roman" w:hAnsi="Times New Roman" w:cs="Times New Roman"/>
        </w:rPr>
      </w:pPr>
      <w:bookmarkStart w:id="78" w:name="_Toc185094299"/>
      <w:bookmarkStart w:id="79" w:name="_Toc7883"/>
      <w:r>
        <w:rPr>
          <w:rFonts w:ascii="Times New Roman" w:hAnsi="Times New Roman" w:cs="Times New Roman"/>
        </w:rPr>
        <w:t>风险工程设计</w:t>
      </w:r>
      <w:bookmarkEnd w:id="78"/>
      <w:bookmarkEnd w:id="79"/>
    </w:p>
    <w:p w14:paraId="73082CC8">
      <w:pPr>
        <w:ind w:firstLine="480"/>
        <w:rPr>
          <w:rFonts w:ascii="Times New Roman" w:hAnsi="Times New Roman" w:cs="Times New Roman"/>
        </w:rPr>
      </w:pPr>
      <w:r>
        <w:rPr>
          <w:rFonts w:ascii="Times New Roman" w:hAnsi="Times New Roman" w:cs="Times New Roman"/>
        </w:rPr>
        <w:t>根据《大型工程技术风险控制要点》（住房城乡建设部，2018.2）、《危险性较大的分部分项工程安全管理规定》进行风险工程设计。基坑设计中主要风险有：基坑坍塌风险、坑底突涌风险、坑底隆起风险等，设计过程中应针对引起风险的因素进行辨识、分析评估，并采取有针对性的措施，排除风险隐患。施工单位应在设计提出的风险措施基础上，制定相应的风险工程专项方案， 并在施工过程中予以落实。</w:t>
      </w:r>
    </w:p>
    <w:p w14:paraId="26EA034A">
      <w:pPr>
        <w:pStyle w:val="28"/>
        <w:rPr>
          <w:rFonts w:ascii="Times New Roman" w:hAnsi="Times New Roman" w:cs="Times New Roman"/>
        </w:rPr>
      </w:pPr>
      <w:r>
        <w:rPr>
          <w:rFonts w:ascii="Times New Roman" w:hAnsi="Times New Roman" w:cs="Times New Roman"/>
        </w:rPr>
        <w:t>基坑自身风险分析</w:t>
      </w:r>
    </w:p>
    <w:tbl>
      <w:tblPr>
        <w:tblStyle w:val="29"/>
        <w:tblW w:w="9515" w:type="dxa"/>
        <w:jc w:val="center"/>
        <w:tblLayout w:type="autofit"/>
        <w:tblCellMar>
          <w:top w:w="0" w:type="dxa"/>
          <w:left w:w="108" w:type="dxa"/>
          <w:bottom w:w="0" w:type="dxa"/>
          <w:right w:w="108" w:type="dxa"/>
        </w:tblCellMar>
      </w:tblPr>
      <w:tblGrid>
        <w:gridCol w:w="456"/>
        <w:gridCol w:w="623"/>
        <w:gridCol w:w="2544"/>
        <w:gridCol w:w="572"/>
        <w:gridCol w:w="4765"/>
        <w:gridCol w:w="555"/>
      </w:tblGrid>
      <w:tr w14:paraId="12D54A1F">
        <w:tblPrEx>
          <w:tblCellMar>
            <w:top w:w="0" w:type="dxa"/>
            <w:left w:w="108" w:type="dxa"/>
            <w:bottom w:w="0" w:type="dxa"/>
            <w:right w:w="108" w:type="dxa"/>
          </w:tblCellMar>
        </w:tblPrEx>
        <w:trPr>
          <w:trHeight w:val="1073" w:hRule="atLeast"/>
          <w:jc w:val="center"/>
        </w:trPr>
        <w:tc>
          <w:tcPr>
            <w:tcW w:w="430" w:type="dxa"/>
            <w:tcBorders>
              <w:top w:val="single" w:color="auto" w:sz="4" w:space="0"/>
              <w:left w:val="single" w:color="auto" w:sz="4" w:space="0"/>
              <w:bottom w:val="single" w:color="auto" w:sz="4" w:space="0"/>
              <w:right w:val="single" w:color="auto" w:sz="4" w:space="0"/>
            </w:tcBorders>
            <w:shd w:val="clear" w:color="auto" w:fill="auto"/>
            <w:vAlign w:val="center"/>
          </w:tcPr>
          <w:p w14:paraId="4B404358">
            <w:pPr>
              <w:widowControl/>
              <w:spacing w:line="240" w:lineRule="auto"/>
              <w:ind w:firstLine="0" w:firstLineChars="0"/>
              <w:jc w:val="center"/>
              <w:rPr>
                <w:rFonts w:ascii="Times New Roman" w:hAnsi="Times New Roman" w:cs="Times New Roman"/>
                <w:kern w:val="0"/>
                <w:szCs w:val="24"/>
              </w:rPr>
            </w:pPr>
            <w:r>
              <w:rPr>
                <w:rFonts w:ascii="Times New Roman" w:hAnsi="Times New Roman" w:cs="Times New Roman"/>
                <w:kern w:val="0"/>
                <w:szCs w:val="24"/>
              </w:rPr>
              <w:t>序号</w:t>
            </w:r>
          </w:p>
        </w:tc>
        <w:tc>
          <w:tcPr>
            <w:tcW w:w="624" w:type="dxa"/>
            <w:tcBorders>
              <w:top w:val="single" w:color="auto" w:sz="4" w:space="0"/>
              <w:left w:val="nil"/>
              <w:bottom w:val="single" w:color="auto" w:sz="4" w:space="0"/>
              <w:right w:val="single" w:color="auto" w:sz="4" w:space="0"/>
            </w:tcBorders>
            <w:shd w:val="clear" w:color="auto" w:fill="auto"/>
            <w:vAlign w:val="center"/>
          </w:tcPr>
          <w:p w14:paraId="0FDA57AD">
            <w:pPr>
              <w:widowControl/>
              <w:spacing w:line="240" w:lineRule="auto"/>
              <w:ind w:firstLine="0" w:firstLineChars="0"/>
              <w:jc w:val="center"/>
              <w:rPr>
                <w:rFonts w:ascii="Times New Roman" w:hAnsi="Times New Roman" w:cs="Times New Roman"/>
                <w:kern w:val="0"/>
                <w:szCs w:val="24"/>
              </w:rPr>
            </w:pPr>
            <w:r>
              <w:rPr>
                <w:rFonts w:ascii="Times New Roman" w:hAnsi="Times New Roman" w:cs="Times New Roman"/>
                <w:kern w:val="0"/>
                <w:szCs w:val="24"/>
              </w:rPr>
              <w:t>风险源</w:t>
            </w:r>
          </w:p>
        </w:tc>
        <w:tc>
          <w:tcPr>
            <w:tcW w:w="2552" w:type="dxa"/>
            <w:tcBorders>
              <w:top w:val="single" w:color="auto" w:sz="4" w:space="0"/>
              <w:left w:val="nil"/>
              <w:bottom w:val="single" w:color="auto" w:sz="4" w:space="0"/>
              <w:right w:val="single" w:color="auto" w:sz="4" w:space="0"/>
            </w:tcBorders>
            <w:shd w:val="clear" w:color="auto" w:fill="auto"/>
            <w:vAlign w:val="center"/>
          </w:tcPr>
          <w:p w14:paraId="3AA87BFC">
            <w:pPr>
              <w:widowControl/>
              <w:spacing w:line="240" w:lineRule="auto"/>
              <w:ind w:firstLine="0" w:firstLineChars="0"/>
              <w:jc w:val="center"/>
              <w:rPr>
                <w:rFonts w:ascii="Times New Roman" w:hAnsi="Times New Roman" w:cs="Times New Roman"/>
                <w:kern w:val="0"/>
                <w:szCs w:val="24"/>
              </w:rPr>
            </w:pPr>
            <w:r>
              <w:rPr>
                <w:rFonts w:ascii="Times New Roman" w:hAnsi="Times New Roman" w:cs="Times New Roman"/>
                <w:kern w:val="0"/>
                <w:szCs w:val="24"/>
              </w:rPr>
              <w:t>风险因素分析</w:t>
            </w:r>
          </w:p>
        </w:tc>
        <w:tc>
          <w:tcPr>
            <w:tcW w:w="572" w:type="dxa"/>
            <w:tcBorders>
              <w:top w:val="single" w:color="auto" w:sz="4" w:space="0"/>
              <w:left w:val="nil"/>
              <w:bottom w:val="single" w:color="auto" w:sz="4" w:space="0"/>
              <w:right w:val="single" w:color="auto" w:sz="4" w:space="0"/>
            </w:tcBorders>
            <w:shd w:val="clear" w:color="auto" w:fill="auto"/>
            <w:vAlign w:val="center"/>
          </w:tcPr>
          <w:p w14:paraId="2B156C6E">
            <w:pPr>
              <w:widowControl/>
              <w:spacing w:line="240" w:lineRule="auto"/>
              <w:ind w:firstLine="0" w:firstLineChars="0"/>
              <w:jc w:val="center"/>
              <w:rPr>
                <w:rFonts w:ascii="Times New Roman" w:hAnsi="Times New Roman" w:cs="Times New Roman"/>
                <w:kern w:val="0"/>
                <w:szCs w:val="24"/>
              </w:rPr>
            </w:pPr>
            <w:r>
              <w:rPr>
                <w:rFonts w:ascii="Times New Roman" w:hAnsi="Times New Roman" w:cs="Times New Roman"/>
                <w:kern w:val="0"/>
                <w:szCs w:val="24"/>
              </w:rPr>
              <w:t>风险等级</w:t>
            </w:r>
          </w:p>
        </w:tc>
        <w:tc>
          <w:tcPr>
            <w:tcW w:w="4782" w:type="dxa"/>
            <w:tcBorders>
              <w:top w:val="single" w:color="auto" w:sz="4" w:space="0"/>
              <w:left w:val="nil"/>
              <w:bottom w:val="single" w:color="auto" w:sz="4" w:space="0"/>
              <w:right w:val="single" w:color="auto" w:sz="4" w:space="0"/>
            </w:tcBorders>
            <w:shd w:val="clear" w:color="auto" w:fill="auto"/>
            <w:vAlign w:val="center"/>
          </w:tcPr>
          <w:p w14:paraId="47DD6F98">
            <w:pPr>
              <w:widowControl/>
              <w:spacing w:line="240" w:lineRule="auto"/>
              <w:ind w:firstLine="0" w:firstLineChars="0"/>
              <w:jc w:val="center"/>
              <w:rPr>
                <w:rFonts w:ascii="Times New Roman" w:hAnsi="Times New Roman" w:cs="Times New Roman"/>
                <w:kern w:val="0"/>
                <w:szCs w:val="24"/>
              </w:rPr>
            </w:pPr>
            <w:r>
              <w:rPr>
                <w:rFonts w:ascii="Times New Roman" w:hAnsi="Times New Roman" w:cs="Times New Roman"/>
                <w:kern w:val="0"/>
                <w:szCs w:val="24"/>
              </w:rPr>
              <w:t>主要控制要点</w:t>
            </w:r>
          </w:p>
        </w:tc>
        <w:tc>
          <w:tcPr>
            <w:tcW w:w="555" w:type="dxa"/>
            <w:tcBorders>
              <w:top w:val="single" w:color="auto" w:sz="4" w:space="0"/>
              <w:left w:val="nil"/>
              <w:bottom w:val="single" w:color="auto" w:sz="4" w:space="0"/>
              <w:right w:val="single" w:color="auto" w:sz="4" w:space="0"/>
            </w:tcBorders>
            <w:shd w:val="clear" w:color="auto" w:fill="auto"/>
            <w:vAlign w:val="center"/>
          </w:tcPr>
          <w:p w14:paraId="20C60644">
            <w:pPr>
              <w:widowControl/>
              <w:spacing w:line="240" w:lineRule="auto"/>
              <w:ind w:firstLine="0" w:firstLineChars="0"/>
              <w:jc w:val="center"/>
              <w:rPr>
                <w:rFonts w:ascii="Times New Roman" w:hAnsi="Times New Roman" w:cs="Times New Roman"/>
                <w:kern w:val="0"/>
                <w:szCs w:val="24"/>
              </w:rPr>
            </w:pPr>
            <w:r>
              <w:rPr>
                <w:rFonts w:ascii="Times New Roman" w:hAnsi="Times New Roman" w:cs="Times New Roman"/>
                <w:kern w:val="0"/>
                <w:szCs w:val="24"/>
              </w:rPr>
              <w:t>残余风险等级</w:t>
            </w:r>
          </w:p>
        </w:tc>
      </w:tr>
      <w:tr w14:paraId="08D19ADA">
        <w:tblPrEx>
          <w:tblCellMar>
            <w:top w:w="0" w:type="dxa"/>
            <w:left w:w="108" w:type="dxa"/>
            <w:bottom w:w="0" w:type="dxa"/>
            <w:right w:w="108" w:type="dxa"/>
          </w:tblCellMar>
        </w:tblPrEx>
        <w:trPr>
          <w:trHeight w:val="1134" w:hRule="atLeast"/>
          <w:jc w:val="center"/>
        </w:trPr>
        <w:tc>
          <w:tcPr>
            <w:tcW w:w="430" w:type="dxa"/>
            <w:tcBorders>
              <w:top w:val="nil"/>
              <w:left w:val="single" w:color="auto" w:sz="4" w:space="0"/>
              <w:bottom w:val="single" w:color="auto" w:sz="4" w:space="0"/>
              <w:right w:val="single" w:color="auto" w:sz="4" w:space="0"/>
            </w:tcBorders>
            <w:shd w:val="clear" w:color="auto" w:fill="auto"/>
            <w:vAlign w:val="center"/>
          </w:tcPr>
          <w:p w14:paraId="77B11995">
            <w:pPr>
              <w:widowControl/>
              <w:spacing w:line="240" w:lineRule="auto"/>
              <w:ind w:firstLine="0" w:firstLineChars="0"/>
              <w:jc w:val="center"/>
              <w:rPr>
                <w:rFonts w:ascii="Times New Roman" w:hAnsi="Times New Roman" w:cs="Times New Roman"/>
                <w:b/>
                <w:bCs/>
                <w:kern w:val="0"/>
                <w:szCs w:val="24"/>
              </w:rPr>
            </w:pPr>
            <w:r>
              <w:rPr>
                <w:rFonts w:ascii="Times New Roman" w:hAnsi="Times New Roman" w:cs="Times New Roman"/>
                <w:b/>
                <w:bCs/>
                <w:kern w:val="0"/>
                <w:szCs w:val="24"/>
              </w:rPr>
              <w:t>1</w:t>
            </w:r>
          </w:p>
        </w:tc>
        <w:tc>
          <w:tcPr>
            <w:tcW w:w="624" w:type="dxa"/>
            <w:tcBorders>
              <w:top w:val="nil"/>
              <w:left w:val="nil"/>
              <w:bottom w:val="single" w:color="auto" w:sz="4" w:space="0"/>
              <w:right w:val="single" w:color="auto" w:sz="4" w:space="0"/>
            </w:tcBorders>
            <w:shd w:val="clear" w:color="auto" w:fill="auto"/>
            <w:vAlign w:val="center"/>
          </w:tcPr>
          <w:p w14:paraId="06B91BC8">
            <w:pPr>
              <w:widowControl/>
              <w:spacing w:line="240" w:lineRule="auto"/>
              <w:ind w:firstLine="0" w:firstLineChars="0"/>
              <w:jc w:val="center"/>
              <w:rPr>
                <w:rFonts w:ascii="Times New Roman" w:hAnsi="Times New Roman" w:cs="Times New Roman"/>
                <w:kern w:val="0"/>
                <w:szCs w:val="24"/>
              </w:rPr>
            </w:pPr>
            <w:r>
              <w:rPr>
                <w:rFonts w:ascii="Times New Roman" w:hAnsi="Times New Roman" w:cs="Times New Roman"/>
                <w:kern w:val="0"/>
                <w:szCs w:val="24"/>
              </w:rPr>
              <w:t>明挖基坑</w:t>
            </w:r>
          </w:p>
        </w:tc>
        <w:tc>
          <w:tcPr>
            <w:tcW w:w="2552" w:type="dxa"/>
            <w:tcBorders>
              <w:top w:val="nil"/>
              <w:left w:val="nil"/>
              <w:bottom w:val="single" w:color="auto" w:sz="4" w:space="0"/>
              <w:right w:val="single" w:color="auto" w:sz="4" w:space="0"/>
            </w:tcBorders>
            <w:shd w:val="clear" w:color="auto" w:fill="auto"/>
            <w:vAlign w:val="center"/>
          </w:tcPr>
          <w:p w14:paraId="0D1CB443">
            <w:pPr>
              <w:widowControl/>
              <w:spacing w:line="240" w:lineRule="auto"/>
              <w:ind w:firstLine="0" w:firstLineChars="0"/>
              <w:jc w:val="center"/>
              <w:rPr>
                <w:rFonts w:ascii="Times New Roman" w:hAnsi="Times New Roman" w:cs="Times New Roman"/>
                <w:kern w:val="0"/>
                <w:szCs w:val="24"/>
              </w:rPr>
            </w:pPr>
            <w:r>
              <w:rPr>
                <w:rFonts w:ascii="Times New Roman" w:hAnsi="Times New Roman" w:cs="Times New Roman"/>
                <w:kern w:val="0"/>
                <w:szCs w:val="24"/>
              </w:rPr>
              <w:t>管道沟槽基坑深约</w:t>
            </w:r>
            <w:r>
              <w:rPr>
                <w:rFonts w:ascii="Times New Roman" w:hAnsi="Times New Roman" w:cs="Times New Roman"/>
                <w:b/>
                <w:bCs/>
                <w:kern w:val="0"/>
                <w:szCs w:val="24"/>
              </w:rPr>
              <w:t>3</w:t>
            </w:r>
            <w:r>
              <w:rPr>
                <w:rFonts w:ascii="Times New Roman" w:hAnsi="Times New Roman" w:cs="Times New Roman"/>
                <w:kern w:val="0"/>
                <w:szCs w:val="24"/>
              </w:rPr>
              <w:t>～</w:t>
            </w:r>
            <w:r>
              <w:rPr>
                <w:rFonts w:ascii="Times New Roman" w:hAnsi="Times New Roman" w:cs="Times New Roman"/>
                <w:b/>
                <w:bCs/>
                <w:kern w:val="0"/>
                <w:szCs w:val="24"/>
              </w:rPr>
              <w:t>5m</w:t>
            </w:r>
            <w:r>
              <w:rPr>
                <w:rFonts w:ascii="Times New Roman" w:hAnsi="Times New Roman" w:cs="Times New Roman"/>
                <w:kern w:val="0"/>
                <w:szCs w:val="24"/>
              </w:rPr>
              <w:t>。</w:t>
            </w:r>
          </w:p>
        </w:tc>
        <w:tc>
          <w:tcPr>
            <w:tcW w:w="572" w:type="dxa"/>
            <w:tcBorders>
              <w:top w:val="nil"/>
              <w:left w:val="nil"/>
              <w:bottom w:val="single" w:color="auto" w:sz="4" w:space="0"/>
              <w:right w:val="single" w:color="auto" w:sz="4" w:space="0"/>
            </w:tcBorders>
            <w:shd w:val="clear" w:color="auto" w:fill="auto"/>
            <w:vAlign w:val="center"/>
          </w:tcPr>
          <w:p w14:paraId="5F9D2288">
            <w:pPr>
              <w:widowControl/>
              <w:spacing w:line="240" w:lineRule="auto"/>
              <w:ind w:firstLine="0" w:firstLineChars="0"/>
              <w:jc w:val="center"/>
              <w:rPr>
                <w:rFonts w:ascii="Times New Roman" w:hAnsi="Times New Roman" w:cs="Times New Roman"/>
                <w:kern w:val="0"/>
                <w:szCs w:val="24"/>
              </w:rPr>
            </w:pPr>
            <w:r>
              <w:rPr>
                <w:rFonts w:hint="eastAsia" w:ascii="宋体" w:hAnsi="宋体" w:eastAsia="宋体" w:cs="宋体"/>
                <w:kern w:val="0"/>
                <w:szCs w:val="24"/>
              </w:rPr>
              <w:t>Ⅲ</w:t>
            </w:r>
          </w:p>
        </w:tc>
        <w:tc>
          <w:tcPr>
            <w:tcW w:w="4782" w:type="dxa"/>
            <w:tcBorders>
              <w:top w:val="nil"/>
              <w:left w:val="nil"/>
              <w:bottom w:val="single" w:color="auto" w:sz="4" w:space="0"/>
              <w:right w:val="single" w:color="auto" w:sz="4" w:space="0"/>
            </w:tcBorders>
            <w:shd w:val="clear" w:color="auto" w:fill="auto"/>
            <w:vAlign w:val="center"/>
          </w:tcPr>
          <w:p w14:paraId="4AF3AECC">
            <w:pPr>
              <w:widowControl/>
              <w:spacing w:line="240" w:lineRule="auto"/>
              <w:ind w:firstLine="0" w:firstLineChars="0"/>
              <w:jc w:val="center"/>
              <w:rPr>
                <w:rFonts w:ascii="Times New Roman" w:hAnsi="Times New Roman" w:cs="Times New Roman"/>
                <w:kern w:val="0"/>
                <w:szCs w:val="24"/>
              </w:rPr>
            </w:pPr>
            <w:r>
              <w:rPr>
                <w:rFonts w:ascii="Times New Roman" w:hAnsi="Times New Roman" w:cs="Times New Roman"/>
                <w:kern w:val="0"/>
                <w:szCs w:val="24"/>
              </w:rPr>
              <w:t>选择合理的支护型式，严格控制基坑变形，制定全面的监控量测体系，宜加强日常管理与监测，确保基坑整体安全。</w:t>
            </w:r>
          </w:p>
        </w:tc>
        <w:tc>
          <w:tcPr>
            <w:tcW w:w="555" w:type="dxa"/>
            <w:tcBorders>
              <w:top w:val="nil"/>
              <w:left w:val="nil"/>
              <w:bottom w:val="single" w:color="auto" w:sz="4" w:space="0"/>
              <w:right w:val="single" w:color="auto" w:sz="4" w:space="0"/>
            </w:tcBorders>
            <w:shd w:val="clear" w:color="auto" w:fill="auto"/>
            <w:vAlign w:val="center"/>
          </w:tcPr>
          <w:p w14:paraId="7A78C539">
            <w:pPr>
              <w:widowControl/>
              <w:spacing w:line="240" w:lineRule="auto"/>
              <w:ind w:firstLine="0" w:firstLineChars="0"/>
              <w:jc w:val="center"/>
              <w:rPr>
                <w:rFonts w:ascii="Times New Roman" w:hAnsi="Times New Roman" w:cs="Times New Roman"/>
                <w:kern w:val="0"/>
                <w:szCs w:val="24"/>
              </w:rPr>
            </w:pPr>
            <w:r>
              <w:rPr>
                <w:rFonts w:hint="eastAsia" w:ascii="宋体" w:hAnsi="宋体" w:eastAsia="宋体" w:cs="宋体"/>
                <w:kern w:val="0"/>
                <w:szCs w:val="24"/>
              </w:rPr>
              <w:t>Ⅳ</w:t>
            </w:r>
          </w:p>
        </w:tc>
      </w:tr>
      <w:tr w14:paraId="10816241">
        <w:tblPrEx>
          <w:tblCellMar>
            <w:top w:w="0" w:type="dxa"/>
            <w:left w:w="108" w:type="dxa"/>
            <w:bottom w:w="0" w:type="dxa"/>
            <w:right w:w="108" w:type="dxa"/>
          </w:tblCellMar>
        </w:tblPrEx>
        <w:trPr>
          <w:trHeight w:val="6273" w:hRule="atLeast"/>
          <w:jc w:val="center"/>
        </w:trPr>
        <w:tc>
          <w:tcPr>
            <w:tcW w:w="430" w:type="dxa"/>
            <w:tcBorders>
              <w:top w:val="nil"/>
              <w:left w:val="single" w:color="auto" w:sz="4" w:space="0"/>
              <w:bottom w:val="single" w:color="auto" w:sz="4" w:space="0"/>
              <w:right w:val="single" w:color="auto" w:sz="4" w:space="0"/>
            </w:tcBorders>
            <w:shd w:val="clear" w:color="auto" w:fill="auto"/>
            <w:vAlign w:val="center"/>
          </w:tcPr>
          <w:p w14:paraId="66E13A2E">
            <w:pPr>
              <w:widowControl/>
              <w:spacing w:line="240" w:lineRule="auto"/>
              <w:ind w:firstLine="0" w:firstLineChars="0"/>
              <w:jc w:val="center"/>
              <w:rPr>
                <w:rFonts w:ascii="Times New Roman" w:hAnsi="Times New Roman" w:cs="Times New Roman"/>
                <w:b/>
                <w:bCs/>
                <w:kern w:val="0"/>
                <w:szCs w:val="24"/>
              </w:rPr>
            </w:pPr>
            <w:r>
              <w:rPr>
                <w:rFonts w:ascii="Times New Roman" w:hAnsi="Times New Roman" w:cs="Times New Roman"/>
                <w:b/>
                <w:bCs/>
                <w:kern w:val="0"/>
                <w:szCs w:val="24"/>
              </w:rPr>
              <w:t>2</w:t>
            </w:r>
          </w:p>
        </w:tc>
        <w:tc>
          <w:tcPr>
            <w:tcW w:w="624" w:type="dxa"/>
            <w:tcBorders>
              <w:top w:val="nil"/>
              <w:left w:val="nil"/>
              <w:bottom w:val="single" w:color="auto" w:sz="4" w:space="0"/>
              <w:right w:val="single" w:color="auto" w:sz="4" w:space="0"/>
            </w:tcBorders>
            <w:shd w:val="clear" w:color="auto" w:fill="auto"/>
            <w:vAlign w:val="center"/>
          </w:tcPr>
          <w:p w14:paraId="5FAFC61F">
            <w:pPr>
              <w:widowControl/>
              <w:spacing w:line="240" w:lineRule="auto"/>
              <w:ind w:firstLine="0" w:firstLineChars="0"/>
              <w:jc w:val="center"/>
              <w:rPr>
                <w:rFonts w:ascii="Times New Roman" w:hAnsi="Times New Roman" w:cs="Times New Roman"/>
                <w:kern w:val="0"/>
                <w:szCs w:val="24"/>
              </w:rPr>
            </w:pPr>
            <w:r>
              <w:rPr>
                <w:rFonts w:ascii="Times New Roman" w:hAnsi="Times New Roman" w:cs="Times New Roman"/>
                <w:kern w:val="0"/>
                <w:szCs w:val="24"/>
              </w:rPr>
              <w:t>基坑倾覆坍塌风险</w:t>
            </w:r>
          </w:p>
        </w:tc>
        <w:tc>
          <w:tcPr>
            <w:tcW w:w="2552" w:type="dxa"/>
            <w:tcBorders>
              <w:top w:val="nil"/>
              <w:left w:val="nil"/>
              <w:bottom w:val="single" w:color="auto" w:sz="4" w:space="0"/>
              <w:right w:val="single" w:color="auto" w:sz="4" w:space="0"/>
            </w:tcBorders>
            <w:shd w:val="clear" w:color="auto" w:fill="auto"/>
            <w:vAlign w:val="center"/>
          </w:tcPr>
          <w:p w14:paraId="38B28E45">
            <w:pPr>
              <w:widowControl/>
              <w:spacing w:line="240" w:lineRule="auto"/>
              <w:ind w:firstLine="0" w:firstLineChars="0"/>
              <w:jc w:val="center"/>
              <w:rPr>
                <w:rFonts w:ascii="Times New Roman" w:hAnsi="Times New Roman" w:cs="Times New Roman"/>
                <w:b/>
                <w:bCs/>
                <w:kern w:val="0"/>
                <w:szCs w:val="24"/>
              </w:rPr>
            </w:pPr>
            <w:r>
              <w:rPr>
                <w:rFonts w:ascii="Times New Roman" w:hAnsi="Times New Roman" w:cs="Times New Roman"/>
                <w:b/>
                <w:bCs/>
                <w:kern w:val="0"/>
                <w:szCs w:val="24"/>
              </w:rPr>
              <w:t>1</w:t>
            </w:r>
            <w:r>
              <w:rPr>
                <w:rFonts w:ascii="Times New Roman" w:hAnsi="Times New Roman" w:cs="Times New Roman"/>
                <w:kern w:val="0"/>
                <w:szCs w:val="24"/>
              </w:rPr>
              <w:t>）深基坑设计方案选择失误；</w:t>
            </w:r>
            <w:r>
              <w:rPr>
                <w:rFonts w:ascii="Times New Roman" w:hAnsi="Times New Roman" w:cs="Times New Roman"/>
                <w:kern w:val="0"/>
                <w:szCs w:val="24"/>
              </w:rPr>
              <w:br w:type="textWrapping"/>
            </w:r>
            <w:r>
              <w:rPr>
                <w:rFonts w:ascii="Times New Roman" w:hAnsi="Times New Roman" w:cs="Times New Roman"/>
                <w:kern w:val="0"/>
                <w:szCs w:val="24"/>
              </w:rPr>
              <w:t>2）支护结构设计中土体的物理力学参数选择不当；</w:t>
            </w:r>
            <w:r>
              <w:rPr>
                <w:rFonts w:ascii="Times New Roman" w:hAnsi="Times New Roman" w:cs="Times New Roman"/>
                <w:kern w:val="0"/>
                <w:szCs w:val="24"/>
              </w:rPr>
              <w:br w:type="textWrapping"/>
            </w:r>
            <w:r>
              <w:rPr>
                <w:rFonts w:ascii="Times New Roman" w:hAnsi="Times New Roman" w:cs="Times New Roman"/>
                <w:kern w:val="0"/>
                <w:szCs w:val="24"/>
              </w:rPr>
              <w:t>3）深基坑支护的设计荷载取值不当；</w:t>
            </w:r>
            <w:r>
              <w:rPr>
                <w:rFonts w:ascii="Times New Roman" w:hAnsi="Times New Roman" w:cs="Times New Roman"/>
                <w:kern w:val="0"/>
                <w:szCs w:val="24"/>
              </w:rPr>
              <w:br w:type="textWrapping"/>
            </w:r>
            <w:r>
              <w:rPr>
                <w:rFonts w:ascii="Times New Roman" w:hAnsi="Times New Roman" w:cs="Times New Roman"/>
                <w:kern w:val="0"/>
                <w:szCs w:val="24"/>
              </w:rPr>
              <w:t>4）支护结构设计计算与实际受力不符；或设计模型与基坑开挖实际不一致；</w:t>
            </w:r>
            <w:r>
              <w:rPr>
                <w:rFonts w:ascii="Times New Roman" w:hAnsi="Times New Roman" w:cs="Times New Roman"/>
                <w:kern w:val="0"/>
                <w:szCs w:val="24"/>
              </w:rPr>
              <w:br w:type="textWrapping"/>
            </w:r>
            <w:r>
              <w:rPr>
                <w:rFonts w:ascii="Times New Roman" w:hAnsi="Times New Roman" w:cs="Times New Roman"/>
                <w:kern w:val="0"/>
                <w:szCs w:val="24"/>
              </w:rPr>
              <w:t>5）对基坑开挖存在的空间效应和时间效应考虑不周；</w:t>
            </w:r>
            <w:r>
              <w:rPr>
                <w:rFonts w:ascii="Times New Roman" w:hAnsi="Times New Roman" w:cs="Times New Roman"/>
                <w:kern w:val="0"/>
                <w:szCs w:val="24"/>
              </w:rPr>
              <w:br w:type="textWrapping"/>
            </w:r>
            <w:r>
              <w:rPr>
                <w:rFonts w:ascii="Times New Roman" w:hAnsi="Times New Roman" w:cs="Times New Roman"/>
                <w:kern w:val="0"/>
                <w:szCs w:val="24"/>
              </w:rPr>
              <w:t>6）对基坑监测数据的分析和预判不准确。</w:t>
            </w:r>
          </w:p>
        </w:tc>
        <w:tc>
          <w:tcPr>
            <w:tcW w:w="572" w:type="dxa"/>
            <w:tcBorders>
              <w:top w:val="nil"/>
              <w:left w:val="nil"/>
              <w:bottom w:val="single" w:color="auto" w:sz="4" w:space="0"/>
              <w:right w:val="single" w:color="auto" w:sz="4" w:space="0"/>
            </w:tcBorders>
            <w:shd w:val="clear" w:color="auto" w:fill="auto"/>
            <w:vAlign w:val="center"/>
          </w:tcPr>
          <w:p w14:paraId="53EFF524">
            <w:pPr>
              <w:widowControl/>
              <w:spacing w:line="240" w:lineRule="auto"/>
              <w:ind w:firstLine="0" w:firstLineChars="0"/>
              <w:jc w:val="center"/>
              <w:rPr>
                <w:rFonts w:ascii="Times New Roman" w:hAnsi="Times New Roman" w:cs="Times New Roman"/>
                <w:kern w:val="0"/>
                <w:szCs w:val="24"/>
              </w:rPr>
            </w:pPr>
            <w:r>
              <w:rPr>
                <w:rFonts w:hint="eastAsia" w:ascii="宋体" w:hAnsi="宋体" w:eastAsia="宋体" w:cs="宋体"/>
                <w:kern w:val="0"/>
                <w:szCs w:val="24"/>
              </w:rPr>
              <w:t>Ⅲ</w:t>
            </w:r>
          </w:p>
        </w:tc>
        <w:tc>
          <w:tcPr>
            <w:tcW w:w="4782" w:type="dxa"/>
            <w:tcBorders>
              <w:top w:val="nil"/>
              <w:left w:val="nil"/>
              <w:bottom w:val="single" w:color="auto" w:sz="4" w:space="0"/>
              <w:right w:val="single" w:color="auto" w:sz="4" w:space="0"/>
            </w:tcBorders>
            <w:shd w:val="clear" w:color="auto" w:fill="auto"/>
            <w:vAlign w:val="center"/>
          </w:tcPr>
          <w:p w14:paraId="0F154B74">
            <w:pPr>
              <w:widowControl/>
              <w:spacing w:line="240" w:lineRule="auto"/>
              <w:ind w:firstLine="0" w:firstLineChars="0"/>
              <w:jc w:val="center"/>
              <w:rPr>
                <w:rFonts w:ascii="Times New Roman" w:hAnsi="Times New Roman" w:cs="Times New Roman"/>
                <w:b/>
                <w:bCs/>
                <w:kern w:val="0"/>
                <w:szCs w:val="24"/>
              </w:rPr>
            </w:pPr>
            <w:r>
              <w:rPr>
                <w:rFonts w:ascii="Times New Roman" w:hAnsi="Times New Roman" w:cs="Times New Roman"/>
                <w:b/>
                <w:bCs/>
                <w:kern w:val="0"/>
                <w:szCs w:val="24"/>
              </w:rPr>
              <w:t>1</w:t>
            </w:r>
            <w:r>
              <w:rPr>
                <w:rFonts w:ascii="Times New Roman" w:hAnsi="Times New Roman" w:cs="Times New Roman"/>
                <w:kern w:val="0"/>
                <w:szCs w:val="24"/>
              </w:rPr>
              <w:t>）采取足够嵌固深度的支护桩支护体系；</w:t>
            </w:r>
            <w:r>
              <w:rPr>
                <w:rFonts w:ascii="Times New Roman" w:hAnsi="Times New Roman" w:cs="Times New Roman"/>
                <w:kern w:val="0"/>
                <w:szCs w:val="24"/>
              </w:rPr>
              <w:br w:type="textWrapping"/>
            </w:r>
            <w:r>
              <w:rPr>
                <w:rFonts w:ascii="Times New Roman" w:hAnsi="Times New Roman" w:cs="Times New Roman"/>
                <w:kern w:val="0"/>
                <w:szCs w:val="24"/>
              </w:rPr>
              <w:t>2）设计中根据相关规范要求采用岩土参数进行内力、变形、抗倾覆等设计参数的计算，土体物理力学参数由地勘报告提供；</w:t>
            </w:r>
            <w:r>
              <w:rPr>
                <w:rFonts w:ascii="Times New Roman" w:hAnsi="Times New Roman" w:cs="Times New Roman"/>
                <w:kern w:val="0"/>
                <w:szCs w:val="24"/>
              </w:rPr>
              <w:br w:type="textWrapping"/>
            </w:r>
            <w:r>
              <w:rPr>
                <w:rFonts w:ascii="Times New Roman" w:hAnsi="Times New Roman" w:cs="Times New Roman"/>
                <w:kern w:val="0"/>
                <w:szCs w:val="24"/>
              </w:rPr>
              <w:t>3）支护结构外侧土压力取主动土压力，当地层为粘性土地层时按水土合算，砂性土地层时按水土分算；考虑基坑土压力作用范围内存在临近建筑产生的荷载；地面超载一般地段按10kPa计算；</w:t>
            </w:r>
            <w:r>
              <w:rPr>
                <w:rFonts w:ascii="Times New Roman" w:hAnsi="Times New Roman" w:cs="Times New Roman"/>
                <w:kern w:val="0"/>
                <w:szCs w:val="24"/>
              </w:rPr>
              <w:br w:type="textWrapping"/>
            </w:r>
            <w:r>
              <w:rPr>
                <w:rFonts w:ascii="Times New Roman" w:hAnsi="Times New Roman" w:cs="Times New Roman"/>
                <w:kern w:val="0"/>
                <w:szCs w:val="24"/>
              </w:rPr>
              <w:t>4）基坑计算过程中考虑施工过程的影响，计算过程与基坑实际受力工况相符；</w:t>
            </w:r>
            <w:r>
              <w:rPr>
                <w:rFonts w:ascii="Times New Roman" w:hAnsi="Times New Roman" w:cs="Times New Roman"/>
                <w:kern w:val="0"/>
                <w:szCs w:val="24"/>
              </w:rPr>
              <w:br w:type="textWrapping"/>
            </w:r>
            <w:r>
              <w:rPr>
                <w:rFonts w:ascii="Times New Roman" w:hAnsi="Times New Roman" w:cs="Times New Roman"/>
                <w:kern w:val="0"/>
                <w:szCs w:val="24"/>
              </w:rPr>
              <w:t>5）基坑开挖强调分段、分层均衡开挖。严格控制单步挖深，严禁超挖；</w:t>
            </w:r>
            <w:r>
              <w:rPr>
                <w:rFonts w:ascii="Times New Roman" w:hAnsi="Times New Roman" w:cs="Times New Roman"/>
                <w:kern w:val="0"/>
                <w:szCs w:val="24"/>
              </w:rPr>
              <w:br w:type="textWrapping"/>
            </w:r>
            <w:r>
              <w:rPr>
                <w:rFonts w:ascii="Times New Roman" w:hAnsi="Times New Roman" w:cs="Times New Roman"/>
                <w:kern w:val="0"/>
                <w:szCs w:val="24"/>
              </w:rPr>
              <w:t>6）对影响基坑安全的项目进行监测，提出变形控制值、变形速率控制值，采取三级管理体系，对存在异常情况及时报警，并采取相应的应急预案。</w:t>
            </w:r>
          </w:p>
        </w:tc>
        <w:tc>
          <w:tcPr>
            <w:tcW w:w="555" w:type="dxa"/>
            <w:tcBorders>
              <w:top w:val="nil"/>
              <w:left w:val="nil"/>
              <w:bottom w:val="single" w:color="auto" w:sz="4" w:space="0"/>
              <w:right w:val="single" w:color="auto" w:sz="4" w:space="0"/>
            </w:tcBorders>
            <w:shd w:val="clear" w:color="auto" w:fill="auto"/>
            <w:vAlign w:val="center"/>
          </w:tcPr>
          <w:p w14:paraId="3E3851C4">
            <w:pPr>
              <w:widowControl/>
              <w:spacing w:line="240" w:lineRule="auto"/>
              <w:ind w:firstLine="0" w:firstLineChars="0"/>
              <w:jc w:val="center"/>
              <w:rPr>
                <w:rFonts w:ascii="Times New Roman" w:hAnsi="Times New Roman" w:cs="Times New Roman"/>
                <w:kern w:val="0"/>
                <w:szCs w:val="24"/>
              </w:rPr>
            </w:pPr>
            <w:r>
              <w:rPr>
                <w:rFonts w:hint="eastAsia" w:ascii="宋体" w:hAnsi="宋体" w:eastAsia="宋体" w:cs="宋体"/>
                <w:kern w:val="0"/>
                <w:szCs w:val="24"/>
              </w:rPr>
              <w:t>Ⅳ</w:t>
            </w:r>
          </w:p>
        </w:tc>
      </w:tr>
    </w:tbl>
    <w:p w14:paraId="4DE8E53B">
      <w:pPr>
        <w:adjustRightInd w:val="0"/>
        <w:snapToGrid w:val="0"/>
        <w:spacing w:before="78"/>
        <w:ind w:left="663" w:firstLine="480"/>
        <w:rPr>
          <w:rFonts w:ascii="Times New Roman" w:hAnsi="Times New Roman" w:eastAsia="楷体_GB2312" w:cs="Times New Roman"/>
          <w:sz w:val="28"/>
          <w:szCs w:val="28"/>
        </w:rPr>
      </w:pPr>
      <w:r>
        <w:rPr>
          <w:rFonts w:ascii="Times New Roman" w:hAnsi="Times New Roman" w:cs="Times New Roman"/>
        </w:rPr>
        <w:t>（</w:t>
      </w:r>
      <w:r>
        <w:rPr>
          <w:rFonts w:ascii="Times New Roman" w:hAnsi="Times New Roman" w:eastAsia="楷体_GB2312" w:cs="Times New Roman"/>
          <w:b/>
          <w:bCs/>
          <w:spacing w:val="-2"/>
          <w:sz w:val="28"/>
          <w:szCs w:val="28"/>
        </w:rPr>
        <w:t>2</w:t>
      </w:r>
      <w:r>
        <w:rPr>
          <w:rFonts w:ascii="Times New Roman" w:hAnsi="Times New Roman" w:cs="Times New Roman"/>
        </w:rPr>
        <w:t>）基坑环境风险工程</w:t>
      </w:r>
    </w:p>
    <w:p w14:paraId="6EA8C597">
      <w:pPr>
        <w:pStyle w:val="28"/>
        <w:rPr>
          <w:rFonts w:ascii="Times New Roman" w:hAnsi="Times New Roman" w:cs="Times New Roman"/>
        </w:rPr>
      </w:pPr>
      <w:r>
        <w:rPr>
          <w:rFonts w:ascii="Times New Roman" w:hAnsi="Times New Roman" w:cs="Times New Roman"/>
        </w:rPr>
        <w:t>基坑环境风险工程统计表</w:t>
      </w:r>
    </w:p>
    <w:tbl>
      <w:tblPr>
        <w:tblStyle w:val="29"/>
        <w:tblW w:w="9428" w:type="dxa"/>
        <w:jc w:val="center"/>
        <w:tblLayout w:type="autofit"/>
        <w:tblCellMar>
          <w:top w:w="0" w:type="dxa"/>
          <w:left w:w="108" w:type="dxa"/>
          <w:bottom w:w="0" w:type="dxa"/>
          <w:right w:w="108" w:type="dxa"/>
        </w:tblCellMar>
      </w:tblPr>
      <w:tblGrid>
        <w:gridCol w:w="525"/>
        <w:gridCol w:w="1122"/>
        <w:gridCol w:w="543"/>
        <w:gridCol w:w="6496"/>
        <w:gridCol w:w="742"/>
      </w:tblGrid>
      <w:tr w14:paraId="6CEA6EA6">
        <w:tblPrEx>
          <w:tblCellMar>
            <w:top w:w="0" w:type="dxa"/>
            <w:left w:w="108" w:type="dxa"/>
            <w:bottom w:w="0" w:type="dxa"/>
            <w:right w:w="108" w:type="dxa"/>
          </w:tblCellMar>
        </w:tblPrEx>
        <w:trPr>
          <w:trHeight w:val="978" w:hRule="atLeast"/>
          <w:jc w:val="center"/>
        </w:trPr>
        <w:tc>
          <w:tcPr>
            <w:tcW w:w="525" w:type="dxa"/>
            <w:tcBorders>
              <w:top w:val="single" w:color="auto" w:sz="4" w:space="0"/>
              <w:left w:val="single" w:color="auto" w:sz="4" w:space="0"/>
              <w:bottom w:val="single" w:color="auto" w:sz="4" w:space="0"/>
              <w:right w:val="single" w:color="auto" w:sz="4" w:space="0"/>
            </w:tcBorders>
            <w:shd w:val="clear" w:color="auto" w:fill="auto"/>
            <w:vAlign w:val="center"/>
          </w:tcPr>
          <w:p w14:paraId="20CDB4B0">
            <w:pPr>
              <w:widowControl/>
              <w:spacing w:line="240" w:lineRule="auto"/>
              <w:ind w:firstLine="0" w:firstLineChars="0"/>
              <w:rPr>
                <w:rFonts w:ascii="Times New Roman" w:hAnsi="Times New Roman" w:cs="Times New Roman"/>
                <w:kern w:val="0"/>
                <w:szCs w:val="24"/>
              </w:rPr>
            </w:pPr>
            <w:r>
              <w:rPr>
                <w:rFonts w:ascii="Times New Roman" w:hAnsi="Times New Roman" w:cs="Times New Roman"/>
                <w:kern w:val="0"/>
                <w:szCs w:val="24"/>
              </w:rPr>
              <w:t>序号</w:t>
            </w:r>
          </w:p>
        </w:tc>
        <w:tc>
          <w:tcPr>
            <w:tcW w:w="1122" w:type="dxa"/>
            <w:tcBorders>
              <w:top w:val="single" w:color="auto" w:sz="4" w:space="0"/>
              <w:left w:val="nil"/>
              <w:bottom w:val="single" w:color="auto" w:sz="4" w:space="0"/>
              <w:right w:val="single" w:color="auto" w:sz="4" w:space="0"/>
            </w:tcBorders>
            <w:shd w:val="clear" w:color="auto" w:fill="auto"/>
            <w:vAlign w:val="center"/>
          </w:tcPr>
          <w:p w14:paraId="5C199867">
            <w:pPr>
              <w:widowControl/>
              <w:spacing w:line="240" w:lineRule="auto"/>
              <w:ind w:firstLine="0" w:firstLineChars="0"/>
              <w:rPr>
                <w:rFonts w:ascii="Times New Roman" w:hAnsi="Times New Roman" w:cs="Times New Roman"/>
                <w:kern w:val="0"/>
                <w:szCs w:val="24"/>
              </w:rPr>
            </w:pPr>
            <w:r>
              <w:rPr>
                <w:rFonts w:ascii="Times New Roman" w:hAnsi="Times New Roman" w:cs="Times New Roman"/>
                <w:kern w:val="0"/>
                <w:szCs w:val="24"/>
              </w:rPr>
              <w:t>风险点基本情况描述</w:t>
            </w:r>
          </w:p>
        </w:tc>
        <w:tc>
          <w:tcPr>
            <w:tcW w:w="543" w:type="dxa"/>
            <w:tcBorders>
              <w:top w:val="single" w:color="auto" w:sz="4" w:space="0"/>
              <w:left w:val="nil"/>
              <w:bottom w:val="single" w:color="auto" w:sz="4" w:space="0"/>
              <w:right w:val="single" w:color="auto" w:sz="4" w:space="0"/>
            </w:tcBorders>
            <w:shd w:val="clear" w:color="auto" w:fill="auto"/>
            <w:vAlign w:val="center"/>
          </w:tcPr>
          <w:p w14:paraId="154B0A42">
            <w:pPr>
              <w:widowControl/>
              <w:spacing w:line="240" w:lineRule="auto"/>
              <w:ind w:firstLine="0" w:firstLineChars="0"/>
              <w:rPr>
                <w:rFonts w:ascii="Times New Roman" w:hAnsi="Times New Roman" w:cs="Times New Roman"/>
                <w:kern w:val="0"/>
                <w:szCs w:val="24"/>
              </w:rPr>
            </w:pPr>
            <w:r>
              <w:rPr>
                <w:rFonts w:ascii="Times New Roman" w:hAnsi="Times New Roman" w:cs="Times New Roman"/>
                <w:kern w:val="0"/>
                <w:szCs w:val="24"/>
              </w:rPr>
              <w:t>风险等级</w:t>
            </w:r>
          </w:p>
        </w:tc>
        <w:tc>
          <w:tcPr>
            <w:tcW w:w="6496" w:type="dxa"/>
            <w:tcBorders>
              <w:top w:val="single" w:color="auto" w:sz="4" w:space="0"/>
              <w:left w:val="nil"/>
              <w:bottom w:val="single" w:color="auto" w:sz="4" w:space="0"/>
              <w:right w:val="single" w:color="auto" w:sz="4" w:space="0"/>
            </w:tcBorders>
            <w:shd w:val="clear" w:color="auto" w:fill="auto"/>
            <w:vAlign w:val="center"/>
          </w:tcPr>
          <w:p w14:paraId="2D929FF3">
            <w:pPr>
              <w:widowControl/>
              <w:spacing w:line="240" w:lineRule="auto"/>
              <w:ind w:firstLine="0" w:firstLineChars="0"/>
              <w:rPr>
                <w:rFonts w:ascii="Times New Roman" w:hAnsi="Times New Roman" w:cs="Times New Roman"/>
                <w:kern w:val="0"/>
                <w:szCs w:val="24"/>
              </w:rPr>
            </w:pPr>
            <w:r>
              <w:rPr>
                <w:rFonts w:ascii="Times New Roman" w:hAnsi="Times New Roman" w:cs="Times New Roman"/>
                <w:kern w:val="0"/>
                <w:szCs w:val="24"/>
              </w:rPr>
              <w:t>采取的主要措施</w:t>
            </w:r>
          </w:p>
        </w:tc>
        <w:tc>
          <w:tcPr>
            <w:tcW w:w="742" w:type="dxa"/>
            <w:tcBorders>
              <w:top w:val="single" w:color="auto" w:sz="4" w:space="0"/>
              <w:left w:val="nil"/>
              <w:bottom w:val="single" w:color="auto" w:sz="4" w:space="0"/>
              <w:right w:val="single" w:color="auto" w:sz="4" w:space="0"/>
            </w:tcBorders>
            <w:shd w:val="clear" w:color="auto" w:fill="auto"/>
            <w:vAlign w:val="center"/>
          </w:tcPr>
          <w:p w14:paraId="2E31485D">
            <w:pPr>
              <w:widowControl/>
              <w:spacing w:line="240" w:lineRule="auto"/>
              <w:ind w:firstLine="0" w:firstLineChars="0"/>
              <w:rPr>
                <w:rFonts w:ascii="Times New Roman" w:hAnsi="Times New Roman" w:cs="Times New Roman"/>
                <w:kern w:val="0"/>
                <w:szCs w:val="24"/>
              </w:rPr>
            </w:pPr>
            <w:r>
              <w:rPr>
                <w:rFonts w:ascii="Times New Roman" w:hAnsi="Times New Roman" w:cs="Times New Roman"/>
                <w:kern w:val="0"/>
                <w:szCs w:val="24"/>
              </w:rPr>
              <w:t>残余风险等级</w:t>
            </w:r>
          </w:p>
        </w:tc>
      </w:tr>
      <w:tr w14:paraId="5276C6E7">
        <w:tblPrEx>
          <w:tblCellMar>
            <w:top w:w="0" w:type="dxa"/>
            <w:left w:w="108" w:type="dxa"/>
            <w:bottom w:w="0" w:type="dxa"/>
            <w:right w:w="108" w:type="dxa"/>
          </w:tblCellMar>
        </w:tblPrEx>
        <w:trPr>
          <w:trHeight w:val="5350" w:hRule="atLeast"/>
          <w:jc w:val="center"/>
        </w:trPr>
        <w:tc>
          <w:tcPr>
            <w:tcW w:w="525" w:type="dxa"/>
            <w:tcBorders>
              <w:top w:val="nil"/>
              <w:left w:val="single" w:color="auto" w:sz="4" w:space="0"/>
              <w:bottom w:val="single" w:color="auto" w:sz="4" w:space="0"/>
              <w:right w:val="single" w:color="auto" w:sz="4" w:space="0"/>
            </w:tcBorders>
            <w:shd w:val="clear" w:color="auto" w:fill="auto"/>
            <w:vAlign w:val="center"/>
          </w:tcPr>
          <w:p w14:paraId="7AA4D1EB">
            <w:pPr>
              <w:widowControl/>
              <w:spacing w:line="240" w:lineRule="auto"/>
              <w:ind w:firstLine="0" w:firstLineChars="0"/>
              <w:rPr>
                <w:rFonts w:ascii="Times New Roman" w:hAnsi="Times New Roman" w:cs="Times New Roman"/>
                <w:b/>
                <w:bCs/>
                <w:kern w:val="0"/>
                <w:szCs w:val="24"/>
              </w:rPr>
            </w:pPr>
            <w:r>
              <w:rPr>
                <w:rFonts w:ascii="Times New Roman" w:hAnsi="Times New Roman" w:cs="Times New Roman"/>
                <w:b/>
                <w:bCs/>
                <w:kern w:val="0"/>
                <w:szCs w:val="24"/>
              </w:rPr>
              <w:t>1</w:t>
            </w:r>
          </w:p>
        </w:tc>
        <w:tc>
          <w:tcPr>
            <w:tcW w:w="1122" w:type="dxa"/>
            <w:tcBorders>
              <w:top w:val="nil"/>
              <w:left w:val="nil"/>
              <w:bottom w:val="single" w:color="auto" w:sz="4" w:space="0"/>
              <w:right w:val="single" w:color="auto" w:sz="4" w:space="0"/>
            </w:tcBorders>
            <w:shd w:val="clear" w:color="auto" w:fill="auto"/>
            <w:vAlign w:val="center"/>
          </w:tcPr>
          <w:p w14:paraId="75E1AE43">
            <w:pPr>
              <w:widowControl/>
              <w:spacing w:line="240" w:lineRule="auto"/>
              <w:ind w:firstLine="0" w:firstLineChars="0"/>
              <w:rPr>
                <w:rFonts w:ascii="Times New Roman" w:hAnsi="Times New Roman" w:cs="Times New Roman"/>
                <w:kern w:val="0"/>
                <w:szCs w:val="24"/>
              </w:rPr>
            </w:pPr>
            <w:r>
              <w:rPr>
                <w:rFonts w:ascii="Times New Roman" w:hAnsi="Times New Roman" w:cs="Times New Roman"/>
                <w:kern w:val="0"/>
                <w:szCs w:val="24"/>
              </w:rPr>
              <w:t>基坑临近雨污水管等管线</w:t>
            </w:r>
          </w:p>
        </w:tc>
        <w:tc>
          <w:tcPr>
            <w:tcW w:w="543" w:type="dxa"/>
            <w:tcBorders>
              <w:top w:val="nil"/>
              <w:left w:val="nil"/>
              <w:bottom w:val="single" w:color="auto" w:sz="4" w:space="0"/>
              <w:right w:val="single" w:color="auto" w:sz="4" w:space="0"/>
            </w:tcBorders>
            <w:shd w:val="clear" w:color="auto" w:fill="auto"/>
            <w:vAlign w:val="center"/>
          </w:tcPr>
          <w:p w14:paraId="50C11A2E">
            <w:pPr>
              <w:widowControl/>
              <w:spacing w:line="240" w:lineRule="auto"/>
              <w:ind w:firstLine="0" w:firstLineChars="0"/>
              <w:rPr>
                <w:rFonts w:ascii="Times New Roman" w:hAnsi="Times New Roman" w:cs="Times New Roman"/>
                <w:kern w:val="0"/>
                <w:szCs w:val="24"/>
              </w:rPr>
            </w:pPr>
            <w:r>
              <w:rPr>
                <w:rFonts w:hint="eastAsia" w:ascii="宋体" w:hAnsi="宋体" w:eastAsia="宋体" w:cs="宋体"/>
                <w:kern w:val="0"/>
                <w:szCs w:val="24"/>
              </w:rPr>
              <w:t>Ⅲ</w:t>
            </w:r>
          </w:p>
        </w:tc>
        <w:tc>
          <w:tcPr>
            <w:tcW w:w="6496" w:type="dxa"/>
            <w:tcBorders>
              <w:top w:val="nil"/>
              <w:left w:val="nil"/>
              <w:bottom w:val="single" w:color="auto" w:sz="4" w:space="0"/>
              <w:right w:val="single" w:color="auto" w:sz="4" w:space="0"/>
            </w:tcBorders>
            <w:shd w:val="clear" w:color="auto" w:fill="auto"/>
            <w:vAlign w:val="center"/>
          </w:tcPr>
          <w:p w14:paraId="7ECB7D41">
            <w:pPr>
              <w:widowControl/>
              <w:spacing w:line="240" w:lineRule="auto"/>
              <w:ind w:firstLine="0" w:firstLineChars="0"/>
              <w:rPr>
                <w:rFonts w:ascii="Times New Roman" w:hAnsi="Times New Roman" w:cs="Times New Roman"/>
                <w:b/>
                <w:bCs/>
                <w:kern w:val="0"/>
                <w:szCs w:val="24"/>
              </w:rPr>
            </w:pPr>
            <w:r>
              <w:rPr>
                <w:rFonts w:ascii="Times New Roman" w:hAnsi="Times New Roman" w:cs="Times New Roman"/>
                <w:b/>
                <w:bCs/>
                <w:kern w:val="0"/>
                <w:szCs w:val="24"/>
              </w:rPr>
              <w:t>1</w:t>
            </w:r>
            <w:r>
              <w:rPr>
                <w:rFonts w:ascii="Times New Roman" w:hAnsi="Times New Roman" w:cs="Times New Roman"/>
                <w:kern w:val="0"/>
                <w:szCs w:val="24"/>
              </w:rPr>
              <w:t>）施工前应对场区范围内既有管线进行详查，应确切掌握各管线类型、管径、材质、接头形式、埋置深度、建成年代、产权单位、使用现状等信息，并对重要管线的倾斜、挠曲、接头错位等初始值进行记录；</w:t>
            </w:r>
            <w:r>
              <w:rPr>
                <w:rFonts w:ascii="Times New Roman" w:hAnsi="Times New Roman" w:cs="Times New Roman"/>
                <w:kern w:val="0"/>
                <w:szCs w:val="24"/>
              </w:rPr>
              <w:br w:type="textWrapping"/>
            </w:r>
            <w:r>
              <w:rPr>
                <w:rFonts w:ascii="Times New Roman" w:hAnsi="Times New Roman" w:cs="Times New Roman"/>
                <w:kern w:val="0"/>
                <w:szCs w:val="24"/>
              </w:rPr>
              <w:t>2）基坑施工应严格按图施工，并应加强对管线变形情况的监测。管线测点应布置在管井及管线接头处或对位移变化敏感的部位。沿管线纵向轴线布置。管线测点应优先固定于管体，当现场操作确有难度时，可用地表沉降测点代替。</w:t>
            </w:r>
            <w:r>
              <w:rPr>
                <w:rFonts w:ascii="Times New Roman" w:hAnsi="Times New Roman" w:cs="Times New Roman"/>
                <w:kern w:val="0"/>
                <w:szCs w:val="24"/>
              </w:rPr>
              <w:br w:type="textWrapping"/>
            </w:r>
            <w:r>
              <w:rPr>
                <w:rFonts w:ascii="Times New Roman" w:hAnsi="Times New Roman" w:cs="Times New Roman"/>
                <w:kern w:val="0"/>
                <w:szCs w:val="24"/>
              </w:rPr>
              <w:t>3）管线变形控制值参照《城市轨道交通工程监测技术规范》取值。</w:t>
            </w:r>
            <w:r>
              <w:rPr>
                <w:rFonts w:ascii="Times New Roman" w:hAnsi="Times New Roman" w:cs="Times New Roman"/>
                <w:kern w:val="0"/>
                <w:szCs w:val="24"/>
              </w:rPr>
              <w:br w:type="textWrapping"/>
            </w:r>
            <w:r>
              <w:rPr>
                <w:rFonts w:ascii="Times New Roman" w:hAnsi="Times New Roman" w:cs="Times New Roman"/>
                <w:kern w:val="0"/>
                <w:szCs w:val="24"/>
              </w:rPr>
              <w:t>4）对管线变形过大区域进行注浆，同时加强管线监测，根据监测情况调整注浆压力、材料、部位及注浆量等，以主动控制管线沉隆，注浆措施需征得业主、设计各方同意后方可实施；</w:t>
            </w:r>
            <w:r>
              <w:rPr>
                <w:rFonts w:ascii="Times New Roman" w:hAnsi="Times New Roman" w:cs="Times New Roman"/>
                <w:kern w:val="0"/>
                <w:szCs w:val="24"/>
              </w:rPr>
              <w:br w:type="textWrapping"/>
            </w:r>
            <w:r>
              <w:rPr>
                <w:rFonts w:ascii="Times New Roman" w:hAnsi="Times New Roman" w:cs="Times New Roman"/>
                <w:kern w:val="0"/>
                <w:szCs w:val="24"/>
              </w:rPr>
              <w:t>5）及时联系管线产权单位，对变形过大或已破坏部位进行抢修。</w:t>
            </w:r>
          </w:p>
        </w:tc>
        <w:tc>
          <w:tcPr>
            <w:tcW w:w="742" w:type="dxa"/>
            <w:tcBorders>
              <w:top w:val="nil"/>
              <w:left w:val="nil"/>
              <w:bottom w:val="single" w:color="auto" w:sz="4" w:space="0"/>
              <w:right w:val="single" w:color="auto" w:sz="4" w:space="0"/>
            </w:tcBorders>
            <w:shd w:val="clear" w:color="auto" w:fill="auto"/>
            <w:vAlign w:val="center"/>
          </w:tcPr>
          <w:p w14:paraId="1C68B939">
            <w:pPr>
              <w:widowControl/>
              <w:spacing w:line="240" w:lineRule="auto"/>
              <w:ind w:firstLine="0" w:firstLineChars="0"/>
              <w:rPr>
                <w:rFonts w:ascii="Times New Roman" w:hAnsi="Times New Roman" w:cs="Times New Roman"/>
                <w:kern w:val="0"/>
                <w:szCs w:val="24"/>
              </w:rPr>
            </w:pPr>
            <w:r>
              <w:rPr>
                <w:rFonts w:hint="eastAsia" w:ascii="宋体" w:hAnsi="宋体" w:eastAsia="宋体" w:cs="宋体"/>
                <w:kern w:val="0"/>
                <w:szCs w:val="24"/>
              </w:rPr>
              <w:t>Ⅳ</w:t>
            </w:r>
          </w:p>
        </w:tc>
      </w:tr>
    </w:tbl>
    <w:p w14:paraId="67A452FC">
      <w:pPr>
        <w:ind w:firstLine="480"/>
        <w:rPr>
          <w:rFonts w:ascii="Times New Roman" w:hAnsi="Times New Roman" w:cs="Times New Roman"/>
        </w:rPr>
      </w:pPr>
      <w:r>
        <w:rPr>
          <w:rFonts w:ascii="Times New Roman" w:hAnsi="Times New Roman" w:cs="Times New Roman"/>
        </w:rPr>
        <w:t>（3）风险跟踪、监测与管理</w:t>
      </w:r>
    </w:p>
    <w:p w14:paraId="433E162E">
      <w:pPr>
        <w:ind w:firstLine="480"/>
        <w:rPr>
          <w:rFonts w:ascii="Times New Roman" w:hAnsi="Times New Roman" w:cs="Times New Roman"/>
        </w:rPr>
      </w:pPr>
      <w:r>
        <w:rPr>
          <w:rFonts w:ascii="Times New Roman" w:hAnsi="Times New Roman" w:cs="Times New Roman"/>
        </w:rPr>
        <w:t>1）风险跟踪即对风险的变化情况进行追踪和观察，及时对风险事件的状态做出判断；</w:t>
      </w:r>
    </w:p>
    <w:p w14:paraId="1879EA0B">
      <w:pPr>
        <w:ind w:firstLine="480"/>
        <w:rPr>
          <w:rFonts w:ascii="Times New Roman" w:hAnsi="Times New Roman" w:cs="Times New Roman"/>
        </w:rPr>
      </w:pPr>
      <w:r>
        <w:rPr>
          <w:rFonts w:ascii="Times New Roman" w:hAnsi="Times New Roman" w:cs="Times New Roman"/>
        </w:rPr>
        <w:t>2）风险跟踪的内容包括：风险预控措施的落实情况、已识别风险事件特征值的观测、对风险发展状况的纪录等；</w:t>
      </w:r>
    </w:p>
    <w:p w14:paraId="5F871DCE">
      <w:pPr>
        <w:ind w:firstLine="480"/>
        <w:rPr>
          <w:rFonts w:ascii="Times New Roman" w:hAnsi="Times New Roman" w:cs="Times New Roman"/>
        </w:rPr>
      </w:pPr>
      <w:r>
        <w:rPr>
          <w:rFonts w:ascii="Times New Roman" w:hAnsi="Times New Roman" w:cs="Times New Roman"/>
        </w:rPr>
        <w:t>3）风险跟踪与监测是动态的过程，应根据工程环境的变化、工程的进展状况及时对施工质量安全风险进行修正、登记及监测检查，定期反馈，随时与相关单位沟通；</w:t>
      </w:r>
    </w:p>
    <w:p w14:paraId="216A0EF1">
      <w:pPr>
        <w:ind w:firstLine="480"/>
        <w:rPr>
          <w:rFonts w:ascii="Times New Roman" w:hAnsi="Times New Roman" w:cs="Times New Roman"/>
        </w:rPr>
      </w:pPr>
      <w:r>
        <w:rPr>
          <w:rFonts w:ascii="Times New Roman" w:hAnsi="Times New Roman" w:cs="Times New Roman"/>
        </w:rPr>
        <w:t>4）根据制定的监测方案，加强风险监测，根据风险控制指标以及三级预警管理体系，发出风险预警信号，提出风险处理建议。</w:t>
      </w:r>
    </w:p>
    <w:p w14:paraId="00588307">
      <w:pPr>
        <w:ind w:firstLine="480"/>
        <w:rPr>
          <w:rFonts w:ascii="Times New Roman" w:hAnsi="Times New Roman" w:cs="Times New Roman"/>
        </w:rPr>
      </w:pPr>
      <w:r>
        <w:rPr>
          <w:rFonts w:ascii="Times New Roman" w:hAnsi="Times New Roman" w:cs="Times New Roman"/>
        </w:rPr>
        <w:t>（4）风险预警与应急</w:t>
      </w:r>
    </w:p>
    <w:p w14:paraId="68F4D595">
      <w:pPr>
        <w:ind w:firstLine="480"/>
        <w:rPr>
          <w:rFonts w:ascii="Times New Roman" w:hAnsi="Times New Roman" w:cs="Times New Roman"/>
        </w:rPr>
      </w:pPr>
      <w:r>
        <w:rPr>
          <w:rFonts w:ascii="Times New Roman" w:hAnsi="Times New Roman" w:cs="Times New Roman"/>
        </w:rPr>
        <w:t>针对工程建设项目的特点和风险管理的需要，建立风险监控和预警信息管理系统，通过监测数据分析，及时掌握风险状态.当监测指标达到应急状态时，应启动相应的应急预案，应急措施如下：</w:t>
      </w:r>
    </w:p>
    <w:p w14:paraId="362482C4">
      <w:pPr>
        <w:ind w:firstLine="480"/>
        <w:rPr>
          <w:rFonts w:ascii="Times New Roman" w:hAnsi="Times New Roman" w:cs="Times New Roman"/>
        </w:rPr>
      </w:pPr>
      <w:r>
        <w:rPr>
          <w:rFonts w:ascii="Times New Roman" w:hAnsi="Times New Roman" w:cs="Times New Roman"/>
        </w:rPr>
        <w:t>1）当有内撑支护的桩墙发生较大的内凸变位时，应在坡顶或桩墙后卸载，坑内停止挖土作业，适当增加内撑，桩前堆筑砂石袋等。</w:t>
      </w:r>
    </w:p>
    <w:p w14:paraId="1C34D744">
      <w:pPr>
        <w:ind w:firstLine="480"/>
        <w:rPr>
          <w:rFonts w:ascii="Times New Roman" w:hAnsi="Times New Roman" w:cs="Times New Roman"/>
        </w:rPr>
      </w:pPr>
      <w:r>
        <w:rPr>
          <w:rFonts w:ascii="Times New Roman" w:hAnsi="Times New Roman" w:cs="Times New Roman"/>
        </w:rPr>
        <w:t>2）当基坑止水幕墙漏水、流土，坑内降水、开挖、使坑外地面或道路下陷，建筑物倾斜，坑周管道断裂等时，应停止坑内降水和施工挖土，迅速用堵漏材料，处理止水墙的渗漏；严重时应在坑内回灌水，使坑内外水位平衡，有利于堵漏。必要时重新补做止水幕墙方可继续施工。</w:t>
      </w:r>
    </w:p>
    <w:p w14:paraId="7271A964">
      <w:pPr>
        <w:ind w:firstLine="480"/>
        <w:rPr>
          <w:rFonts w:ascii="Times New Roman" w:hAnsi="Times New Roman" w:cs="Times New Roman"/>
        </w:rPr>
      </w:pPr>
      <w:r>
        <w:rPr>
          <w:rFonts w:ascii="Times New Roman" w:hAnsi="Times New Roman" w:cs="Times New Roman"/>
        </w:rPr>
        <w:t>3）当基坑开挖发现围护结构存在严重质量问题，起不到支护作用时，应通过现场检验鉴定，重新制定基坑支护加固方案，对原基坑支护结构进行补强，加固或改造处理。</w:t>
      </w:r>
    </w:p>
    <w:p w14:paraId="6B8962A8">
      <w:pPr>
        <w:ind w:firstLine="480"/>
        <w:rPr>
          <w:rFonts w:ascii="Times New Roman" w:hAnsi="Times New Roman" w:cs="Times New Roman"/>
        </w:rPr>
      </w:pPr>
      <w:r>
        <w:rPr>
          <w:rFonts w:ascii="Times New Roman" w:hAnsi="Times New Roman" w:cs="Times New Roman"/>
        </w:rPr>
        <w:t>4）基坑雨季施工时应准备充足的抽排水设备，以便大雨时及雨后及时抽排基坑积水，避免基坑被雨水浸泡。</w:t>
      </w:r>
    </w:p>
    <w:p w14:paraId="6C034F5E">
      <w:pPr>
        <w:ind w:firstLine="480"/>
        <w:rPr>
          <w:rFonts w:ascii="Times New Roman" w:hAnsi="Times New Roman" w:cs="Times New Roman"/>
        </w:rPr>
      </w:pPr>
      <w:r>
        <w:rPr>
          <w:rFonts w:ascii="Times New Roman" w:hAnsi="Times New Roman" w:cs="Times New Roman"/>
        </w:rPr>
        <w:t>5）施工现场应准备一定的抢险应急设备及材料，如沙袋、钢管、支撑、水泥等。</w:t>
      </w:r>
    </w:p>
    <w:p w14:paraId="136212D8">
      <w:pPr>
        <w:pStyle w:val="3"/>
        <w:rPr>
          <w:rFonts w:ascii="Times New Roman" w:hAnsi="Times New Roman" w:cs="Times New Roman"/>
        </w:rPr>
      </w:pPr>
      <w:bookmarkStart w:id="80" w:name="_Toc8831"/>
      <w:r>
        <w:rPr>
          <w:rFonts w:ascii="Times New Roman" w:hAnsi="Times New Roman" w:cs="Times New Roman"/>
        </w:rPr>
        <w:t>围堰施工方案的建议</w:t>
      </w:r>
      <w:bookmarkEnd w:id="80"/>
    </w:p>
    <w:p w14:paraId="5432ACB7">
      <w:pPr>
        <w:pStyle w:val="4"/>
        <w:rPr>
          <w:rFonts w:ascii="Times New Roman" w:hAnsi="Times New Roman" w:cs="Times New Roman"/>
        </w:rPr>
      </w:pPr>
      <w:bookmarkStart w:id="81" w:name="_Toc3612"/>
      <w:r>
        <w:rPr>
          <w:rFonts w:ascii="Times New Roman" w:hAnsi="Times New Roman" w:cs="Times New Roman"/>
        </w:rPr>
        <w:t>工程概况</w:t>
      </w:r>
      <w:bookmarkEnd w:id="81"/>
    </w:p>
    <w:p w14:paraId="1F5FE33F">
      <w:pPr>
        <w:ind w:firstLine="480"/>
        <w:rPr>
          <w:rFonts w:ascii="Times New Roman" w:hAnsi="Times New Roman" w:cs="Times New Roman"/>
        </w:rPr>
      </w:pPr>
      <w:r>
        <w:rPr>
          <w:rFonts w:ascii="Times New Roman" w:hAnsi="Times New Roman" w:cs="Times New Roman"/>
        </w:rPr>
        <w:t>本工程污水04配套护管挡墙、</w:t>
      </w:r>
      <w:bookmarkStart w:id="82" w:name="OLE_LINK8"/>
      <w:bookmarkStart w:id="83" w:name="OLE_LINK1"/>
      <w:r>
        <w:rPr>
          <w:rFonts w:ascii="Times New Roman" w:hAnsi="Times New Roman" w:cs="Times New Roman"/>
        </w:rPr>
        <w:t>污水05、</w:t>
      </w:r>
      <w:bookmarkEnd w:id="82"/>
      <w:bookmarkEnd w:id="83"/>
      <w:r>
        <w:rPr>
          <w:rFonts w:ascii="Times New Roman" w:hAnsi="Times New Roman" w:cs="Times New Roman"/>
        </w:rPr>
        <w:t>污水06、污水07及污水09部分管线需穿越现状土沟或敷设与土沟内侧。本次设计采用焊接钢管敷设，施工方式建议采用围堰施工，河道内围堰采用中间填土，外侧加土袋的围堰方法。</w:t>
      </w:r>
    </w:p>
    <w:p w14:paraId="6C6DEA38">
      <w:pPr>
        <w:pStyle w:val="4"/>
        <w:rPr>
          <w:rFonts w:ascii="Times New Roman" w:hAnsi="Times New Roman" w:cs="Times New Roman"/>
        </w:rPr>
      </w:pPr>
      <w:bookmarkStart w:id="84" w:name="_Toc17546"/>
      <w:r>
        <w:rPr>
          <w:rFonts w:ascii="Times New Roman" w:hAnsi="Times New Roman" w:cs="Times New Roman"/>
        </w:rPr>
        <w:t>围堰施工方案</w:t>
      </w:r>
      <w:bookmarkEnd w:id="84"/>
    </w:p>
    <w:p w14:paraId="6E90C194">
      <w:pPr>
        <w:ind w:firstLine="480"/>
        <w:rPr>
          <w:rFonts w:ascii="Times New Roman" w:hAnsi="Times New Roman" w:cs="Times New Roman"/>
        </w:rPr>
      </w:pPr>
      <w:r>
        <w:rPr>
          <w:rFonts w:ascii="Times New Roman" w:hAnsi="Times New Roman" w:cs="Times New Roman"/>
        </w:rPr>
        <w:t>1、围堰设计形式选择原则及标准</w:t>
      </w:r>
    </w:p>
    <w:p w14:paraId="45B5AE8B">
      <w:pPr>
        <w:ind w:firstLine="480"/>
        <w:rPr>
          <w:rFonts w:ascii="Times New Roman" w:hAnsi="Times New Roman" w:cs="Times New Roman"/>
        </w:rPr>
      </w:pPr>
      <w:r>
        <w:rPr>
          <w:rFonts w:ascii="Times New Roman" w:hAnsi="Times New Roman" w:cs="Times New Roman"/>
        </w:rPr>
        <w:t>1）围堰形式选择原则围堰要求安全可靠、能满足稳定、抗渗及抗冲要求；结构要求简单，施工方便，宜于拆除并能充分利用当地材料及开挖料碴，同时能满足工期要求。根据上述原则及实地情况拟采用土袋围堰作临时挡水建筑物。 因本段施工时间短，围堰高度设计标准为施工期间可能出现的最高水位（含浪高）+0.7m，围堰使用年限小于一个施工年度。</w:t>
      </w:r>
    </w:p>
    <w:p w14:paraId="320FEC1F">
      <w:pPr>
        <w:ind w:firstLine="480"/>
        <w:rPr>
          <w:rFonts w:ascii="Times New Roman" w:hAnsi="Times New Roman" w:cs="Times New Roman"/>
        </w:rPr>
      </w:pPr>
      <w:r>
        <w:rPr>
          <w:rFonts w:ascii="Times New Roman" w:hAnsi="Times New Roman" w:cs="Times New Roman"/>
        </w:rPr>
        <w:t>2、围堰尺寸横断面如下图：</w:t>
      </w:r>
    </w:p>
    <w:p w14:paraId="3860562C">
      <w:pPr>
        <w:ind w:firstLine="0" w:firstLineChars="0"/>
        <w:jc w:val="center"/>
        <w:rPr>
          <w:rFonts w:ascii="Times New Roman" w:hAnsi="Times New Roman" w:cs="Times New Roman"/>
        </w:rPr>
      </w:pPr>
      <w:r>
        <w:rPr>
          <w:rFonts w:ascii="Times New Roman" w:hAnsi="Times New Roman" w:cs="Times New Roman"/>
        </w:rPr>
        <w:drawing>
          <wp:inline distT="0" distB="0" distL="0" distR="0">
            <wp:extent cx="5284470" cy="3352165"/>
            <wp:effectExtent l="0" t="0" r="0" b="635"/>
            <wp:docPr id="5" name="图片 5" descr="C:\Users\kkk\Desktop\围堰施工C Model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kkk\Desktop\围堰施工C Model (1).jpg"/>
                    <pic:cNvPicPr>
                      <a:picLocks noChangeAspect="1" noChangeArrowheads="1"/>
                    </pic:cNvPicPr>
                  </pic:nvPicPr>
                  <pic:blipFill>
                    <a:blip r:embed="rId34" cstate="print">
                      <a:extLst>
                        <a:ext uri="{28A0092B-C50C-407E-A947-70E740481C1C}">
                          <a14:useLocalDpi xmlns:a14="http://schemas.microsoft.com/office/drawing/2010/main" val="0"/>
                        </a:ext>
                      </a:extLst>
                    </a:blip>
                    <a:srcRect l="3080" t="13063"/>
                    <a:stretch>
                      <a:fillRect/>
                    </a:stretch>
                  </pic:blipFill>
                  <pic:spPr>
                    <a:xfrm>
                      <a:off x="0" y="0"/>
                      <a:ext cx="5293205" cy="3357937"/>
                    </a:xfrm>
                    <a:prstGeom prst="rect">
                      <a:avLst/>
                    </a:prstGeom>
                    <a:noFill/>
                    <a:ln>
                      <a:noFill/>
                    </a:ln>
                  </pic:spPr>
                </pic:pic>
              </a:graphicData>
            </a:graphic>
          </wp:inline>
        </w:drawing>
      </w:r>
    </w:p>
    <w:p w14:paraId="38236633">
      <w:pPr>
        <w:ind w:firstLine="0" w:firstLineChars="0"/>
        <w:jc w:val="center"/>
        <w:rPr>
          <w:rFonts w:ascii="Times New Roman" w:hAnsi="Times New Roman" w:cs="Times New Roman"/>
        </w:rPr>
      </w:pPr>
      <w:r>
        <w:rPr>
          <w:rFonts w:ascii="Times New Roman" w:hAnsi="Times New Roman" w:cs="Times New Roman"/>
        </w:rPr>
        <w:t>土袋围堰施工断面图（供参考示意图）</w:t>
      </w:r>
    </w:p>
    <w:p w14:paraId="654A877C">
      <w:pPr>
        <w:ind w:firstLine="480"/>
        <w:rPr>
          <w:rFonts w:ascii="Times New Roman" w:hAnsi="Times New Roman" w:cs="Times New Roman"/>
        </w:rPr>
      </w:pPr>
      <w:r>
        <w:rPr>
          <w:rFonts w:ascii="Times New Roman" w:hAnsi="Times New Roman" w:cs="Times New Roman"/>
        </w:rPr>
        <w:t>3、围堰的技术要求：</w:t>
      </w:r>
    </w:p>
    <w:p w14:paraId="20E1DD19">
      <w:pPr>
        <w:ind w:firstLine="480"/>
        <w:rPr>
          <w:rFonts w:ascii="Times New Roman" w:hAnsi="Times New Roman" w:cs="Times New Roman"/>
        </w:rPr>
      </w:pPr>
      <w:r>
        <w:rPr>
          <w:rFonts w:ascii="Times New Roman" w:hAnsi="Times New Roman" w:cs="Times New Roman"/>
        </w:rPr>
        <w:t>建议采用分段施工，先行施工河道半幅，待施工完成时再施工另一半幅。</w:t>
      </w:r>
    </w:p>
    <w:p w14:paraId="4E7ABEB6">
      <w:pPr>
        <w:ind w:firstLine="480"/>
        <w:rPr>
          <w:rFonts w:ascii="Times New Roman" w:hAnsi="Times New Roman" w:cs="Times New Roman"/>
        </w:rPr>
      </w:pPr>
      <w:r>
        <w:rPr>
          <w:rFonts w:ascii="Times New Roman" w:hAnsi="Times New Roman" w:cs="Times New Roman"/>
        </w:rPr>
        <w:t>计划开工后，先将河床底上的石块、杂草等杂物清除干净，再在河道内采用粘性土或砂夹粘土进行填筑，填土外侧堆码两层土袋，土袋间放置两层彩条布。施工单位应根据现场施工条件明确是否进行施工围堰，施工围堰作法由施工单位根据现场实际河道水文条件自行确定。。</w:t>
      </w:r>
    </w:p>
    <w:p w14:paraId="5F31FB1E">
      <w:pPr>
        <w:ind w:firstLine="480"/>
        <w:rPr>
          <w:rFonts w:ascii="Times New Roman" w:hAnsi="Times New Roman" w:cs="Times New Roman"/>
        </w:rPr>
      </w:pPr>
      <w:r>
        <w:rPr>
          <w:rFonts w:ascii="Times New Roman" w:hAnsi="Times New Roman" w:cs="Times New Roman"/>
        </w:rPr>
        <w:t>4、围堰的填筑</w:t>
      </w:r>
    </w:p>
    <w:p w14:paraId="28A61F60">
      <w:pPr>
        <w:ind w:firstLine="480"/>
        <w:rPr>
          <w:rFonts w:ascii="Times New Roman" w:hAnsi="Times New Roman" w:cs="Times New Roman"/>
        </w:rPr>
      </w:pPr>
      <w:r>
        <w:rPr>
          <w:rFonts w:ascii="Times New Roman" w:hAnsi="Times New Roman" w:cs="Times New Roman"/>
        </w:rPr>
        <w:t>先进行上游围堰的填筑，然后进行纵向围堰填筑，最后进行下游围堰填筑。 采用挖掘机翻运料至围堰工作面，水上部分分层填筑，分层碾压，两侧坡面按设计坡度进行控制，水下部分堰体的两侧坡比按水中粘土自然堆坡，坡面用砂袋进行护面，堰中1m宽区域采用黄土压实夯填至堰面。</w:t>
      </w:r>
    </w:p>
    <w:p w14:paraId="07B3997D">
      <w:pPr>
        <w:ind w:firstLine="480"/>
        <w:rPr>
          <w:rFonts w:ascii="Times New Roman" w:hAnsi="Times New Roman" w:cs="Times New Roman"/>
        </w:rPr>
      </w:pPr>
      <w:r>
        <w:rPr>
          <w:rFonts w:ascii="Times New Roman" w:hAnsi="Times New Roman" w:cs="Times New Roman"/>
        </w:rPr>
        <w:t>5、降排水施工</w:t>
      </w:r>
    </w:p>
    <w:p w14:paraId="7F66371C">
      <w:pPr>
        <w:ind w:firstLine="480"/>
        <w:rPr>
          <w:rFonts w:ascii="Times New Roman" w:hAnsi="Times New Roman" w:cs="Times New Roman"/>
        </w:rPr>
      </w:pPr>
      <w:r>
        <w:rPr>
          <w:rFonts w:ascii="Times New Roman" w:hAnsi="Times New Roman" w:cs="Times New Roman"/>
        </w:rPr>
        <w:t>由于该段河床底部为密～中密卵石，渗水系数较大，地基渗水较大，采用明沟积水结合水泵抽水方法抽出沟槽积水方法，采用沿线两侧双沟点排水，并视实际情况相应增减潜水泵数量。</w:t>
      </w:r>
    </w:p>
    <w:p w14:paraId="0A225600">
      <w:pPr>
        <w:pStyle w:val="4"/>
        <w:rPr>
          <w:rFonts w:ascii="Times New Roman" w:hAnsi="Times New Roman" w:cs="Times New Roman"/>
        </w:rPr>
      </w:pPr>
      <w:bookmarkStart w:id="85" w:name="_Toc23838"/>
      <w:r>
        <w:rPr>
          <w:rFonts w:ascii="Times New Roman" w:hAnsi="Times New Roman" w:cs="Times New Roman"/>
        </w:rPr>
        <w:t>围堰施工标准</w:t>
      </w:r>
      <w:bookmarkEnd w:id="85"/>
    </w:p>
    <w:p w14:paraId="2173E076">
      <w:pPr>
        <w:pStyle w:val="38"/>
        <w:numPr>
          <w:ilvl w:val="0"/>
          <w:numId w:val="7"/>
        </w:numPr>
        <w:ind w:firstLineChars="0"/>
        <w:rPr>
          <w:rFonts w:ascii="Times New Roman" w:hAnsi="Times New Roman" w:cs="Times New Roman"/>
        </w:rPr>
      </w:pPr>
      <w:r>
        <w:rPr>
          <w:rFonts w:ascii="Times New Roman" w:hAnsi="Times New Roman" w:cs="Times New Roman"/>
        </w:rPr>
        <w:t>围堰高度为施工期间可能出现的最高水位（含浪高）+0.7米；</w:t>
      </w:r>
    </w:p>
    <w:p w14:paraId="2C1E27B2">
      <w:pPr>
        <w:pStyle w:val="38"/>
        <w:numPr>
          <w:ilvl w:val="0"/>
          <w:numId w:val="7"/>
        </w:numPr>
        <w:ind w:firstLineChars="0"/>
        <w:rPr>
          <w:rFonts w:ascii="Times New Roman" w:hAnsi="Times New Roman" w:cs="Times New Roman"/>
        </w:rPr>
      </w:pPr>
      <w:r>
        <w:rPr>
          <w:rFonts w:ascii="Times New Roman" w:hAnsi="Times New Roman" w:cs="Times New Roman"/>
        </w:rPr>
        <w:t>围堰内平面尺寸满足施工的需要；</w:t>
      </w:r>
    </w:p>
    <w:p w14:paraId="1CE1E7A8">
      <w:pPr>
        <w:pStyle w:val="38"/>
        <w:numPr>
          <w:ilvl w:val="0"/>
          <w:numId w:val="7"/>
        </w:numPr>
        <w:ind w:firstLineChars="0"/>
        <w:rPr>
          <w:rFonts w:ascii="Times New Roman" w:hAnsi="Times New Roman" w:cs="Times New Roman"/>
        </w:rPr>
      </w:pPr>
      <w:r>
        <w:rPr>
          <w:rFonts w:ascii="Times New Roman" w:hAnsi="Times New Roman" w:cs="Times New Roman"/>
        </w:rPr>
        <w:t>围堰逐层压实，满足施工过程中承载力要求；</w:t>
      </w:r>
    </w:p>
    <w:p w14:paraId="7C3A0AD2">
      <w:pPr>
        <w:pStyle w:val="38"/>
        <w:numPr>
          <w:ilvl w:val="0"/>
          <w:numId w:val="7"/>
        </w:numPr>
        <w:ind w:firstLineChars="0"/>
        <w:rPr>
          <w:rFonts w:ascii="Times New Roman" w:hAnsi="Times New Roman" w:cs="Times New Roman"/>
        </w:rPr>
      </w:pPr>
      <w:r>
        <w:rPr>
          <w:rFonts w:ascii="Times New Roman" w:hAnsi="Times New Roman" w:cs="Times New Roman"/>
        </w:rPr>
        <w:t>围堰防水严密，减少渗漏；</w:t>
      </w:r>
    </w:p>
    <w:p w14:paraId="217AB0AD">
      <w:pPr>
        <w:pStyle w:val="38"/>
        <w:numPr>
          <w:ilvl w:val="0"/>
          <w:numId w:val="7"/>
        </w:numPr>
        <w:ind w:firstLineChars="0"/>
        <w:rPr>
          <w:rFonts w:ascii="Times New Roman" w:hAnsi="Times New Roman" w:cs="Times New Roman"/>
        </w:rPr>
      </w:pPr>
      <w:r>
        <w:rPr>
          <w:rFonts w:ascii="Times New Roman" w:hAnsi="Times New Roman" w:cs="Times New Roman"/>
        </w:rPr>
        <w:t>在筑围堰之前，将堰底下河床底上淤泥杂物清理干净；</w:t>
      </w:r>
    </w:p>
    <w:p w14:paraId="02CD4786">
      <w:pPr>
        <w:pStyle w:val="38"/>
        <w:numPr>
          <w:ilvl w:val="0"/>
          <w:numId w:val="7"/>
        </w:numPr>
        <w:ind w:firstLineChars="0"/>
        <w:rPr>
          <w:rFonts w:ascii="Times New Roman" w:hAnsi="Times New Roman" w:cs="Times New Roman"/>
        </w:rPr>
      </w:pPr>
      <w:r>
        <w:rPr>
          <w:rFonts w:ascii="Times New Roman" w:hAnsi="Times New Roman" w:cs="Times New Roman"/>
        </w:rPr>
        <w:t>因筑围堰引起流速增大使堰外坡面受冲刷时，在外坡面用土袋或土工织物等加以防护；</w:t>
      </w:r>
    </w:p>
    <w:p w14:paraId="70A76593">
      <w:pPr>
        <w:pStyle w:val="38"/>
        <w:numPr>
          <w:ilvl w:val="0"/>
          <w:numId w:val="7"/>
        </w:numPr>
        <w:ind w:firstLineChars="0"/>
        <w:rPr>
          <w:rFonts w:ascii="Times New Roman" w:hAnsi="Times New Roman" w:cs="Times New Roman"/>
        </w:rPr>
      </w:pPr>
      <w:r>
        <w:rPr>
          <w:rFonts w:ascii="Times New Roman" w:hAnsi="Times New Roman" w:cs="Times New Roman"/>
        </w:rPr>
        <w:t>堆码的土袋的上下层和内外层相互错缝，尽量堆码密实平整。</w:t>
      </w:r>
    </w:p>
    <w:p w14:paraId="24944D1A">
      <w:pPr>
        <w:pStyle w:val="4"/>
        <w:rPr>
          <w:rFonts w:ascii="Times New Roman" w:hAnsi="Times New Roman" w:cs="Times New Roman"/>
        </w:rPr>
      </w:pPr>
      <w:bookmarkStart w:id="86" w:name="_Toc10427"/>
      <w:r>
        <w:rPr>
          <w:rFonts w:ascii="Times New Roman" w:hAnsi="Times New Roman" w:cs="Times New Roman"/>
        </w:rPr>
        <w:t>围堰施工注意事项</w:t>
      </w:r>
      <w:bookmarkEnd w:id="86"/>
    </w:p>
    <w:p w14:paraId="25503988">
      <w:pPr>
        <w:pStyle w:val="38"/>
        <w:numPr>
          <w:ilvl w:val="0"/>
          <w:numId w:val="7"/>
        </w:numPr>
        <w:ind w:firstLineChars="0"/>
        <w:rPr>
          <w:rFonts w:ascii="Times New Roman" w:hAnsi="Times New Roman" w:cs="Times New Roman"/>
        </w:rPr>
      </w:pPr>
      <w:r>
        <w:rPr>
          <w:rFonts w:ascii="Times New Roman" w:hAnsi="Times New Roman" w:cs="Times New Roman"/>
        </w:rPr>
        <w:t>图纸在施工前需先进行稳定性计算，经监理复核并报业主批准，最终过河管道施工专项方案经过专家及相关主管部门审查同意后才能施工。</w:t>
      </w:r>
    </w:p>
    <w:p w14:paraId="07CB73E8">
      <w:pPr>
        <w:pStyle w:val="38"/>
        <w:numPr>
          <w:ilvl w:val="0"/>
          <w:numId w:val="7"/>
        </w:numPr>
        <w:ind w:firstLineChars="0"/>
        <w:rPr>
          <w:rFonts w:ascii="Times New Roman" w:hAnsi="Times New Roman" w:cs="Times New Roman"/>
        </w:rPr>
      </w:pPr>
      <w:r>
        <w:rPr>
          <w:rFonts w:ascii="Times New Roman" w:hAnsi="Times New Roman" w:cs="Times New Roman"/>
        </w:rPr>
        <w:t>由于河床面起伏不平，河水面易受雨季以及上游水库的影响，施工单位在施工前需要对河床以及河水面标高进行核查确认，管道施工时宜优先选择在旱季河水位较低时施工。</w:t>
      </w:r>
    </w:p>
    <w:p w14:paraId="2FF51048">
      <w:pPr>
        <w:pStyle w:val="38"/>
        <w:numPr>
          <w:ilvl w:val="0"/>
          <w:numId w:val="7"/>
        </w:numPr>
        <w:ind w:firstLineChars="0"/>
        <w:rPr>
          <w:rFonts w:ascii="Times New Roman" w:hAnsi="Times New Roman" w:cs="Times New Roman"/>
        </w:rPr>
      </w:pPr>
      <w:r>
        <w:rPr>
          <w:rFonts w:ascii="Times New Roman" w:hAnsi="Times New Roman" w:cs="Times New Roman"/>
        </w:rPr>
        <w:t>图中管道施工部分详见工艺设计图纸。</w:t>
      </w:r>
    </w:p>
    <w:p w14:paraId="01B85E11">
      <w:pPr>
        <w:pStyle w:val="3"/>
        <w:rPr>
          <w:rFonts w:ascii="Times New Roman" w:hAnsi="Times New Roman" w:cs="Times New Roman"/>
        </w:rPr>
      </w:pPr>
      <w:bookmarkStart w:id="87" w:name="_Toc27405"/>
      <w:r>
        <w:rPr>
          <w:rFonts w:ascii="Times New Roman" w:hAnsi="Times New Roman" w:cs="Times New Roman"/>
        </w:rPr>
        <w:t>关于设计图纸的说明</w:t>
      </w:r>
      <w:bookmarkEnd w:id="87"/>
    </w:p>
    <w:p w14:paraId="47BA1B68">
      <w:pPr>
        <w:ind w:firstLine="480"/>
        <w:rPr>
          <w:rFonts w:ascii="Times New Roman" w:hAnsi="Times New Roman" w:cs="Times New Roman"/>
        </w:rPr>
      </w:pPr>
      <w:r>
        <w:rPr>
          <w:rFonts w:ascii="Times New Roman" w:hAnsi="Times New Roman" w:cs="Times New Roman"/>
        </w:rPr>
        <w:t>1、图中尺寸单位除注明外，桩号、标高、坐标、距离均以m计，管道口径以mm计。</w:t>
      </w:r>
    </w:p>
    <w:p w14:paraId="22D6E94D">
      <w:pPr>
        <w:ind w:firstLine="480"/>
        <w:rPr>
          <w:rFonts w:ascii="Times New Roman" w:hAnsi="Times New Roman" w:cs="Times New Roman"/>
        </w:rPr>
      </w:pPr>
      <w:r>
        <w:rPr>
          <w:rFonts w:ascii="Times New Roman" w:hAnsi="Times New Roman" w:cs="Times New Roman"/>
        </w:rPr>
        <w:t>2、图中设计采用2000国家大地坐标系，高程采用1985国家高程基准。本套图纸应与结构专业图纸及地勘报告一起使用。排水管渠定位、尺寸及高程均应核对准确无误后方可施工。所有图纸施工时均应以所标注尺寸为准。</w:t>
      </w:r>
    </w:p>
    <w:p w14:paraId="63F404EA">
      <w:pPr>
        <w:ind w:firstLine="480"/>
        <w:rPr>
          <w:rFonts w:ascii="Times New Roman" w:hAnsi="Times New Roman" w:cs="Times New Roman"/>
        </w:rPr>
      </w:pPr>
      <w:r>
        <w:rPr>
          <w:rFonts w:ascii="Times New Roman" w:hAnsi="Times New Roman" w:cs="Times New Roman"/>
        </w:rPr>
        <w:t>3、管线图中，管道所注桩号为管道中心线桩号。</w:t>
      </w:r>
      <w:r>
        <w:rPr>
          <w:rFonts w:ascii="Times New Roman" w:hAnsi="Times New Roman" w:cs="Times New Roman"/>
        </w:rPr>
        <w:tab/>
      </w:r>
      <w:r>
        <w:rPr>
          <w:rFonts w:ascii="Times New Roman" w:hAnsi="Times New Roman" w:cs="Times New Roman"/>
        </w:rPr>
        <w:t>管线代号：W代表污水管；Y代表雨水管。</w:t>
      </w:r>
    </w:p>
    <w:p w14:paraId="1974F3E6">
      <w:pPr>
        <w:ind w:firstLine="480"/>
        <w:rPr>
          <w:rFonts w:ascii="Times New Roman" w:hAnsi="Times New Roman" w:cs="Times New Roman"/>
        </w:rPr>
      </w:pPr>
      <w:r>
        <w:rPr>
          <w:rFonts w:ascii="Times New Roman" w:hAnsi="Times New Roman" w:cs="Times New Roman"/>
        </w:rPr>
        <w:t>4、管线主要采用开挖直埋管道的施工方式，局部采用非开挖施工方式（机械顶管）。</w:t>
      </w:r>
    </w:p>
    <w:p w14:paraId="0AC28AA5">
      <w:pPr>
        <w:ind w:firstLine="480"/>
        <w:rPr>
          <w:rFonts w:ascii="Times New Roman" w:hAnsi="Times New Roman" w:cs="Times New Roman"/>
        </w:rPr>
      </w:pPr>
      <w:r>
        <w:rPr>
          <w:rFonts w:ascii="Times New Roman" w:hAnsi="Times New Roman" w:cs="Times New Roman"/>
        </w:rPr>
        <w:t>5、道路下各类井人孔井盖顶面标高应与道路地面齐平；位于绿化带上井人孔井盖顶面标高高于绿化带20cm。</w:t>
      </w:r>
    </w:p>
    <w:p w14:paraId="704847A9">
      <w:pPr>
        <w:ind w:firstLine="480"/>
        <w:rPr>
          <w:rFonts w:ascii="Times New Roman" w:hAnsi="Times New Roman" w:cs="Times New Roman"/>
        </w:rPr>
      </w:pPr>
      <w:r>
        <w:rPr>
          <w:rFonts w:ascii="Times New Roman" w:hAnsi="Times New Roman" w:cs="Times New Roman"/>
        </w:rPr>
        <w:t>6、工程开挖及施工所需要拆除的道路、人行道铺装、广场铺装、绿化、排水沟、排水箱涵、管线等应在施工完成后原状恢复，工程量应以实际收方为准。</w:t>
      </w:r>
    </w:p>
    <w:p w14:paraId="154755BF">
      <w:pPr>
        <w:ind w:firstLine="480"/>
        <w:rPr>
          <w:rFonts w:ascii="Times New Roman" w:hAnsi="Times New Roman" w:cs="Times New Roman"/>
        </w:rPr>
      </w:pPr>
      <w:r>
        <w:rPr>
          <w:rFonts w:ascii="Times New Roman" w:hAnsi="Times New Roman" w:cs="Times New Roman"/>
        </w:rPr>
        <w:t>7、污水管道、合流管道和生活给水管道相交时，应敷设在生活给水管道的下面或采取防护措施，相关措施由给水工程设计单位根据给水管布置实际情况设置。</w:t>
      </w:r>
    </w:p>
    <w:p w14:paraId="628504D0">
      <w:pPr>
        <w:ind w:firstLine="480"/>
        <w:rPr>
          <w:rFonts w:ascii="Times New Roman" w:hAnsi="Times New Roman" w:cs="Times New Roman"/>
        </w:rPr>
      </w:pPr>
      <w:r>
        <w:rPr>
          <w:rFonts w:ascii="Times New Roman" w:hAnsi="Times New Roman" w:cs="Times New Roman"/>
        </w:rPr>
        <w:t>8、施工前应仔细阅读各专业设计图，做好施工组织设计。注意管渠沿线各管线交叉关系和标高控制，如遇不同管线交叉矛盾时，应按照易弯曲管线让不易弯曲管线、压力管线让重力管线、小口径管线让大口径管线、柔性结构管线让刚性结构管线的原则进行调整。构筑物及管道施工一般应按先地下后地上、先深后浅的原则进行。</w:t>
      </w:r>
    </w:p>
    <w:p w14:paraId="05433354">
      <w:pPr>
        <w:ind w:firstLine="480"/>
        <w:rPr>
          <w:rFonts w:ascii="Times New Roman" w:hAnsi="Times New Roman" w:cs="Times New Roman"/>
        </w:rPr>
      </w:pPr>
      <w:r>
        <w:rPr>
          <w:rFonts w:ascii="Times New Roman" w:hAnsi="Times New Roman" w:cs="Times New Roman"/>
        </w:rPr>
        <w:t>9、因本工程主要在已建城区道路开挖敷设管道，而设计时缺乏完善的地下管线物探资料，为确保管线铺设施工的精度、安全、可靠，施工前施工单位应根据现有的资料结合现场情况进行摸排、复测、复核，如工程施工设计图注明的现状标高要求、地层资料、地下管线及障碍物分布物探资料、施工场地限制、既有构筑物等，经核实满足施工后方可施工，否则应通知业主、监理、设计等单位协商处理，避免破坏现状管线（给水、电力、通信、燃气、国防光缆等）造成损失。施工单位应根据《给水排水管道工程施工及验收规范》（GB50268-2008）、《市政工程施工组织设计规范》（GB/T50903-2013）的技术要求编制施工组织设计方案，经过监理、设计、建设单位批准后按方案执行。现状道路段管道施工应做好临时交通组织设计，对应施工组织设计方案还应征得交警部门批准。</w:t>
      </w:r>
    </w:p>
    <w:p w14:paraId="10A7CAAA">
      <w:pPr>
        <w:ind w:firstLine="480"/>
        <w:rPr>
          <w:rFonts w:ascii="Times New Roman" w:hAnsi="Times New Roman" w:cs="Times New Roman"/>
        </w:rPr>
      </w:pPr>
      <w:r>
        <w:rPr>
          <w:rFonts w:ascii="Times New Roman" w:hAnsi="Times New Roman" w:cs="Times New Roman"/>
        </w:rPr>
        <w:t>10、</w:t>
      </w:r>
      <w:r>
        <w:rPr>
          <w:rFonts w:ascii="Times New Roman" w:hAnsi="Times New Roman" w:cs="Times New Roman"/>
        </w:rPr>
        <w:tab/>
      </w:r>
      <w:r>
        <w:rPr>
          <w:rFonts w:ascii="Times New Roman" w:hAnsi="Times New Roman" w:cs="Times New Roman"/>
        </w:rPr>
        <w:t>架空（露天）管道应设置空气阀，采取保证管道整体稳定和防止攀爬等措施，并应设置警示标识。作业人员进入套管、箱涵或阀门井前，应进行异常情况（如甲烷、硫化氢等有毒有害气体）检验和消除；作业时，应采取保护作业人员安全的措施。</w:t>
      </w:r>
    </w:p>
    <w:p w14:paraId="4AECB27B">
      <w:pPr>
        <w:pStyle w:val="3"/>
        <w:rPr>
          <w:rFonts w:ascii="Times New Roman" w:hAnsi="Times New Roman" w:cs="Times New Roman"/>
        </w:rPr>
      </w:pPr>
      <w:bookmarkStart w:id="88" w:name="_Toc17675"/>
      <w:r>
        <w:rPr>
          <w:rFonts w:ascii="Times New Roman" w:hAnsi="Times New Roman" w:cs="Times New Roman"/>
        </w:rPr>
        <w:t>危险性较大的分部分项工程</w:t>
      </w:r>
      <w:bookmarkEnd w:id="88"/>
    </w:p>
    <w:p w14:paraId="334188CF">
      <w:pPr>
        <w:ind w:firstLine="480"/>
        <w:rPr>
          <w:rFonts w:ascii="Times New Roman" w:hAnsi="Times New Roman" w:cs="Times New Roman"/>
        </w:rPr>
      </w:pPr>
      <w:r>
        <w:rPr>
          <w:rFonts w:ascii="Times New Roman" w:hAnsi="Times New Roman" w:cs="Times New Roman"/>
        </w:rPr>
        <w:t>本工程存在基坑工程开挖深度超过3m，同时存在地质条件和周边环境复杂的基坑（槽）开挖、支护、降水工程；起重吊装及安装拆卸工程为采用起重机械进行安装的工程。属于超过一定规模的危险性较大的分部分项工程，为保障工程周边环境和工程施工安全，在危大工程施工前组织编制专项施工方案。此外，还需严格遵循《市政工程施工组织设计规范》、《城镇排水管道维护安全技术规程》、《城镇排水管渠与泵站运行、维护及安全技术规程》以及国家现行相关法律法规、标准的规定。设计单位的其他有关保障工程周边环境安全和工程施工安全的意见详见结构专业设计说明。</w:t>
      </w:r>
    </w:p>
    <w:p w14:paraId="65A6AB3A">
      <w:pPr>
        <w:ind w:firstLine="480"/>
        <w:rPr>
          <w:rFonts w:ascii="Times New Roman" w:hAnsi="Times New Roman" w:cs="Times New Roman"/>
        </w:rPr>
      </w:pPr>
      <w:r>
        <w:rPr>
          <w:rFonts w:ascii="Times New Roman" w:hAnsi="Times New Roman" w:cs="Times New Roman"/>
        </w:rPr>
        <w:t>其余未尽事宜，请参照《危险性较大的分部分项工程安全管理规定》（住建部〔2018〕37号令）、《危险性较大的分部分项工程安全管理规定》有关问题的通知（建办质〔2018〕31号文）执行。</w:t>
      </w:r>
    </w:p>
    <w:p w14:paraId="68D2BD28">
      <w:pPr>
        <w:pStyle w:val="3"/>
        <w:rPr>
          <w:rFonts w:ascii="Times New Roman" w:hAnsi="Times New Roman" w:cs="Times New Roman"/>
        </w:rPr>
      </w:pPr>
      <w:bookmarkStart w:id="89" w:name="_Toc25317"/>
      <w:r>
        <w:rPr>
          <w:rFonts w:ascii="Times New Roman" w:hAnsi="Times New Roman" w:cs="Times New Roman"/>
        </w:rPr>
        <w:t>施工特别注意事项及质量验收要求</w:t>
      </w:r>
      <w:bookmarkEnd w:id="89"/>
    </w:p>
    <w:p w14:paraId="362603AC">
      <w:pPr>
        <w:pStyle w:val="4"/>
        <w:rPr>
          <w:rFonts w:ascii="Times New Roman" w:hAnsi="Times New Roman" w:cs="Times New Roman"/>
        </w:rPr>
      </w:pPr>
      <w:bookmarkStart w:id="90" w:name="_Toc6602"/>
      <w:r>
        <w:rPr>
          <w:rFonts w:ascii="Times New Roman" w:hAnsi="Times New Roman" w:cs="Times New Roman"/>
        </w:rPr>
        <w:t>施工特别注意事项</w:t>
      </w:r>
      <w:bookmarkEnd w:id="90"/>
    </w:p>
    <w:p w14:paraId="7580BE3C">
      <w:pPr>
        <w:ind w:firstLine="480"/>
        <w:rPr>
          <w:rFonts w:ascii="Times New Roman" w:hAnsi="Times New Roman" w:cs="Times New Roman"/>
        </w:rPr>
      </w:pPr>
      <w:r>
        <w:rPr>
          <w:rFonts w:ascii="Times New Roman" w:hAnsi="Times New Roman" w:cs="Times New Roman"/>
        </w:rPr>
        <w:t>1、管线施工前，必须实地仔细排查本次工程沿线相关地下、地上管线资料，核实管线工程及影响范围内交叉管道的位置和标高，并确认与本工程管道不发生冲突后，方可按照设计图纸进行施工。如发现现有管线的实际敷设情况与本设计图纸中管道有冲突，应及时通知业主、监理和设计单位，以便于及时进行设计方案的调整。</w:t>
      </w:r>
    </w:p>
    <w:p w14:paraId="476878E8">
      <w:pPr>
        <w:ind w:firstLine="480"/>
        <w:rPr>
          <w:rFonts w:ascii="Times New Roman" w:hAnsi="Times New Roman" w:cs="Times New Roman"/>
        </w:rPr>
      </w:pPr>
      <w:r>
        <w:rPr>
          <w:rFonts w:ascii="Times New Roman" w:hAnsi="Times New Roman" w:cs="Times New Roman"/>
        </w:rPr>
        <w:t>2、如管渠线路中与煤气、天然气、给水、排水管线或者重要电力电缆、通讯光缆和国防军用电缆、通信等交叉和相遇处，必须与相关管理部门取得联系，协调商量施工方案，取得有关部门的同意意见后方可施工。特别是与现状给水、排水、电力、通信等管线交叉，施工时必须完备相关手续并取得最终管线位置口径资料后方可施工，各类管线实施均应手续完善；管线施工需请管线所有单位现场配合，做好管线交底和衔接工作。</w:t>
      </w:r>
    </w:p>
    <w:p w14:paraId="02B6CCBD">
      <w:pPr>
        <w:ind w:firstLine="482"/>
        <w:rPr>
          <w:rFonts w:ascii="Times New Roman" w:hAnsi="Times New Roman" w:cs="Times New Roman"/>
          <w:b/>
          <w:bCs/>
        </w:rPr>
      </w:pPr>
      <w:r>
        <w:rPr>
          <w:rFonts w:ascii="Times New Roman" w:hAnsi="Times New Roman" w:cs="Times New Roman"/>
          <w:b/>
          <w:bCs/>
        </w:rPr>
        <w:t>目前已知污水W02管道沿线北面有国防光缆，在开挖沟槽前一起会同有关部门现场走线确保避开国防光缆，施工方案得到批准后方能开挖施工。</w:t>
      </w:r>
    </w:p>
    <w:p w14:paraId="0DD52D95">
      <w:pPr>
        <w:ind w:firstLine="482"/>
        <w:rPr>
          <w:rFonts w:ascii="Times New Roman" w:hAnsi="Times New Roman" w:cs="Times New Roman"/>
          <w:b/>
          <w:bCs/>
        </w:rPr>
      </w:pPr>
      <w:r>
        <w:rPr>
          <w:rFonts w:ascii="Times New Roman" w:hAnsi="Times New Roman" w:cs="Times New Roman"/>
          <w:b/>
          <w:bCs/>
        </w:rPr>
        <w:t>目前污水W03管线道路从北往南只建设有一半，还有一半道路未建设，排污管开挖时涉及到租用村民的道路土地，排污管开挖前会同相关部门现场落实租地的相关手续。</w:t>
      </w:r>
    </w:p>
    <w:p w14:paraId="329EF3F4">
      <w:pPr>
        <w:ind w:firstLine="480"/>
        <w:rPr>
          <w:rFonts w:ascii="Times New Roman" w:hAnsi="Times New Roman" w:cs="Times New Roman"/>
        </w:rPr>
      </w:pPr>
      <w:r>
        <w:rPr>
          <w:rFonts w:ascii="Times New Roman" w:hAnsi="Times New Roman" w:cs="Times New Roman"/>
        </w:rPr>
        <w:t>3、由于本工程未进行完整的地下管线物探，且工程场地存在一定不准确性和新变化，施工方案需事先摸排周边地下管线实际情况，据实调整。</w:t>
      </w:r>
    </w:p>
    <w:p w14:paraId="02D15575">
      <w:pPr>
        <w:ind w:firstLine="480"/>
        <w:rPr>
          <w:rFonts w:ascii="Times New Roman" w:hAnsi="Times New Roman" w:cs="Times New Roman"/>
        </w:rPr>
      </w:pPr>
      <w:r>
        <w:rPr>
          <w:rFonts w:ascii="Times New Roman" w:hAnsi="Times New Roman" w:cs="Times New Roman"/>
        </w:rPr>
        <w:t>4、管线沿线与电线杆、房屋等地面设施距离较近时，施工单位应根据现场实际情况采取保护措施并按规定做好各项监测，必须保证其安全，不得对其产生不利影响。如果产生影响，应及时恢复，占用或影响的绿化、城市道路、各类管线等应予以恢复。</w:t>
      </w:r>
    </w:p>
    <w:p w14:paraId="0DCDC9E4">
      <w:pPr>
        <w:ind w:firstLine="480"/>
        <w:rPr>
          <w:rFonts w:ascii="Times New Roman" w:hAnsi="Times New Roman" w:cs="Times New Roman"/>
        </w:rPr>
      </w:pPr>
      <w:r>
        <w:rPr>
          <w:rFonts w:ascii="Times New Roman" w:hAnsi="Times New Roman" w:cs="Times New Roman"/>
        </w:rPr>
        <w:t>5、与本项目设计管道衔接的上下游现状管位置、标高需现场实测核实，如与设计图纸不符导致无法顺接应及时通知业主、监理和设计单位协商解决。</w:t>
      </w:r>
    </w:p>
    <w:p w14:paraId="16659FA6">
      <w:pPr>
        <w:ind w:firstLine="480"/>
        <w:rPr>
          <w:rFonts w:ascii="Times New Roman" w:hAnsi="Times New Roman" w:cs="Times New Roman"/>
        </w:rPr>
      </w:pPr>
      <w:r>
        <w:rPr>
          <w:rFonts w:ascii="Times New Roman" w:hAnsi="Times New Roman" w:cs="Times New Roman"/>
        </w:rPr>
        <w:t>6、进入现状井（含现状渠、箱涵、排水管（雨水管、合流管、污水管））内操作时要注意气体污染物质，如CH</w:t>
      </w:r>
      <w:r>
        <w:rPr>
          <w:rFonts w:ascii="Times New Roman" w:hAnsi="Times New Roman" w:cs="Times New Roman"/>
          <w:vertAlign w:val="subscript"/>
        </w:rPr>
        <w:t>4</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S。对操作工人进行上岗前安全教育；下井操作前，由专人首先检测井池底CH</w:t>
      </w:r>
      <w:r>
        <w:rPr>
          <w:rFonts w:ascii="Times New Roman" w:hAnsi="Times New Roman" w:cs="Times New Roman"/>
          <w:vertAlign w:val="subscript"/>
        </w:rPr>
        <w:t>4</w:t>
      </w:r>
      <w:r>
        <w:rPr>
          <w:rFonts w:ascii="Times New Roman" w:hAnsi="Times New Roman" w:cs="Times New Roman"/>
        </w:rPr>
        <w:t>和H</w:t>
      </w:r>
      <w:r>
        <w:rPr>
          <w:rFonts w:ascii="Times New Roman" w:hAnsi="Times New Roman" w:cs="Times New Roman"/>
          <w:vertAlign w:val="subscript"/>
        </w:rPr>
        <w:t>2</w:t>
      </w:r>
      <w:r>
        <w:rPr>
          <w:rFonts w:ascii="Times New Roman" w:hAnsi="Times New Roman" w:cs="Times New Roman"/>
        </w:rPr>
        <w:t>S含量，符合《城镇排水管道维护安全技术规程》CJJ6-2009相关要求后方可下井作业；戴防毒面具下井，一感不适立即上地面。新井施工时要注意井内通风，预防有毒气体威胁到施工人员的人身健康。当需要进入地下池体维修作业时，必须先用移动式通风设备对池体通风，并检测有害气体含量在允许范围内时才可进入，地下设备检修需佩带安全带。</w:t>
      </w:r>
    </w:p>
    <w:p w14:paraId="19BA526A">
      <w:pPr>
        <w:ind w:firstLine="482"/>
        <w:rPr>
          <w:rFonts w:ascii="Times New Roman" w:hAnsi="Times New Roman" w:cs="Times New Roman"/>
          <w:b/>
          <w:bCs/>
        </w:rPr>
      </w:pPr>
      <w:r>
        <w:rPr>
          <w:rFonts w:ascii="Times New Roman" w:hAnsi="Times New Roman" w:cs="Times New Roman"/>
          <w:b/>
          <w:bCs/>
        </w:rPr>
        <w:t>本项目部分污水管敷设于箱涵内，如污水W0</w:t>
      </w:r>
      <w:r>
        <w:rPr>
          <w:rFonts w:hint="eastAsia" w:ascii="Times New Roman" w:hAnsi="Times New Roman" w:cs="Times New Roman"/>
          <w:b/>
          <w:bCs/>
        </w:rPr>
        <w:t>5</w:t>
      </w:r>
      <w:r>
        <w:rPr>
          <w:rFonts w:ascii="Times New Roman" w:hAnsi="Times New Roman" w:cs="Times New Roman"/>
          <w:b/>
          <w:bCs/>
        </w:rPr>
        <w:t>、污水W07、污水09、污水11等污水管，箱涵内管道敷设、清淤等作业应严格遵守上述要求，并遵循《城镇排水管道维护安全技术规程》CJJ6-2009关于“基本规定”“维护作业”、“井下作业”、“防护设备与用品”、“事故应急救援”的有关规定；遵循《城乡排水工程项目规范》GB55027-2022第2.3条文相关要求，保证施工作业安全。</w:t>
      </w:r>
    </w:p>
    <w:p w14:paraId="2A7DC9C0">
      <w:pPr>
        <w:ind w:firstLine="480"/>
        <w:rPr>
          <w:rFonts w:ascii="Times New Roman" w:hAnsi="Times New Roman" w:cs="Times New Roman"/>
        </w:rPr>
      </w:pPr>
      <w:r>
        <w:rPr>
          <w:rFonts w:ascii="Times New Roman" w:hAnsi="Times New Roman" w:cs="Times New Roman"/>
        </w:rPr>
        <w:t>7、管渠开槽开挖深度超过5.0米时，沟槽施工前应当由施工单位组织召开专家论证会，专项施工方案论证通过后才可施工。</w:t>
      </w:r>
    </w:p>
    <w:p w14:paraId="209BBCF7">
      <w:pPr>
        <w:ind w:firstLine="480"/>
        <w:rPr>
          <w:rFonts w:ascii="Times New Roman" w:hAnsi="Times New Roman" w:cs="Times New Roman"/>
        </w:rPr>
      </w:pPr>
      <w:r>
        <w:rPr>
          <w:rFonts w:ascii="Times New Roman" w:hAnsi="Times New Roman" w:cs="Times New Roman"/>
        </w:rPr>
        <w:t>8、部分管道沿排洪渠或排洪沟内敷设安装，施工要经过水利管理部门和规划部门审核及专项审批，经审批同意后方可进行施工。</w:t>
      </w:r>
    </w:p>
    <w:p w14:paraId="683CAA3C">
      <w:pPr>
        <w:ind w:firstLine="480"/>
        <w:rPr>
          <w:rFonts w:ascii="Times New Roman" w:hAnsi="Times New Roman" w:cs="Times New Roman"/>
        </w:rPr>
      </w:pPr>
      <w:r>
        <w:rPr>
          <w:rFonts w:ascii="Times New Roman" w:hAnsi="Times New Roman" w:cs="Times New Roman"/>
        </w:rPr>
        <w:t>9、管道应分段施工，雨天不施工并做好沟槽降水、排水措施保证干槽施工。基坑两侧顶部禁止堆载。管道安装敷设后，应及时进行水压试验与覆土，若不能及时覆土，应在管道内灌水，以免发生上浮。</w:t>
      </w:r>
    </w:p>
    <w:p w14:paraId="08BBFA34">
      <w:pPr>
        <w:ind w:firstLine="480"/>
        <w:rPr>
          <w:rFonts w:ascii="Times New Roman" w:hAnsi="Times New Roman" w:cs="Times New Roman"/>
        </w:rPr>
      </w:pPr>
      <w:r>
        <w:rPr>
          <w:rFonts w:ascii="Times New Roman" w:hAnsi="Times New Roman" w:cs="Times New Roman"/>
        </w:rPr>
        <w:t>10、工程建设过程中，因各种原因，设计院会发出设计业务联系单或修改图纸，应以后发出的为准，新版本发图后老版本图纸相应作废。</w:t>
      </w:r>
    </w:p>
    <w:p w14:paraId="6F688D79">
      <w:pPr>
        <w:ind w:firstLine="480"/>
        <w:rPr>
          <w:rFonts w:ascii="Times New Roman" w:hAnsi="Times New Roman" w:cs="Times New Roman"/>
        </w:rPr>
      </w:pPr>
      <w:r>
        <w:rPr>
          <w:rFonts w:ascii="Times New Roman" w:hAnsi="Times New Roman" w:cs="Times New Roman"/>
        </w:rPr>
        <w:t>11、本工程的岩土勘察报告、物探报告为施工的基础资料和依据文件，施工单位和监理应认真仔细阅读。施工前须收集施工范围内相关最新地下综合管线资料，如与设计条件不同应及时通知监理、设计、建设单位严禁野蛮施工。</w:t>
      </w:r>
    </w:p>
    <w:p w14:paraId="7DD98C18">
      <w:pPr>
        <w:ind w:firstLine="480"/>
        <w:rPr>
          <w:rFonts w:ascii="Times New Roman" w:hAnsi="Times New Roman" w:cs="Times New Roman"/>
        </w:rPr>
      </w:pPr>
      <w:r>
        <w:rPr>
          <w:rFonts w:ascii="Times New Roman" w:hAnsi="Times New Roman" w:cs="Times New Roman"/>
        </w:rPr>
        <w:t>12、由于建设存在多工种和多子项工程交叉施工。施工前应详细进行组织设计，并做好成品的保护工作。设备安装就位后，应做好标示标牌，明确安全防护要求。若发生设备、管道损坏损伤，应立即修复或更换。施工过程中部分管线实施完成后若遇到重载车辆通过，应有专项保护措施。</w:t>
      </w:r>
    </w:p>
    <w:p w14:paraId="1F2E16CF">
      <w:pPr>
        <w:ind w:firstLine="480"/>
        <w:rPr>
          <w:rFonts w:ascii="Times New Roman" w:hAnsi="Times New Roman" w:cs="Times New Roman"/>
        </w:rPr>
      </w:pPr>
      <w:r>
        <w:rPr>
          <w:rFonts w:ascii="Times New Roman" w:hAnsi="Times New Roman" w:cs="Times New Roman"/>
        </w:rPr>
        <w:t>13、基坑工程（特别是管线下穿桥梁、沿线有房屋、挡墙时）施工前，应由建设方委托具有相应资质的第三方对基坑工程实施现场监测。监测单位应编制监测方案，监测方案需经建设方、设计方、监理方等认可后方可实施。管线沿线与电线杆、房屋、桥梁等地面设施或构筑物距离较近时，施工单位应根据现场实际情况采取保护措施并按规定做好各项监测，必须保证其安全，不得对其产生不利影响。管线下穿桥梁处应严格按照要求执行。施工占用或影响的绿化、城市道路、各类管线等应予以原状恢复。</w:t>
      </w:r>
    </w:p>
    <w:p w14:paraId="10817867">
      <w:pPr>
        <w:ind w:firstLine="480"/>
        <w:rPr>
          <w:rFonts w:ascii="Times New Roman" w:hAnsi="Times New Roman" w:cs="Times New Roman"/>
        </w:rPr>
      </w:pPr>
      <w:r>
        <w:rPr>
          <w:rFonts w:ascii="Times New Roman" w:hAnsi="Times New Roman" w:cs="Times New Roman"/>
        </w:rPr>
        <w:t>14、施工过程中应确保各项措施按照《给水排水管道工程施工及验收规范》（GB50268-2008）的相关要求进行施工准备和各项检验。事先做好施工组织设计，并按照监理、建设方批准的方案进行。</w:t>
      </w:r>
    </w:p>
    <w:p w14:paraId="60DED2BB">
      <w:pPr>
        <w:ind w:firstLine="480"/>
        <w:rPr>
          <w:rFonts w:ascii="Times New Roman" w:hAnsi="Times New Roman" w:cs="Times New Roman"/>
        </w:rPr>
      </w:pPr>
      <w:r>
        <w:rPr>
          <w:rFonts w:ascii="Times New Roman" w:hAnsi="Times New Roman" w:cs="Times New Roman"/>
        </w:rPr>
        <w:t>15、其他未明确事项按照现行国家标准、施工验收规范执行。</w:t>
      </w:r>
    </w:p>
    <w:p w14:paraId="69148BC7">
      <w:pPr>
        <w:pStyle w:val="4"/>
        <w:rPr>
          <w:rFonts w:ascii="Times New Roman" w:hAnsi="Times New Roman" w:cs="Times New Roman"/>
        </w:rPr>
      </w:pPr>
      <w:bookmarkStart w:id="91" w:name="_Toc18417"/>
      <w:r>
        <w:rPr>
          <w:rFonts w:ascii="Times New Roman" w:hAnsi="Times New Roman" w:cs="Times New Roman"/>
        </w:rPr>
        <w:t>施工质量验收要求</w:t>
      </w:r>
      <w:bookmarkEnd w:id="91"/>
    </w:p>
    <w:p w14:paraId="3E29ADF8">
      <w:pPr>
        <w:ind w:firstLine="480"/>
        <w:rPr>
          <w:rFonts w:ascii="Times New Roman" w:hAnsi="Times New Roman" w:cs="Times New Roman"/>
        </w:rPr>
      </w:pPr>
      <w:r>
        <w:rPr>
          <w:rFonts w:ascii="Times New Roman" w:hAnsi="Times New Roman" w:cs="Times New Roman"/>
        </w:rPr>
        <w:t>1、管道工程施工质量验收应严格按照《给水排水管道工程施工及验收规范》（GB50268-2008）的各项要求。</w:t>
      </w:r>
    </w:p>
    <w:p w14:paraId="557618AB">
      <w:pPr>
        <w:ind w:firstLine="480"/>
        <w:rPr>
          <w:rFonts w:ascii="Times New Roman" w:hAnsi="Times New Roman" w:cs="Times New Roman"/>
        </w:rPr>
      </w:pPr>
      <w:r>
        <w:rPr>
          <w:rFonts w:ascii="Times New Roman" w:hAnsi="Times New Roman" w:cs="Times New Roman"/>
        </w:rPr>
        <w:t>2、钢管所有焊缝应作外观检查，检查等级按II级执行。外观质量检测合格后，应及时进行无损探伤检测。</w:t>
      </w:r>
    </w:p>
    <w:p w14:paraId="1AA55FC5">
      <w:pPr>
        <w:ind w:firstLine="480"/>
        <w:rPr>
          <w:rFonts w:ascii="Times New Roman" w:hAnsi="Times New Roman" w:cs="Times New Roman"/>
        </w:rPr>
      </w:pPr>
      <w:r>
        <w:rPr>
          <w:rFonts w:ascii="Times New Roman" w:hAnsi="Times New Roman" w:cs="Times New Roman"/>
        </w:rPr>
        <w:t>采用X射线检测进行无损探伤，对每条焊缝按NB/T47013.2-2015进行X射线检测，检验数量为：总焊缝量10％（按长度计，每条焊缝至少1处检验，环缝至少2处检验），焊缝检测质量分级合格标准不应低于III级。</w:t>
      </w:r>
    </w:p>
    <w:p w14:paraId="4EDAF3E9">
      <w:pPr>
        <w:ind w:firstLine="480"/>
        <w:rPr>
          <w:rFonts w:ascii="Times New Roman" w:hAnsi="Times New Roman" w:cs="Times New Roman"/>
        </w:rPr>
      </w:pPr>
      <w:r>
        <w:rPr>
          <w:rFonts w:ascii="Times New Roman" w:hAnsi="Times New Roman" w:cs="Times New Roman"/>
        </w:rPr>
        <w:t>当受条件限制需改用超声检测时，应征得建设单位的同意。超声检测对每条焊缝按NB/T47013.3-2015进行，检验数量为：检验数量为焊缝总量的20％（按长度计，每条焊缝至少2处，环缝至少4处），焊缝检测质量分级合格标准不应低于II级；</w:t>
      </w:r>
    </w:p>
    <w:p w14:paraId="550BD76D">
      <w:pPr>
        <w:ind w:firstLine="480"/>
        <w:rPr>
          <w:rFonts w:ascii="Times New Roman" w:hAnsi="Times New Roman" w:cs="Times New Roman"/>
        </w:rPr>
      </w:pPr>
      <w:r>
        <w:rPr>
          <w:rFonts w:ascii="Times New Roman" w:hAnsi="Times New Roman" w:cs="Times New Roman"/>
        </w:rPr>
        <w:t>射线检测和超声检测的技术等级应符合《工业金属管道工程施工质量验收规范》GB50184-2011、《现场设备、工业管道焊接工程施工规范》GB50236-2011及《工业金属管道工程施工规范》GB50235-2010等国家现行有关规范、标准的规定，且射线检测不得低于AB级，超声检测不得低于B级。钢管无损伤检测设备要求具有数字信息存储功能，保留检测记录和报告用于归档查验。</w:t>
      </w:r>
    </w:p>
    <w:p w14:paraId="22D23CDA">
      <w:pPr>
        <w:ind w:firstLine="480"/>
        <w:rPr>
          <w:rFonts w:ascii="Times New Roman" w:hAnsi="Times New Roman" w:cs="Times New Roman"/>
        </w:rPr>
      </w:pPr>
      <w:r>
        <w:rPr>
          <w:rFonts w:ascii="Times New Roman" w:hAnsi="Times New Roman" w:cs="Times New Roman"/>
        </w:rPr>
        <w:t>3、重力流雨、污水管道施工完成后应分段进行闭水试验。闭水试验单位应根据《给水排水管道工程施工及验收规范》（GB50268-2008）第9.1条文、第9.3条文等条文的技术要求编制施工组织设计方案，经过监理、设计、建设单位批准后按方案执行。</w:t>
      </w:r>
    </w:p>
    <w:p w14:paraId="44269CF4">
      <w:pPr>
        <w:pStyle w:val="4"/>
        <w:rPr>
          <w:rFonts w:ascii="Times New Roman" w:hAnsi="Times New Roman" w:cs="Times New Roman"/>
        </w:rPr>
      </w:pPr>
      <w:bookmarkStart w:id="92" w:name="_Toc30826"/>
      <w:r>
        <w:rPr>
          <w:rFonts w:ascii="Times New Roman" w:hAnsi="Times New Roman" w:cs="Times New Roman"/>
        </w:rPr>
        <w:t>安全生产与重大危险源</w:t>
      </w:r>
      <w:bookmarkEnd w:id="92"/>
    </w:p>
    <w:p w14:paraId="4FEC3EA3">
      <w:pPr>
        <w:ind w:firstLine="480"/>
        <w:rPr>
          <w:rFonts w:ascii="Times New Roman" w:hAnsi="Times New Roman" w:cs="Times New Roman"/>
        </w:rPr>
      </w:pPr>
      <w:r>
        <w:rPr>
          <w:rFonts w:ascii="Times New Roman" w:hAnsi="Times New Roman" w:cs="Times New Roman"/>
        </w:rPr>
        <w:t>1、安全生产：施工应严格遵守职业卫生与劳动保护的规范要求进行，不应产生人身伤害与危害健康安全的情况，保障人员与工程设备、设施的安全。</w:t>
      </w:r>
    </w:p>
    <w:p w14:paraId="64B2077E">
      <w:pPr>
        <w:ind w:firstLine="480"/>
        <w:rPr>
          <w:rFonts w:ascii="Times New Roman" w:hAnsi="Times New Roman" w:cs="Times New Roman"/>
        </w:rPr>
      </w:pPr>
      <w:r>
        <w:rPr>
          <w:rFonts w:ascii="Times New Roman" w:hAnsi="Times New Roman" w:cs="Times New Roman"/>
        </w:rPr>
        <w:t>2、重大危险源：本工程存在深基坑、涉水施工等重大危险源。</w:t>
      </w:r>
    </w:p>
    <w:p w14:paraId="1DECE33A">
      <w:pPr>
        <w:ind w:firstLine="480"/>
        <w:rPr>
          <w:rFonts w:ascii="Times New Roman" w:hAnsi="Times New Roman" w:cs="Times New Roman"/>
        </w:rPr>
      </w:pPr>
      <w:r>
        <w:rPr>
          <w:rFonts w:ascii="Times New Roman" w:hAnsi="Times New Roman" w:cs="Times New Roman"/>
        </w:rPr>
        <w:t>3、相关安全生产要求：</w:t>
      </w:r>
    </w:p>
    <w:p w14:paraId="5179355C">
      <w:pPr>
        <w:ind w:firstLine="480"/>
        <w:rPr>
          <w:rFonts w:ascii="Times New Roman" w:hAnsi="Times New Roman" w:cs="Times New Roman"/>
        </w:rPr>
      </w:pPr>
      <w:r>
        <w:rPr>
          <w:rFonts w:ascii="Times New Roman" w:hAnsi="Times New Roman" w:cs="Times New Roman"/>
        </w:rPr>
        <w:t>（1）各类检查井、人孔、设备安装孔内应安装防坠网。防坠网承重应不低于300kg，网目小于10cm，由高强度聚乙烯等耐潮防腐材料制成。在施工过程中，须加强用电管理和施工机器的维护保养，避免发生意外人身伤亡。为防止因设备漏电而发生触电事故，按照《漏电保护器安全监察规定》的要求，对所有低压用电设备应装漏电保护器。</w:t>
      </w:r>
    </w:p>
    <w:p w14:paraId="61EF0DCD">
      <w:pPr>
        <w:ind w:firstLine="480"/>
        <w:rPr>
          <w:rFonts w:ascii="Times New Roman" w:hAnsi="Times New Roman" w:cs="Times New Roman"/>
        </w:rPr>
      </w:pPr>
      <w:r>
        <w:rPr>
          <w:rFonts w:ascii="Times New Roman" w:hAnsi="Times New Roman" w:cs="Times New Roman"/>
        </w:rPr>
        <w:t>（2）对施工人员进行防腐蚀、防毒气、防火等安全知识的教育，对从事机械施工、电气操作等特殊人员，必须进行专门的安全技术培训，经考核合格后方准独立操作。</w:t>
      </w:r>
    </w:p>
    <w:p w14:paraId="395D740A">
      <w:pPr>
        <w:ind w:firstLine="480"/>
        <w:rPr>
          <w:rFonts w:ascii="Times New Roman" w:hAnsi="Times New Roman" w:cs="Times New Roman"/>
        </w:rPr>
      </w:pPr>
      <w:r>
        <w:rPr>
          <w:rFonts w:ascii="Times New Roman" w:hAnsi="Times New Roman" w:cs="Times New Roman"/>
        </w:rPr>
        <w:t>（3）防止塌方，管槽及基坑开挖时应按设计边坡施工，并注意采取适当的措施以保证边坡的稳定，并加强边坡沉降和位移监测。</w:t>
      </w:r>
    </w:p>
    <w:p w14:paraId="073372D8">
      <w:pPr>
        <w:ind w:firstLine="480"/>
        <w:rPr>
          <w:rFonts w:ascii="Times New Roman" w:hAnsi="Times New Roman" w:cs="Times New Roman"/>
        </w:rPr>
      </w:pPr>
      <w:r>
        <w:rPr>
          <w:rFonts w:ascii="Times New Roman" w:hAnsi="Times New Roman" w:cs="Times New Roman"/>
        </w:rPr>
        <w:t>（4）施工时应做好交通组织疏导预案，在施工场所周边设置安全围栏，并设安全警示标志（灯），确保行人和交通安全。为防止塌方，管槽开挖时应按设计边坡施工，并注意采取适当的措施以保证边坡的稳定，并加强边坡沉降和位移监测。</w:t>
      </w:r>
    </w:p>
    <w:p w14:paraId="4CC32259">
      <w:pPr>
        <w:ind w:firstLine="480"/>
        <w:rPr>
          <w:rFonts w:ascii="Times New Roman" w:hAnsi="Times New Roman" w:cs="Times New Roman"/>
        </w:rPr>
      </w:pPr>
      <w:r>
        <w:rPr>
          <w:rFonts w:ascii="Times New Roman" w:hAnsi="Times New Roman" w:cs="Times New Roman"/>
        </w:rPr>
        <w:t>（5）涂料等易燃材料应放置在阴凉、通风、干燥的地方，严禁曝晒或接近火源，并远离涂装现场，现场严禁烟火。</w:t>
      </w:r>
    </w:p>
    <w:p w14:paraId="13B44C98">
      <w:pPr>
        <w:ind w:firstLine="480"/>
        <w:rPr>
          <w:rFonts w:ascii="Times New Roman" w:hAnsi="Times New Roman" w:cs="Times New Roman"/>
        </w:rPr>
      </w:pPr>
      <w:r>
        <w:rPr>
          <w:rFonts w:ascii="Times New Roman" w:hAnsi="Times New Roman" w:cs="Times New Roman"/>
        </w:rPr>
        <w:t>（6）在管道内壁进行涂装时，管外必须有保护人员，并配备良好的通风、通气和照明设备。</w:t>
      </w:r>
    </w:p>
    <w:p w14:paraId="490229C0">
      <w:pPr>
        <w:ind w:firstLine="480"/>
        <w:rPr>
          <w:rFonts w:ascii="Times New Roman" w:hAnsi="Times New Roman" w:cs="Times New Roman"/>
        </w:rPr>
      </w:pPr>
      <w:r>
        <w:rPr>
          <w:rFonts w:ascii="Times New Roman" w:hAnsi="Times New Roman" w:cs="Times New Roman"/>
        </w:rPr>
        <w:t>（7）管道进行压力试验和涉水施工时，必须要有可靠的安全技术保证措施，配备相应的闷板、支撑槽钢等，并应报请监理和相应的主管部门批准。</w:t>
      </w:r>
    </w:p>
    <w:p w14:paraId="790D9851">
      <w:pPr>
        <w:ind w:firstLine="480"/>
        <w:rPr>
          <w:rFonts w:ascii="Times New Roman" w:hAnsi="Times New Roman" w:cs="Times New Roman"/>
        </w:rPr>
      </w:pPr>
      <w:r>
        <w:rPr>
          <w:rFonts w:ascii="Times New Roman" w:hAnsi="Times New Roman" w:cs="Times New Roman"/>
        </w:rPr>
        <w:t>（8）供水管理部门应每年对城市给水管网进行检测和评估，并应及时修复或更新病害管道。</w:t>
      </w:r>
    </w:p>
    <w:p w14:paraId="2E8A1A0A">
      <w:pPr>
        <w:ind w:firstLine="480"/>
        <w:rPr>
          <w:rFonts w:ascii="Times New Roman" w:hAnsi="Times New Roman" w:cs="Times New Roman"/>
        </w:rPr>
      </w:pPr>
      <w:r>
        <w:rPr>
          <w:rFonts w:ascii="Times New Roman" w:hAnsi="Times New Roman" w:cs="Times New Roman"/>
        </w:rPr>
        <w:t>（9）本工程构筑物安全等级详见结构总说明。</w:t>
      </w:r>
    </w:p>
    <w:p w14:paraId="31DC474D">
      <w:pPr>
        <w:pStyle w:val="3"/>
        <w:rPr>
          <w:rFonts w:ascii="Times New Roman" w:hAnsi="Times New Roman" w:cs="Times New Roman"/>
        </w:rPr>
      </w:pPr>
      <w:bookmarkStart w:id="93" w:name="_Toc23524"/>
      <w:r>
        <w:rPr>
          <w:rFonts w:ascii="Times New Roman" w:hAnsi="Times New Roman" w:cs="Times New Roman"/>
        </w:rPr>
        <w:t>存在问题与建议</w:t>
      </w:r>
      <w:bookmarkEnd w:id="93"/>
    </w:p>
    <w:p w14:paraId="4CA9E712">
      <w:pPr>
        <w:ind w:firstLine="480"/>
        <w:rPr>
          <w:rFonts w:ascii="Times New Roman" w:hAnsi="Times New Roman" w:cs="Times New Roman"/>
        </w:rPr>
      </w:pPr>
      <w:r>
        <w:rPr>
          <w:rFonts w:ascii="Times New Roman" w:hAnsi="Times New Roman" w:cs="Times New Roman"/>
        </w:rPr>
        <w:t>1、本项目设计污水管W07、污水管W09、污水管W11部分管线沿现状排水箱涵内敷设、污水管W04沿现状排水沟敷设并沿沟两侧设置护管挡墙，上述施工方案须征得当地水利主管部门批准，施工方案经同意后方可施工。</w:t>
      </w:r>
    </w:p>
    <w:p w14:paraId="29677B0B">
      <w:pPr>
        <w:ind w:firstLine="480"/>
        <w:rPr>
          <w:rFonts w:ascii="Times New Roman" w:hAnsi="Times New Roman" w:cs="Times New Roman"/>
        </w:rPr>
      </w:pPr>
      <w:r>
        <w:rPr>
          <w:rFonts w:ascii="Times New Roman" w:hAnsi="Times New Roman" w:cs="Times New Roman"/>
        </w:rPr>
        <w:t>2、本项目设计污水管W04需承接月山路设计污水管道，原月山路污水倒虹管可取消跌水顺接排入本次设计W04截流管道。</w:t>
      </w:r>
    </w:p>
    <w:sectPr>
      <w:type w:val="continuous"/>
      <w:pgSz w:w="23814" w:h="16839" w:orient="landscape"/>
      <w:pgMar w:top="1219" w:right="1219" w:bottom="1219" w:left="1219" w:header="851" w:footer="851" w:gutter="0"/>
      <w:cols w:space="720" w:num="2"/>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tggj">
    <w:altName w:val="Times New Roman"/>
    <w:panose1 w:val="00000000000000000000"/>
    <w:charset w:val="00"/>
    <w:family w:val="roman"/>
    <w:pitch w:val="default"/>
    <w:sig w:usb0="00000000" w:usb1="00000000" w:usb2="00000000" w:usb3="00000000" w:csb0="00000000" w:csb1="00000000"/>
  </w:font>
  <w:font w:name="Arial Unicode MS">
    <w:panose1 w:val="020B0604020202020204"/>
    <w:charset w:val="86"/>
    <w:family w:val="swiss"/>
    <w:pitch w:val="default"/>
    <w:sig w:usb0="FFFFFFFF" w:usb1="E9FFFFFF" w:usb2="0000003F" w:usb3="00000000" w:csb0="603F01FF" w:csb1="FFFF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7697152"/>
    </w:sdtPr>
    <w:sdtEndPr>
      <w:rPr>
        <w:sz w:val="21"/>
        <w:szCs w:val="21"/>
      </w:rPr>
    </w:sdtEndPr>
    <w:sdtContent>
      <w:p w14:paraId="2EF899BE">
        <w:pPr>
          <w:pStyle w:val="19"/>
          <w:ind w:firstLine="0" w:firstLineChars="0"/>
          <w:jc w:val="center"/>
          <w:rPr>
            <w:sz w:val="21"/>
            <w:szCs w:val="21"/>
          </w:rPr>
        </w:pPr>
        <w:r>
          <w:rPr>
            <w:rFonts w:asciiTheme="minorEastAsia" w:hAnsiTheme="minorEastAsia"/>
            <w:sz w:val="21"/>
            <w:szCs w:val="21"/>
          </w:rPr>
          <w:fldChar w:fldCharType="begin"/>
        </w:r>
        <w:r>
          <w:rPr>
            <w:rFonts w:asciiTheme="minorEastAsia" w:hAnsiTheme="minorEastAsia"/>
            <w:sz w:val="21"/>
            <w:szCs w:val="21"/>
          </w:rPr>
          <w:instrText xml:space="preserve">PAGE   \* MERGEFORMAT</w:instrText>
        </w:r>
        <w:r>
          <w:rPr>
            <w:rFonts w:asciiTheme="minorEastAsia" w:hAnsiTheme="minorEastAsia"/>
            <w:sz w:val="21"/>
            <w:szCs w:val="21"/>
          </w:rPr>
          <w:fldChar w:fldCharType="separate"/>
        </w:r>
        <w:r>
          <w:rPr>
            <w:rFonts w:asciiTheme="minorEastAsia" w:hAnsiTheme="minorEastAsia"/>
            <w:sz w:val="21"/>
            <w:szCs w:val="21"/>
            <w:lang w:val="zh-CN"/>
          </w:rPr>
          <w:t>I</w:t>
        </w:r>
        <w:r>
          <w:rPr>
            <w:rFonts w:asciiTheme="minorEastAsia" w:hAnsiTheme="minorEastAsia"/>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9932C">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7BA6C">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4A8AE">
    <w:pPr>
      <w:pStyle w:val="19"/>
      <w:framePr w:wrap="around" w:vAnchor="text" w:hAnchor="margin" w:xAlign="center" w:y="-21"/>
      <w:ind w:firstLine="360"/>
      <w:rPr>
        <w:rStyle w:val="32"/>
      </w:rPr>
    </w:pPr>
    <w:r>
      <w:fldChar w:fldCharType="begin"/>
    </w:r>
    <w:r>
      <w:rPr>
        <w:rStyle w:val="32"/>
      </w:rPr>
      <w:instrText xml:space="preserve">PAGE  </w:instrText>
    </w:r>
    <w:r>
      <w:fldChar w:fldCharType="separate"/>
    </w:r>
    <w:r>
      <w:rPr>
        <w:rStyle w:val="32"/>
      </w:rPr>
      <w:t>13</w:t>
    </w:r>
    <w:r>
      <w:fldChar w:fldCharType="end"/>
    </w:r>
  </w:p>
  <w:p w14:paraId="158939E2">
    <w:pPr>
      <w:ind w:firstLine="48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8F721">
    <w:pPr>
      <w:pStyle w:val="19"/>
      <w:framePr w:wrap="around" w:vAnchor="text" w:hAnchor="margin" w:xAlign="center" w:y="-21"/>
      <w:ind w:firstLine="360"/>
      <w:rPr>
        <w:rStyle w:val="32"/>
      </w:rPr>
    </w:pPr>
    <w:r>
      <w:fldChar w:fldCharType="begin"/>
    </w:r>
    <w:r>
      <w:rPr>
        <w:rStyle w:val="32"/>
      </w:rPr>
      <w:instrText xml:space="preserve">PAGE  </w:instrText>
    </w:r>
    <w:r>
      <w:fldChar w:fldCharType="separate"/>
    </w:r>
    <w:r>
      <w:rPr>
        <w:rStyle w:val="32"/>
      </w:rPr>
      <w:t>6</w:t>
    </w:r>
    <w:r>
      <w:fldChar w:fldCharType="end"/>
    </w:r>
  </w:p>
  <w:p w14:paraId="2D7100E0">
    <w:pPr>
      <w:ind w:firstLine="48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6C632">
    <w:pPr>
      <w:pStyle w:val="20"/>
      <w:pBdr>
        <w:bottom w:val="single" w:color="auto" w:sz="4" w:space="1"/>
      </w:pBdr>
      <w:wordWrap w:val="0"/>
      <w:spacing w:line="240" w:lineRule="auto"/>
      <w:ind w:firstLine="0" w:firstLineChars="0"/>
      <w:jc w:val="right"/>
    </w:pPr>
    <w:r>
      <w:rPr>
        <w:rFonts w:hint="eastAsia"/>
      </w:rPr>
      <w:t xml:space="preserve">宜州城区地下管网改造提升项目(EPC)工程总承包                                                                                                                                                                                         </w:t>
    </w:r>
    <w:r>
      <w:t>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E9A9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01AC7">
    <w:pPr>
      <w:pStyle w:val="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D5A7E">
    <w:pPr>
      <w:pStyle w:val="20"/>
      <w:spacing w:line="240" w:lineRule="auto"/>
      <w:ind w:firstLine="0" w:firstLineChars="0"/>
      <w:jc w:val="right"/>
      <w:rPr>
        <w:sz w:val="24"/>
        <w:szCs w:val="24"/>
      </w:rPr>
    </w:pPr>
    <w:r>
      <w:rPr>
        <w:sz w:val="24"/>
        <w:szCs w:val="24"/>
      </w:rPr>
      <w:t>施工图设计说明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2033A2"/>
    <w:multiLevelType w:val="multilevel"/>
    <w:tmpl w:val="112033A2"/>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214A58C6"/>
    <w:multiLevelType w:val="multilevel"/>
    <w:tmpl w:val="214A58C6"/>
    <w:lvl w:ilvl="0" w:tentative="0">
      <w:start w:val="2"/>
      <w:numFmt w:val="chineseCountingThousand"/>
      <w:pStyle w:val="65"/>
      <w:isLgl/>
      <w:suff w:val="nothing"/>
      <w:lvlText w:val="%1"/>
      <w:lvlJc w:val="left"/>
      <w:pPr>
        <w:ind w:left="0" w:firstLine="0"/>
      </w:pPr>
      <w:rPr>
        <w:rFonts w:hint="eastAsia"/>
        <w:color w:val="FFFFFF" w:themeColor="background1"/>
        <w:spacing w:val="0"/>
        <w:w w:val="100"/>
        <w14:textFill>
          <w14:solidFill>
            <w14:schemeClr w14:val="bg1"/>
          </w14:solidFill>
        </w14:textFill>
      </w:rPr>
    </w:lvl>
    <w:lvl w:ilvl="1" w:tentative="0">
      <w:start w:val="1"/>
      <w:numFmt w:val="decimal"/>
      <w:pStyle w:val="67"/>
      <w:isLgl/>
      <w:suff w:val="nothing"/>
      <w:lvlText w:val="表%1.%2  "/>
      <w:lvlJc w:val="center"/>
      <w:pPr>
        <w:ind w:left="0" w:firstLine="0"/>
      </w:pPr>
      <w:rPr>
        <w:rFonts w:hint="eastAsia"/>
      </w:rPr>
    </w:lvl>
    <w:lvl w:ilvl="2" w:tentative="0">
      <w:start w:val="1"/>
      <w:numFmt w:val="decimal"/>
      <w:isLgl/>
      <w:lvlText w:val="%1.%2.%3"/>
      <w:lvlJc w:val="left"/>
      <w:pPr>
        <w:ind w:left="852" w:firstLine="0"/>
      </w:pPr>
      <w:rPr>
        <w:rFonts w:hint="eastAsia"/>
      </w:rPr>
    </w:lvl>
    <w:lvl w:ilvl="3" w:tentative="0">
      <w:start w:val="1"/>
      <w:numFmt w:val="decimal"/>
      <w:isLgl/>
      <w:lvlText w:val="%1.%2.%3.%4"/>
      <w:lvlJc w:val="left"/>
      <w:pPr>
        <w:ind w:left="0" w:firstLine="0"/>
      </w:pPr>
      <w:rPr>
        <w:rFonts w:hint="eastAsia"/>
      </w:rPr>
    </w:lvl>
    <w:lvl w:ilvl="4" w:tentative="0">
      <w:start w:val="1"/>
      <w:numFmt w:val="decimal"/>
      <w:isLg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Restart w:val="0"/>
      <w:isLg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42B26C9D"/>
    <w:multiLevelType w:val="multilevel"/>
    <w:tmpl w:val="42B26C9D"/>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
    <w:nsid w:val="53E77EC2"/>
    <w:multiLevelType w:val="multilevel"/>
    <w:tmpl w:val="53E77EC2"/>
    <w:lvl w:ilvl="0" w:tentative="0">
      <w:start w:val="2"/>
      <w:numFmt w:val="decimal"/>
      <w:pStyle w:val="63"/>
      <w:suff w:val="nothing"/>
      <w:lvlText w:val="%1"/>
      <w:lvlJc w:val="left"/>
      <w:pPr>
        <w:ind w:left="0" w:firstLine="0"/>
      </w:pPr>
      <w:rPr>
        <w:rFonts w:hint="eastAsia"/>
        <w:color w:val="FFFFFF" w:themeColor="background1"/>
        <w:spacing w:val="0"/>
        <w:w w:val="100"/>
        <w14:textFill>
          <w14:solidFill>
            <w14:schemeClr w14:val="bg1"/>
          </w14:solidFill>
        </w14:textFill>
      </w:rPr>
    </w:lvl>
    <w:lvl w:ilvl="1" w:tentative="0">
      <w:start w:val="1"/>
      <w:numFmt w:val="decimal"/>
      <w:pStyle w:val="61"/>
      <w:isLgl/>
      <w:suff w:val="nothing"/>
      <w:lvlText w:val="图%1.%2  "/>
      <w:lvlJc w:val="center"/>
      <w:pPr>
        <w:ind w:left="0" w:firstLine="0"/>
      </w:pPr>
      <w:rPr>
        <w:rFonts w:hint="default" w:eastAsia="宋体" w:asciiTheme="minorHAnsi" w:hAnsiTheme="minorHAnsi"/>
        <w:b/>
        <w:i w:val="0"/>
        <w:sz w:val="24"/>
      </w:rPr>
    </w:lvl>
    <w:lvl w:ilvl="2" w:tentative="0">
      <w:start w:val="1"/>
      <w:numFmt w:val="decimal"/>
      <w:isLgl/>
      <w:suff w:val="space"/>
      <w:lvlText w:val="%1.%2.%3"/>
      <w:lvlJc w:val="left"/>
      <w:pPr>
        <w:ind w:left="0" w:firstLine="0"/>
      </w:pPr>
      <w:rPr>
        <w:rFonts w:hint="eastAsia"/>
      </w:rPr>
    </w:lvl>
    <w:lvl w:ilvl="3" w:tentative="0">
      <w:start w:val="1"/>
      <w:numFmt w:val="decimal"/>
      <w:isLgl/>
      <w:lvlText w:val="%1.%2.%3.%4"/>
      <w:lvlJc w:val="left"/>
      <w:pPr>
        <w:tabs>
          <w:tab w:val="left" w:pos="567"/>
        </w:tabs>
        <w:ind w:left="0" w:firstLine="0"/>
      </w:pPr>
      <w:rPr>
        <w:rFonts w:hint="eastAsia"/>
      </w:rPr>
    </w:lvl>
    <w:lvl w:ilvl="4" w:tentative="0">
      <w:start w:val="1"/>
      <w:numFmt w:val="decimal"/>
      <w:isLg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
    <w:nsid w:val="6D010A64"/>
    <w:multiLevelType w:val="multilevel"/>
    <w:tmpl w:val="6D010A64"/>
    <w:lvl w:ilvl="0" w:tentative="0">
      <w:start w:val="1"/>
      <w:numFmt w:val="decimal"/>
      <w:pStyle w:val="72"/>
      <w:suff w:val="space"/>
      <w:lvlText w:val="（%1）"/>
      <w:lvlJc w:val="left"/>
      <w:pPr>
        <w:ind w:left="0" w:firstLine="544"/>
      </w:pPr>
      <w:rPr>
        <w:rFonts w:hint="eastAsia"/>
      </w:rPr>
    </w:lvl>
    <w:lvl w:ilvl="1" w:tentative="0">
      <w:start w:val="1"/>
      <w:numFmt w:val="lowerLetter"/>
      <w:pStyle w:val="70"/>
      <w:lvlText w:val="%2)"/>
      <w:lvlJc w:val="left"/>
      <w:pPr>
        <w:ind w:left="840" w:hanging="420"/>
      </w:pPr>
    </w:lvl>
    <w:lvl w:ilvl="2" w:tentative="0">
      <w:start w:val="1"/>
      <w:numFmt w:val="lowerRoman"/>
      <w:pStyle w:val="71"/>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299D068"/>
    <w:multiLevelType w:val="singleLevel"/>
    <w:tmpl w:val="7299D068"/>
    <w:lvl w:ilvl="0" w:tentative="0">
      <w:start w:val="2"/>
      <w:numFmt w:val="decimal"/>
      <w:suff w:val="nothing"/>
      <w:lvlText w:val="%1、"/>
      <w:lvlJc w:val="left"/>
    </w:lvl>
  </w:abstractNum>
  <w:abstractNum w:abstractNumId="6">
    <w:nsid w:val="7D3D6B5A"/>
    <w:multiLevelType w:val="multilevel"/>
    <w:tmpl w:val="7D3D6B5A"/>
    <w:lvl w:ilvl="0" w:tentative="0">
      <w:start w:val="1"/>
      <w:numFmt w:val="chineseCountingThousand"/>
      <w:pStyle w:val="2"/>
      <w:suff w:val="space"/>
      <w:lvlText w:val="第%1章  "/>
      <w:lvlJc w:val="center"/>
      <w:pPr>
        <w:ind w:left="0" w:firstLine="0"/>
      </w:pPr>
      <w:rPr>
        <w:rFonts w:hint="eastAsia"/>
        <w:color w:val="auto"/>
        <w:spacing w:val="0"/>
        <w:w w:val="100"/>
      </w:rPr>
    </w:lvl>
    <w:lvl w:ilvl="1" w:tentative="0">
      <w:start w:val="1"/>
      <w:numFmt w:val="decimal"/>
      <w:pStyle w:val="3"/>
      <w:isLgl/>
      <w:suff w:val="space"/>
      <w:lvlText w:val="%1.%2"/>
      <w:lvlJc w:val="left"/>
      <w:pPr>
        <w:ind w:left="0" w:firstLine="0"/>
      </w:pPr>
      <w:rPr>
        <w:rFonts w:hint="eastAsia"/>
      </w:rPr>
    </w:lvl>
    <w:lvl w:ilvl="2" w:tentative="0">
      <w:start w:val="1"/>
      <w:numFmt w:val="decimal"/>
      <w:pStyle w:val="4"/>
      <w:isLgl/>
      <w:suff w:val="space"/>
      <w:lvlText w:val="%1.%2.%3"/>
      <w:lvlJc w:val="left"/>
      <w:pPr>
        <w:ind w:left="0" w:firstLine="0"/>
      </w:pPr>
      <w:rPr>
        <w:rFonts w:hint="eastAsia"/>
      </w:rPr>
    </w:lvl>
    <w:lvl w:ilvl="3" w:tentative="0">
      <w:start w:val="1"/>
      <w:numFmt w:val="decimal"/>
      <w:pStyle w:val="5"/>
      <w:isLgl/>
      <w:suff w:val="space"/>
      <w:lvlText w:val="%1.%2.%3.%4"/>
      <w:lvlJc w:val="left"/>
      <w:pPr>
        <w:ind w:left="0" w:firstLine="0"/>
      </w:pPr>
      <w:rPr>
        <w:rFonts w:hint="eastAsia"/>
      </w:rPr>
    </w:lvl>
    <w:lvl w:ilvl="4" w:tentative="0">
      <w:start w:val="1"/>
      <w:numFmt w:val="decimal"/>
      <w:pStyle w:val="6"/>
      <w:isLgl/>
      <w:suff w:val="space"/>
      <w:lvlText w:val="%1.%2.%3.%4.%5"/>
      <w:lvlJc w:val="left"/>
      <w:pPr>
        <w:ind w:left="0" w:firstLine="0"/>
      </w:pPr>
      <w:rPr>
        <w:rFonts w:hint="eastAsia"/>
      </w:rPr>
    </w:lvl>
    <w:lvl w:ilvl="5" w:tentative="0">
      <w:start w:val="1"/>
      <w:numFmt w:val="decimal"/>
      <w:pStyle w:val="7"/>
      <w:isLgl/>
      <w:suff w:val="space"/>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Restart w:val="0"/>
      <w:isLg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6"/>
  </w:num>
  <w:num w:numId="2">
    <w:abstractNumId w:val="3"/>
  </w:num>
  <w:num w:numId="3">
    <w:abstractNumId w:val="1"/>
  </w:num>
  <w:num w:numId="4">
    <w:abstractNumId w:val="4"/>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hideSpellingError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nforcement="0"/>
  <w:defaultTabStop w:val="0"/>
  <w:drawingGridHorizontalSpacing w:val="140"/>
  <w:drawingGridVerticalSpacing w:val="38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72F"/>
    <w:rsid w:val="0000261E"/>
    <w:rsid w:val="00002723"/>
    <w:rsid w:val="00004A47"/>
    <w:rsid w:val="00005438"/>
    <w:rsid w:val="00005794"/>
    <w:rsid w:val="00005C5E"/>
    <w:rsid w:val="0000667E"/>
    <w:rsid w:val="00015A6B"/>
    <w:rsid w:val="00016E34"/>
    <w:rsid w:val="00016F79"/>
    <w:rsid w:val="000171B1"/>
    <w:rsid w:val="00017AC0"/>
    <w:rsid w:val="000217D2"/>
    <w:rsid w:val="00021D8D"/>
    <w:rsid w:val="00022627"/>
    <w:rsid w:val="00024566"/>
    <w:rsid w:val="0002506D"/>
    <w:rsid w:val="00026335"/>
    <w:rsid w:val="00026547"/>
    <w:rsid w:val="00030093"/>
    <w:rsid w:val="0003050F"/>
    <w:rsid w:val="00030A76"/>
    <w:rsid w:val="00033F39"/>
    <w:rsid w:val="000379F5"/>
    <w:rsid w:val="00037B55"/>
    <w:rsid w:val="000412D6"/>
    <w:rsid w:val="000434DD"/>
    <w:rsid w:val="00043CC2"/>
    <w:rsid w:val="0004446F"/>
    <w:rsid w:val="0004562C"/>
    <w:rsid w:val="000556DD"/>
    <w:rsid w:val="0005647F"/>
    <w:rsid w:val="00057977"/>
    <w:rsid w:val="00060ED8"/>
    <w:rsid w:val="000612DD"/>
    <w:rsid w:val="000614D0"/>
    <w:rsid w:val="00061676"/>
    <w:rsid w:val="0006173B"/>
    <w:rsid w:val="00062546"/>
    <w:rsid w:val="000626D4"/>
    <w:rsid w:val="00062D65"/>
    <w:rsid w:val="00062F69"/>
    <w:rsid w:val="0006339B"/>
    <w:rsid w:val="00063993"/>
    <w:rsid w:val="00063F8B"/>
    <w:rsid w:val="0006501B"/>
    <w:rsid w:val="00065125"/>
    <w:rsid w:val="000651D8"/>
    <w:rsid w:val="00065525"/>
    <w:rsid w:val="00065E6B"/>
    <w:rsid w:val="00066F81"/>
    <w:rsid w:val="00067060"/>
    <w:rsid w:val="00073B9E"/>
    <w:rsid w:val="00074EE3"/>
    <w:rsid w:val="00075F7C"/>
    <w:rsid w:val="000766A8"/>
    <w:rsid w:val="00076836"/>
    <w:rsid w:val="000769AE"/>
    <w:rsid w:val="00077D41"/>
    <w:rsid w:val="00081223"/>
    <w:rsid w:val="00082864"/>
    <w:rsid w:val="00082A81"/>
    <w:rsid w:val="00083A9F"/>
    <w:rsid w:val="00084ADA"/>
    <w:rsid w:val="000862A3"/>
    <w:rsid w:val="00087D8D"/>
    <w:rsid w:val="0009096A"/>
    <w:rsid w:val="0009166F"/>
    <w:rsid w:val="00091A1D"/>
    <w:rsid w:val="0009329F"/>
    <w:rsid w:val="00096125"/>
    <w:rsid w:val="000965A3"/>
    <w:rsid w:val="00096D49"/>
    <w:rsid w:val="00097D8C"/>
    <w:rsid w:val="000A0532"/>
    <w:rsid w:val="000A1110"/>
    <w:rsid w:val="000A2CBD"/>
    <w:rsid w:val="000A2E9D"/>
    <w:rsid w:val="000A60A8"/>
    <w:rsid w:val="000A6E78"/>
    <w:rsid w:val="000A6F5D"/>
    <w:rsid w:val="000A741A"/>
    <w:rsid w:val="000A7996"/>
    <w:rsid w:val="000B12B9"/>
    <w:rsid w:val="000B20E9"/>
    <w:rsid w:val="000B2532"/>
    <w:rsid w:val="000B2E69"/>
    <w:rsid w:val="000B4DE4"/>
    <w:rsid w:val="000B60DF"/>
    <w:rsid w:val="000C00FA"/>
    <w:rsid w:val="000C122C"/>
    <w:rsid w:val="000C2AEE"/>
    <w:rsid w:val="000C3792"/>
    <w:rsid w:val="000C5A8C"/>
    <w:rsid w:val="000C6521"/>
    <w:rsid w:val="000C76EF"/>
    <w:rsid w:val="000D0EE6"/>
    <w:rsid w:val="000D2E0C"/>
    <w:rsid w:val="000D3E64"/>
    <w:rsid w:val="000D59E2"/>
    <w:rsid w:val="000D7FD9"/>
    <w:rsid w:val="000E1D41"/>
    <w:rsid w:val="000E3532"/>
    <w:rsid w:val="000E7498"/>
    <w:rsid w:val="000E7AF7"/>
    <w:rsid w:val="000F0E09"/>
    <w:rsid w:val="000F3CF0"/>
    <w:rsid w:val="000F3DE3"/>
    <w:rsid w:val="001024FF"/>
    <w:rsid w:val="00102572"/>
    <w:rsid w:val="00102FA8"/>
    <w:rsid w:val="0010478D"/>
    <w:rsid w:val="00104A4E"/>
    <w:rsid w:val="00105FBB"/>
    <w:rsid w:val="00107A7F"/>
    <w:rsid w:val="00107F86"/>
    <w:rsid w:val="0011147C"/>
    <w:rsid w:val="00112373"/>
    <w:rsid w:val="00117831"/>
    <w:rsid w:val="00117E7F"/>
    <w:rsid w:val="00120794"/>
    <w:rsid w:val="00123F5B"/>
    <w:rsid w:val="0012611F"/>
    <w:rsid w:val="001261D4"/>
    <w:rsid w:val="0012792F"/>
    <w:rsid w:val="00127E2D"/>
    <w:rsid w:val="00132BB7"/>
    <w:rsid w:val="00137905"/>
    <w:rsid w:val="00142249"/>
    <w:rsid w:val="00143F2A"/>
    <w:rsid w:val="00144ED3"/>
    <w:rsid w:val="00146304"/>
    <w:rsid w:val="00147045"/>
    <w:rsid w:val="00150168"/>
    <w:rsid w:val="00152C67"/>
    <w:rsid w:val="001533B1"/>
    <w:rsid w:val="0015361E"/>
    <w:rsid w:val="00155628"/>
    <w:rsid w:val="00156CB1"/>
    <w:rsid w:val="0015762C"/>
    <w:rsid w:val="001604E4"/>
    <w:rsid w:val="00160515"/>
    <w:rsid w:val="001608C8"/>
    <w:rsid w:val="0016186B"/>
    <w:rsid w:val="00161E5F"/>
    <w:rsid w:val="00165F07"/>
    <w:rsid w:val="00165FF4"/>
    <w:rsid w:val="00166F02"/>
    <w:rsid w:val="00170ACF"/>
    <w:rsid w:val="00172724"/>
    <w:rsid w:val="001736A9"/>
    <w:rsid w:val="001743DB"/>
    <w:rsid w:val="00177C1A"/>
    <w:rsid w:val="0018050C"/>
    <w:rsid w:val="00180A33"/>
    <w:rsid w:val="0018205E"/>
    <w:rsid w:val="001833C9"/>
    <w:rsid w:val="001864FA"/>
    <w:rsid w:val="00187AFF"/>
    <w:rsid w:val="001921CC"/>
    <w:rsid w:val="00192246"/>
    <w:rsid w:val="001927D0"/>
    <w:rsid w:val="00195013"/>
    <w:rsid w:val="00195284"/>
    <w:rsid w:val="00195B4C"/>
    <w:rsid w:val="00196EC0"/>
    <w:rsid w:val="001A194E"/>
    <w:rsid w:val="001A1B2D"/>
    <w:rsid w:val="001A1E48"/>
    <w:rsid w:val="001A260F"/>
    <w:rsid w:val="001A41D4"/>
    <w:rsid w:val="001A6668"/>
    <w:rsid w:val="001A67EA"/>
    <w:rsid w:val="001A693E"/>
    <w:rsid w:val="001B01D9"/>
    <w:rsid w:val="001B1292"/>
    <w:rsid w:val="001B16F5"/>
    <w:rsid w:val="001B1E9B"/>
    <w:rsid w:val="001B3CAB"/>
    <w:rsid w:val="001C1199"/>
    <w:rsid w:val="001C12B8"/>
    <w:rsid w:val="001C23C9"/>
    <w:rsid w:val="001C31ED"/>
    <w:rsid w:val="001C7DFB"/>
    <w:rsid w:val="001D1384"/>
    <w:rsid w:val="001D3652"/>
    <w:rsid w:val="001D398B"/>
    <w:rsid w:val="001D3AB1"/>
    <w:rsid w:val="001D4699"/>
    <w:rsid w:val="001D4B11"/>
    <w:rsid w:val="001D557A"/>
    <w:rsid w:val="001D6106"/>
    <w:rsid w:val="001D6405"/>
    <w:rsid w:val="001D646C"/>
    <w:rsid w:val="001D7AAE"/>
    <w:rsid w:val="001E1D1E"/>
    <w:rsid w:val="001E1DCA"/>
    <w:rsid w:val="001E2057"/>
    <w:rsid w:val="001E2AAE"/>
    <w:rsid w:val="001E3100"/>
    <w:rsid w:val="001E431F"/>
    <w:rsid w:val="001E44EA"/>
    <w:rsid w:val="001E6E38"/>
    <w:rsid w:val="001F322D"/>
    <w:rsid w:val="001F3F9B"/>
    <w:rsid w:val="001F5903"/>
    <w:rsid w:val="001F68B4"/>
    <w:rsid w:val="001F7F38"/>
    <w:rsid w:val="00200622"/>
    <w:rsid w:val="002016CE"/>
    <w:rsid w:val="00202AE6"/>
    <w:rsid w:val="00202E9A"/>
    <w:rsid w:val="002032AB"/>
    <w:rsid w:val="002035B9"/>
    <w:rsid w:val="002040D5"/>
    <w:rsid w:val="00204268"/>
    <w:rsid w:val="00204482"/>
    <w:rsid w:val="002128A9"/>
    <w:rsid w:val="002129A1"/>
    <w:rsid w:val="00213571"/>
    <w:rsid w:val="00213C54"/>
    <w:rsid w:val="002167AD"/>
    <w:rsid w:val="00221C5E"/>
    <w:rsid w:val="00222F45"/>
    <w:rsid w:val="002245A7"/>
    <w:rsid w:val="002250A7"/>
    <w:rsid w:val="00225759"/>
    <w:rsid w:val="00225F79"/>
    <w:rsid w:val="00227A91"/>
    <w:rsid w:val="0023002D"/>
    <w:rsid w:val="0023094C"/>
    <w:rsid w:val="002324A2"/>
    <w:rsid w:val="00233071"/>
    <w:rsid w:val="002336DC"/>
    <w:rsid w:val="00233E6B"/>
    <w:rsid w:val="0023518C"/>
    <w:rsid w:val="002365D7"/>
    <w:rsid w:val="002366CB"/>
    <w:rsid w:val="00241C82"/>
    <w:rsid w:val="00247BE7"/>
    <w:rsid w:val="00247BFC"/>
    <w:rsid w:val="002507D1"/>
    <w:rsid w:val="002509FB"/>
    <w:rsid w:val="00250B25"/>
    <w:rsid w:val="00255917"/>
    <w:rsid w:val="00256947"/>
    <w:rsid w:val="002607D0"/>
    <w:rsid w:val="00260971"/>
    <w:rsid w:val="002647F8"/>
    <w:rsid w:val="00270B5B"/>
    <w:rsid w:val="00271268"/>
    <w:rsid w:val="00271ABB"/>
    <w:rsid w:val="00274638"/>
    <w:rsid w:val="00274712"/>
    <w:rsid w:val="00277AB7"/>
    <w:rsid w:val="00280CB8"/>
    <w:rsid w:val="00280F84"/>
    <w:rsid w:val="00285436"/>
    <w:rsid w:val="0028555C"/>
    <w:rsid w:val="002873F1"/>
    <w:rsid w:val="00287E20"/>
    <w:rsid w:val="00290893"/>
    <w:rsid w:val="002924A0"/>
    <w:rsid w:val="00297863"/>
    <w:rsid w:val="002A07A4"/>
    <w:rsid w:val="002A22F4"/>
    <w:rsid w:val="002A368A"/>
    <w:rsid w:val="002A3AF8"/>
    <w:rsid w:val="002A3B45"/>
    <w:rsid w:val="002A661D"/>
    <w:rsid w:val="002B019C"/>
    <w:rsid w:val="002B0665"/>
    <w:rsid w:val="002B1206"/>
    <w:rsid w:val="002B205B"/>
    <w:rsid w:val="002B2090"/>
    <w:rsid w:val="002B3F44"/>
    <w:rsid w:val="002B4E34"/>
    <w:rsid w:val="002C000E"/>
    <w:rsid w:val="002C137A"/>
    <w:rsid w:val="002C1A55"/>
    <w:rsid w:val="002C3476"/>
    <w:rsid w:val="002C4A7C"/>
    <w:rsid w:val="002C561A"/>
    <w:rsid w:val="002C5C5B"/>
    <w:rsid w:val="002C612C"/>
    <w:rsid w:val="002C6311"/>
    <w:rsid w:val="002C6DA4"/>
    <w:rsid w:val="002C74FD"/>
    <w:rsid w:val="002D0B6F"/>
    <w:rsid w:val="002D2E16"/>
    <w:rsid w:val="002D32CC"/>
    <w:rsid w:val="002D41E7"/>
    <w:rsid w:val="002D473D"/>
    <w:rsid w:val="002D5C0A"/>
    <w:rsid w:val="002D623C"/>
    <w:rsid w:val="002D6406"/>
    <w:rsid w:val="002D67FF"/>
    <w:rsid w:val="002D6BAF"/>
    <w:rsid w:val="002E37B2"/>
    <w:rsid w:val="002E469E"/>
    <w:rsid w:val="002E6B59"/>
    <w:rsid w:val="002E7F0C"/>
    <w:rsid w:val="002F0796"/>
    <w:rsid w:val="002F0B53"/>
    <w:rsid w:val="002F27B6"/>
    <w:rsid w:val="002F6B51"/>
    <w:rsid w:val="002F6D49"/>
    <w:rsid w:val="002F7D7C"/>
    <w:rsid w:val="003006B6"/>
    <w:rsid w:val="00300A13"/>
    <w:rsid w:val="00301719"/>
    <w:rsid w:val="00303ABB"/>
    <w:rsid w:val="003044E6"/>
    <w:rsid w:val="00306594"/>
    <w:rsid w:val="00306BF6"/>
    <w:rsid w:val="003075BF"/>
    <w:rsid w:val="00310D66"/>
    <w:rsid w:val="00311A0F"/>
    <w:rsid w:val="003122F1"/>
    <w:rsid w:val="00312775"/>
    <w:rsid w:val="00312A13"/>
    <w:rsid w:val="0031415F"/>
    <w:rsid w:val="00315DC4"/>
    <w:rsid w:val="003164E5"/>
    <w:rsid w:val="00321E95"/>
    <w:rsid w:val="00322CFC"/>
    <w:rsid w:val="00323938"/>
    <w:rsid w:val="0032416B"/>
    <w:rsid w:val="00326447"/>
    <w:rsid w:val="003264C4"/>
    <w:rsid w:val="00326D4B"/>
    <w:rsid w:val="00326EFD"/>
    <w:rsid w:val="00332B9F"/>
    <w:rsid w:val="00333721"/>
    <w:rsid w:val="0033630F"/>
    <w:rsid w:val="00337F6E"/>
    <w:rsid w:val="003407A6"/>
    <w:rsid w:val="0034308E"/>
    <w:rsid w:val="003431F8"/>
    <w:rsid w:val="00343514"/>
    <w:rsid w:val="00344B89"/>
    <w:rsid w:val="003452A8"/>
    <w:rsid w:val="00345442"/>
    <w:rsid w:val="00346431"/>
    <w:rsid w:val="003469C6"/>
    <w:rsid w:val="00346ACE"/>
    <w:rsid w:val="00350E64"/>
    <w:rsid w:val="00350FAE"/>
    <w:rsid w:val="00352B16"/>
    <w:rsid w:val="00352BDD"/>
    <w:rsid w:val="00354851"/>
    <w:rsid w:val="003550D4"/>
    <w:rsid w:val="00355C47"/>
    <w:rsid w:val="00361F71"/>
    <w:rsid w:val="00362BA8"/>
    <w:rsid w:val="00365253"/>
    <w:rsid w:val="00365511"/>
    <w:rsid w:val="003658B4"/>
    <w:rsid w:val="00366933"/>
    <w:rsid w:val="00366ECF"/>
    <w:rsid w:val="00370BE9"/>
    <w:rsid w:val="0037500B"/>
    <w:rsid w:val="003751D8"/>
    <w:rsid w:val="00375C53"/>
    <w:rsid w:val="0037649D"/>
    <w:rsid w:val="00376B94"/>
    <w:rsid w:val="0038078B"/>
    <w:rsid w:val="00381278"/>
    <w:rsid w:val="003817EB"/>
    <w:rsid w:val="00384357"/>
    <w:rsid w:val="00384899"/>
    <w:rsid w:val="00387CCE"/>
    <w:rsid w:val="003912E2"/>
    <w:rsid w:val="003921CB"/>
    <w:rsid w:val="00397CE9"/>
    <w:rsid w:val="003A1595"/>
    <w:rsid w:val="003A1A6A"/>
    <w:rsid w:val="003A1B41"/>
    <w:rsid w:val="003A1B7C"/>
    <w:rsid w:val="003A1FCB"/>
    <w:rsid w:val="003A3A6A"/>
    <w:rsid w:val="003A55FC"/>
    <w:rsid w:val="003A5A68"/>
    <w:rsid w:val="003A5CE1"/>
    <w:rsid w:val="003A67DD"/>
    <w:rsid w:val="003A6E6D"/>
    <w:rsid w:val="003B0E44"/>
    <w:rsid w:val="003B0EB7"/>
    <w:rsid w:val="003B1100"/>
    <w:rsid w:val="003B4D8D"/>
    <w:rsid w:val="003B5BEC"/>
    <w:rsid w:val="003C0C40"/>
    <w:rsid w:val="003C1063"/>
    <w:rsid w:val="003C1F42"/>
    <w:rsid w:val="003C2323"/>
    <w:rsid w:val="003C59F9"/>
    <w:rsid w:val="003D1060"/>
    <w:rsid w:val="003D2D3E"/>
    <w:rsid w:val="003D35CB"/>
    <w:rsid w:val="003D4579"/>
    <w:rsid w:val="003D59FB"/>
    <w:rsid w:val="003D66BE"/>
    <w:rsid w:val="003E211B"/>
    <w:rsid w:val="003E22F9"/>
    <w:rsid w:val="003E2410"/>
    <w:rsid w:val="003E30DC"/>
    <w:rsid w:val="003E7145"/>
    <w:rsid w:val="003F0315"/>
    <w:rsid w:val="003F3E42"/>
    <w:rsid w:val="003F4127"/>
    <w:rsid w:val="003F49CB"/>
    <w:rsid w:val="00400C06"/>
    <w:rsid w:val="00401564"/>
    <w:rsid w:val="0040277C"/>
    <w:rsid w:val="00402938"/>
    <w:rsid w:val="0040306D"/>
    <w:rsid w:val="00412DD7"/>
    <w:rsid w:val="004132B1"/>
    <w:rsid w:val="0041373A"/>
    <w:rsid w:val="00415BB2"/>
    <w:rsid w:val="004177E8"/>
    <w:rsid w:val="00417D9F"/>
    <w:rsid w:val="004201CA"/>
    <w:rsid w:val="00423DC2"/>
    <w:rsid w:val="0042598D"/>
    <w:rsid w:val="00426F87"/>
    <w:rsid w:val="00430833"/>
    <w:rsid w:val="00430CF3"/>
    <w:rsid w:val="00430ED4"/>
    <w:rsid w:val="00432A88"/>
    <w:rsid w:val="00433D2C"/>
    <w:rsid w:val="004348A4"/>
    <w:rsid w:val="0043753F"/>
    <w:rsid w:val="004376E4"/>
    <w:rsid w:val="004401D2"/>
    <w:rsid w:val="0044087F"/>
    <w:rsid w:val="00440AC8"/>
    <w:rsid w:val="00442562"/>
    <w:rsid w:val="00442DEB"/>
    <w:rsid w:val="00442F35"/>
    <w:rsid w:val="0044397F"/>
    <w:rsid w:val="00444F73"/>
    <w:rsid w:val="00444FD3"/>
    <w:rsid w:val="0044664F"/>
    <w:rsid w:val="00447F22"/>
    <w:rsid w:val="00450004"/>
    <w:rsid w:val="00450CF1"/>
    <w:rsid w:val="004534FC"/>
    <w:rsid w:val="0045482C"/>
    <w:rsid w:val="004551CF"/>
    <w:rsid w:val="004553C2"/>
    <w:rsid w:val="004553D7"/>
    <w:rsid w:val="0045672D"/>
    <w:rsid w:val="00457769"/>
    <w:rsid w:val="00464285"/>
    <w:rsid w:val="00464659"/>
    <w:rsid w:val="0046658D"/>
    <w:rsid w:val="0047101B"/>
    <w:rsid w:val="00472780"/>
    <w:rsid w:val="00473BDB"/>
    <w:rsid w:val="00473CE8"/>
    <w:rsid w:val="004747B0"/>
    <w:rsid w:val="00475180"/>
    <w:rsid w:val="00475406"/>
    <w:rsid w:val="00475C2F"/>
    <w:rsid w:val="00476DFC"/>
    <w:rsid w:val="0047721D"/>
    <w:rsid w:val="00482852"/>
    <w:rsid w:val="0048433D"/>
    <w:rsid w:val="00484E37"/>
    <w:rsid w:val="00487360"/>
    <w:rsid w:val="004913E4"/>
    <w:rsid w:val="004918C5"/>
    <w:rsid w:val="00493C2D"/>
    <w:rsid w:val="00494D9D"/>
    <w:rsid w:val="004974DD"/>
    <w:rsid w:val="004A1125"/>
    <w:rsid w:val="004A18AE"/>
    <w:rsid w:val="004A3847"/>
    <w:rsid w:val="004A3C62"/>
    <w:rsid w:val="004A4352"/>
    <w:rsid w:val="004A4EC9"/>
    <w:rsid w:val="004A7C2E"/>
    <w:rsid w:val="004B03E1"/>
    <w:rsid w:val="004B03EF"/>
    <w:rsid w:val="004B042E"/>
    <w:rsid w:val="004B2024"/>
    <w:rsid w:val="004B2DF1"/>
    <w:rsid w:val="004B31AB"/>
    <w:rsid w:val="004B4836"/>
    <w:rsid w:val="004B6332"/>
    <w:rsid w:val="004B63CE"/>
    <w:rsid w:val="004B67AA"/>
    <w:rsid w:val="004B6CB6"/>
    <w:rsid w:val="004B7A64"/>
    <w:rsid w:val="004C2D83"/>
    <w:rsid w:val="004C2F42"/>
    <w:rsid w:val="004C33EA"/>
    <w:rsid w:val="004C4FE8"/>
    <w:rsid w:val="004C55C8"/>
    <w:rsid w:val="004C5D20"/>
    <w:rsid w:val="004C659D"/>
    <w:rsid w:val="004C7F3E"/>
    <w:rsid w:val="004D011A"/>
    <w:rsid w:val="004D228B"/>
    <w:rsid w:val="004D2A6E"/>
    <w:rsid w:val="004D46AA"/>
    <w:rsid w:val="004D5F5C"/>
    <w:rsid w:val="004D7C9C"/>
    <w:rsid w:val="004E2495"/>
    <w:rsid w:val="004E2DB0"/>
    <w:rsid w:val="004E4FE2"/>
    <w:rsid w:val="004E500F"/>
    <w:rsid w:val="004F1359"/>
    <w:rsid w:val="004F2D81"/>
    <w:rsid w:val="004F35C9"/>
    <w:rsid w:val="00501103"/>
    <w:rsid w:val="005030A6"/>
    <w:rsid w:val="0050316F"/>
    <w:rsid w:val="0050656E"/>
    <w:rsid w:val="00510CC7"/>
    <w:rsid w:val="005126B4"/>
    <w:rsid w:val="00513F37"/>
    <w:rsid w:val="00515EAC"/>
    <w:rsid w:val="00516398"/>
    <w:rsid w:val="00516EBD"/>
    <w:rsid w:val="00521548"/>
    <w:rsid w:val="00522728"/>
    <w:rsid w:val="00522E18"/>
    <w:rsid w:val="00523B7C"/>
    <w:rsid w:val="00524736"/>
    <w:rsid w:val="005249A5"/>
    <w:rsid w:val="005275FC"/>
    <w:rsid w:val="00532274"/>
    <w:rsid w:val="005345BA"/>
    <w:rsid w:val="00534877"/>
    <w:rsid w:val="00536EA0"/>
    <w:rsid w:val="0054077B"/>
    <w:rsid w:val="005413D8"/>
    <w:rsid w:val="0054187E"/>
    <w:rsid w:val="005425EB"/>
    <w:rsid w:val="00543327"/>
    <w:rsid w:val="00543675"/>
    <w:rsid w:val="00546A8D"/>
    <w:rsid w:val="00550814"/>
    <w:rsid w:val="005513EF"/>
    <w:rsid w:val="005517EC"/>
    <w:rsid w:val="0055185D"/>
    <w:rsid w:val="00551DF2"/>
    <w:rsid w:val="005531F5"/>
    <w:rsid w:val="00553E44"/>
    <w:rsid w:val="00554882"/>
    <w:rsid w:val="00555B37"/>
    <w:rsid w:val="005561BE"/>
    <w:rsid w:val="00556849"/>
    <w:rsid w:val="005574AB"/>
    <w:rsid w:val="00557991"/>
    <w:rsid w:val="00561D47"/>
    <w:rsid w:val="005625AF"/>
    <w:rsid w:val="00562656"/>
    <w:rsid w:val="00567FF5"/>
    <w:rsid w:val="00567FFC"/>
    <w:rsid w:val="005702C4"/>
    <w:rsid w:val="00572F12"/>
    <w:rsid w:val="00573669"/>
    <w:rsid w:val="00577C68"/>
    <w:rsid w:val="00580F1D"/>
    <w:rsid w:val="0058139B"/>
    <w:rsid w:val="0058216F"/>
    <w:rsid w:val="00583473"/>
    <w:rsid w:val="00584BFF"/>
    <w:rsid w:val="00586EE0"/>
    <w:rsid w:val="00590DEA"/>
    <w:rsid w:val="00591086"/>
    <w:rsid w:val="00591302"/>
    <w:rsid w:val="00592326"/>
    <w:rsid w:val="00592E68"/>
    <w:rsid w:val="00593F9E"/>
    <w:rsid w:val="005977F4"/>
    <w:rsid w:val="005A1A05"/>
    <w:rsid w:val="005A2F2B"/>
    <w:rsid w:val="005A3DCD"/>
    <w:rsid w:val="005A3FAE"/>
    <w:rsid w:val="005A4B06"/>
    <w:rsid w:val="005A4ECE"/>
    <w:rsid w:val="005A6D6C"/>
    <w:rsid w:val="005A792D"/>
    <w:rsid w:val="005A7955"/>
    <w:rsid w:val="005A7DE4"/>
    <w:rsid w:val="005B0C4B"/>
    <w:rsid w:val="005B1632"/>
    <w:rsid w:val="005B19D7"/>
    <w:rsid w:val="005B1C44"/>
    <w:rsid w:val="005B22E8"/>
    <w:rsid w:val="005B25EA"/>
    <w:rsid w:val="005B2A93"/>
    <w:rsid w:val="005B354E"/>
    <w:rsid w:val="005B3AE6"/>
    <w:rsid w:val="005B4EC4"/>
    <w:rsid w:val="005B51A1"/>
    <w:rsid w:val="005B5BF0"/>
    <w:rsid w:val="005C0C4C"/>
    <w:rsid w:val="005C32F7"/>
    <w:rsid w:val="005C47BC"/>
    <w:rsid w:val="005D298E"/>
    <w:rsid w:val="005D2FB6"/>
    <w:rsid w:val="005D3007"/>
    <w:rsid w:val="005D3F83"/>
    <w:rsid w:val="005D43A2"/>
    <w:rsid w:val="005D645B"/>
    <w:rsid w:val="005D6BC9"/>
    <w:rsid w:val="005D72BD"/>
    <w:rsid w:val="005E1C7D"/>
    <w:rsid w:val="005E1D1B"/>
    <w:rsid w:val="005E37DF"/>
    <w:rsid w:val="005E393C"/>
    <w:rsid w:val="005E3C48"/>
    <w:rsid w:val="005E4403"/>
    <w:rsid w:val="005E45DD"/>
    <w:rsid w:val="005E4BB3"/>
    <w:rsid w:val="005E5ED5"/>
    <w:rsid w:val="005F0FFE"/>
    <w:rsid w:val="005F18E9"/>
    <w:rsid w:val="005F4743"/>
    <w:rsid w:val="005F4B91"/>
    <w:rsid w:val="005F4D99"/>
    <w:rsid w:val="005F64F8"/>
    <w:rsid w:val="005F793C"/>
    <w:rsid w:val="0060041A"/>
    <w:rsid w:val="00600472"/>
    <w:rsid w:val="00600C87"/>
    <w:rsid w:val="00601A32"/>
    <w:rsid w:val="00602754"/>
    <w:rsid w:val="00605A3B"/>
    <w:rsid w:val="00606E1B"/>
    <w:rsid w:val="00607304"/>
    <w:rsid w:val="00611315"/>
    <w:rsid w:val="00612606"/>
    <w:rsid w:val="006173AC"/>
    <w:rsid w:val="0061757B"/>
    <w:rsid w:val="00621AE8"/>
    <w:rsid w:val="00622D9D"/>
    <w:rsid w:val="00622FD3"/>
    <w:rsid w:val="00623557"/>
    <w:rsid w:val="00623DD8"/>
    <w:rsid w:val="006251B8"/>
    <w:rsid w:val="006270E1"/>
    <w:rsid w:val="0063329B"/>
    <w:rsid w:val="0063350E"/>
    <w:rsid w:val="00635CEA"/>
    <w:rsid w:val="0063648A"/>
    <w:rsid w:val="00636D42"/>
    <w:rsid w:val="00637C60"/>
    <w:rsid w:val="00637D48"/>
    <w:rsid w:val="00640062"/>
    <w:rsid w:val="00640F7E"/>
    <w:rsid w:val="0064399B"/>
    <w:rsid w:val="006455D2"/>
    <w:rsid w:val="0064581C"/>
    <w:rsid w:val="00652A0E"/>
    <w:rsid w:val="00652AE7"/>
    <w:rsid w:val="006547BA"/>
    <w:rsid w:val="006577F0"/>
    <w:rsid w:val="00661CB9"/>
    <w:rsid w:val="0066200E"/>
    <w:rsid w:val="006652A8"/>
    <w:rsid w:val="00666B11"/>
    <w:rsid w:val="00666D64"/>
    <w:rsid w:val="006670FB"/>
    <w:rsid w:val="00670BE1"/>
    <w:rsid w:val="00674A71"/>
    <w:rsid w:val="00675D8D"/>
    <w:rsid w:val="00676544"/>
    <w:rsid w:val="006810A5"/>
    <w:rsid w:val="006823AA"/>
    <w:rsid w:val="0068427B"/>
    <w:rsid w:val="00686442"/>
    <w:rsid w:val="00686FFD"/>
    <w:rsid w:val="00687131"/>
    <w:rsid w:val="006875D4"/>
    <w:rsid w:val="00690615"/>
    <w:rsid w:val="0069262B"/>
    <w:rsid w:val="0069390C"/>
    <w:rsid w:val="006946DB"/>
    <w:rsid w:val="0069500F"/>
    <w:rsid w:val="006955D2"/>
    <w:rsid w:val="00696294"/>
    <w:rsid w:val="00696820"/>
    <w:rsid w:val="00697523"/>
    <w:rsid w:val="00697B42"/>
    <w:rsid w:val="006A0AE6"/>
    <w:rsid w:val="006A1AE6"/>
    <w:rsid w:val="006A1B4D"/>
    <w:rsid w:val="006A346C"/>
    <w:rsid w:val="006A3534"/>
    <w:rsid w:val="006A42A1"/>
    <w:rsid w:val="006A51E0"/>
    <w:rsid w:val="006A5B08"/>
    <w:rsid w:val="006A70D5"/>
    <w:rsid w:val="006A7870"/>
    <w:rsid w:val="006A7D55"/>
    <w:rsid w:val="006A7F5F"/>
    <w:rsid w:val="006B177F"/>
    <w:rsid w:val="006B247D"/>
    <w:rsid w:val="006B3E0F"/>
    <w:rsid w:val="006B47EE"/>
    <w:rsid w:val="006B5996"/>
    <w:rsid w:val="006B5CB9"/>
    <w:rsid w:val="006B6410"/>
    <w:rsid w:val="006B720B"/>
    <w:rsid w:val="006C2029"/>
    <w:rsid w:val="006C3168"/>
    <w:rsid w:val="006C36BC"/>
    <w:rsid w:val="006C4094"/>
    <w:rsid w:val="006C56D9"/>
    <w:rsid w:val="006C6331"/>
    <w:rsid w:val="006C68E4"/>
    <w:rsid w:val="006C79A4"/>
    <w:rsid w:val="006D0B00"/>
    <w:rsid w:val="006D0D0E"/>
    <w:rsid w:val="006D5709"/>
    <w:rsid w:val="006E3EDC"/>
    <w:rsid w:val="006E678A"/>
    <w:rsid w:val="006E7A6D"/>
    <w:rsid w:val="006F0B7F"/>
    <w:rsid w:val="006F1C61"/>
    <w:rsid w:val="006F35B9"/>
    <w:rsid w:val="006F7965"/>
    <w:rsid w:val="00700BDE"/>
    <w:rsid w:val="007016B6"/>
    <w:rsid w:val="00701EDB"/>
    <w:rsid w:val="007025B6"/>
    <w:rsid w:val="0070365B"/>
    <w:rsid w:val="0070580C"/>
    <w:rsid w:val="00706108"/>
    <w:rsid w:val="0071031D"/>
    <w:rsid w:val="0071035C"/>
    <w:rsid w:val="00710763"/>
    <w:rsid w:val="00712E06"/>
    <w:rsid w:val="00716213"/>
    <w:rsid w:val="00720069"/>
    <w:rsid w:val="0072185E"/>
    <w:rsid w:val="00721B98"/>
    <w:rsid w:val="00721EE9"/>
    <w:rsid w:val="007220CB"/>
    <w:rsid w:val="00722AB4"/>
    <w:rsid w:val="007277B8"/>
    <w:rsid w:val="00727ADE"/>
    <w:rsid w:val="00727DC9"/>
    <w:rsid w:val="0073020E"/>
    <w:rsid w:val="00732989"/>
    <w:rsid w:val="00732D6D"/>
    <w:rsid w:val="00736CFB"/>
    <w:rsid w:val="00737858"/>
    <w:rsid w:val="00740F73"/>
    <w:rsid w:val="00741B50"/>
    <w:rsid w:val="0074203D"/>
    <w:rsid w:val="007458CE"/>
    <w:rsid w:val="00746304"/>
    <w:rsid w:val="00746998"/>
    <w:rsid w:val="007471D8"/>
    <w:rsid w:val="0075061C"/>
    <w:rsid w:val="007518D0"/>
    <w:rsid w:val="00751FFE"/>
    <w:rsid w:val="007536F1"/>
    <w:rsid w:val="00757A39"/>
    <w:rsid w:val="0076336B"/>
    <w:rsid w:val="00763DC4"/>
    <w:rsid w:val="0076434B"/>
    <w:rsid w:val="0076645D"/>
    <w:rsid w:val="007747C5"/>
    <w:rsid w:val="00774D3E"/>
    <w:rsid w:val="00775BDA"/>
    <w:rsid w:val="00777E18"/>
    <w:rsid w:val="00780241"/>
    <w:rsid w:val="00780ACE"/>
    <w:rsid w:val="007814A7"/>
    <w:rsid w:val="007825C6"/>
    <w:rsid w:val="00783CC5"/>
    <w:rsid w:val="00786893"/>
    <w:rsid w:val="00790842"/>
    <w:rsid w:val="00790A74"/>
    <w:rsid w:val="00793C15"/>
    <w:rsid w:val="00796EC9"/>
    <w:rsid w:val="007A0142"/>
    <w:rsid w:val="007A03C4"/>
    <w:rsid w:val="007A08B8"/>
    <w:rsid w:val="007A17C3"/>
    <w:rsid w:val="007A1AF4"/>
    <w:rsid w:val="007A298D"/>
    <w:rsid w:val="007A3A05"/>
    <w:rsid w:val="007A4DB9"/>
    <w:rsid w:val="007B074A"/>
    <w:rsid w:val="007B0B86"/>
    <w:rsid w:val="007B17C9"/>
    <w:rsid w:val="007B33D7"/>
    <w:rsid w:val="007B38E6"/>
    <w:rsid w:val="007B4C6D"/>
    <w:rsid w:val="007C0D7C"/>
    <w:rsid w:val="007C2AC8"/>
    <w:rsid w:val="007C6375"/>
    <w:rsid w:val="007C70FD"/>
    <w:rsid w:val="007D017C"/>
    <w:rsid w:val="007D1242"/>
    <w:rsid w:val="007D2C55"/>
    <w:rsid w:val="007D5CD8"/>
    <w:rsid w:val="007D5EAE"/>
    <w:rsid w:val="007D63F2"/>
    <w:rsid w:val="007D64D8"/>
    <w:rsid w:val="007D6B9C"/>
    <w:rsid w:val="007D73F6"/>
    <w:rsid w:val="007E05AF"/>
    <w:rsid w:val="007E15A6"/>
    <w:rsid w:val="007E3B98"/>
    <w:rsid w:val="007E3CF8"/>
    <w:rsid w:val="007E5D53"/>
    <w:rsid w:val="007F03DD"/>
    <w:rsid w:val="007F4020"/>
    <w:rsid w:val="007F4057"/>
    <w:rsid w:val="007F5902"/>
    <w:rsid w:val="007F7929"/>
    <w:rsid w:val="00800228"/>
    <w:rsid w:val="008035FA"/>
    <w:rsid w:val="008055BE"/>
    <w:rsid w:val="00807247"/>
    <w:rsid w:val="00807FE3"/>
    <w:rsid w:val="008118A6"/>
    <w:rsid w:val="00812CE5"/>
    <w:rsid w:val="00813EA6"/>
    <w:rsid w:val="00814711"/>
    <w:rsid w:val="00814AA4"/>
    <w:rsid w:val="0081502B"/>
    <w:rsid w:val="0081505D"/>
    <w:rsid w:val="008168B7"/>
    <w:rsid w:val="00817EB1"/>
    <w:rsid w:val="008209B6"/>
    <w:rsid w:val="00821599"/>
    <w:rsid w:val="0082257F"/>
    <w:rsid w:val="0082393B"/>
    <w:rsid w:val="0082573C"/>
    <w:rsid w:val="008263F2"/>
    <w:rsid w:val="0082694E"/>
    <w:rsid w:val="008303C2"/>
    <w:rsid w:val="00830687"/>
    <w:rsid w:val="00831330"/>
    <w:rsid w:val="00832579"/>
    <w:rsid w:val="0083478E"/>
    <w:rsid w:val="00835A4D"/>
    <w:rsid w:val="00835FA4"/>
    <w:rsid w:val="008406B1"/>
    <w:rsid w:val="008420F8"/>
    <w:rsid w:val="00844912"/>
    <w:rsid w:val="00844C6C"/>
    <w:rsid w:val="008452AC"/>
    <w:rsid w:val="0084579A"/>
    <w:rsid w:val="00847293"/>
    <w:rsid w:val="0085113F"/>
    <w:rsid w:val="00852649"/>
    <w:rsid w:val="00852735"/>
    <w:rsid w:val="00853370"/>
    <w:rsid w:val="00862BDB"/>
    <w:rsid w:val="00864F6D"/>
    <w:rsid w:val="00867BF9"/>
    <w:rsid w:val="00870B79"/>
    <w:rsid w:val="00872321"/>
    <w:rsid w:val="00872323"/>
    <w:rsid w:val="00873327"/>
    <w:rsid w:val="00873ED6"/>
    <w:rsid w:val="00874D18"/>
    <w:rsid w:val="00876818"/>
    <w:rsid w:val="0088057F"/>
    <w:rsid w:val="0088116A"/>
    <w:rsid w:val="00881B8E"/>
    <w:rsid w:val="00881CA3"/>
    <w:rsid w:val="0088258A"/>
    <w:rsid w:val="008828F3"/>
    <w:rsid w:val="0088329F"/>
    <w:rsid w:val="00885B7A"/>
    <w:rsid w:val="00887B6D"/>
    <w:rsid w:val="00890B0E"/>
    <w:rsid w:val="008914C7"/>
    <w:rsid w:val="008937A1"/>
    <w:rsid w:val="008940CB"/>
    <w:rsid w:val="0089445D"/>
    <w:rsid w:val="00894D1E"/>
    <w:rsid w:val="00895149"/>
    <w:rsid w:val="008A0B86"/>
    <w:rsid w:val="008A215D"/>
    <w:rsid w:val="008A4189"/>
    <w:rsid w:val="008A54E6"/>
    <w:rsid w:val="008A57A1"/>
    <w:rsid w:val="008A6B6A"/>
    <w:rsid w:val="008A7690"/>
    <w:rsid w:val="008B1993"/>
    <w:rsid w:val="008B3087"/>
    <w:rsid w:val="008B35C2"/>
    <w:rsid w:val="008B3762"/>
    <w:rsid w:val="008B402D"/>
    <w:rsid w:val="008B51A1"/>
    <w:rsid w:val="008B60F8"/>
    <w:rsid w:val="008B687C"/>
    <w:rsid w:val="008B696D"/>
    <w:rsid w:val="008B7FCC"/>
    <w:rsid w:val="008C13C6"/>
    <w:rsid w:val="008C18F2"/>
    <w:rsid w:val="008C2372"/>
    <w:rsid w:val="008C260C"/>
    <w:rsid w:val="008C61CC"/>
    <w:rsid w:val="008C63F0"/>
    <w:rsid w:val="008C7B00"/>
    <w:rsid w:val="008C7E2D"/>
    <w:rsid w:val="008D38F7"/>
    <w:rsid w:val="008D3E63"/>
    <w:rsid w:val="008D4825"/>
    <w:rsid w:val="008D56FA"/>
    <w:rsid w:val="008D6E88"/>
    <w:rsid w:val="008D7C6C"/>
    <w:rsid w:val="008E0D29"/>
    <w:rsid w:val="008E36A8"/>
    <w:rsid w:val="008E5888"/>
    <w:rsid w:val="008E5B53"/>
    <w:rsid w:val="008E6398"/>
    <w:rsid w:val="008F0CC6"/>
    <w:rsid w:val="008F2A59"/>
    <w:rsid w:val="008F2DE4"/>
    <w:rsid w:val="008F3D72"/>
    <w:rsid w:val="008F573B"/>
    <w:rsid w:val="008F5BCC"/>
    <w:rsid w:val="008F6811"/>
    <w:rsid w:val="00901BA7"/>
    <w:rsid w:val="00901C63"/>
    <w:rsid w:val="009059E5"/>
    <w:rsid w:val="009061D6"/>
    <w:rsid w:val="00906839"/>
    <w:rsid w:val="0090740E"/>
    <w:rsid w:val="0090781E"/>
    <w:rsid w:val="00907BE4"/>
    <w:rsid w:val="00907E41"/>
    <w:rsid w:val="00910615"/>
    <w:rsid w:val="00911A11"/>
    <w:rsid w:val="0091246C"/>
    <w:rsid w:val="00913B80"/>
    <w:rsid w:val="00914673"/>
    <w:rsid w:val="00914CC8"/>
    <w:rsid w:val="00915EDB"/>
    <w:rsid w:val="009203E9"/>
    <w:rsid w:val="00920BAC"/>
    <w:rsid w:val="009215F9"/>
    <w:rsid w:val="00922BA6"/>
    <w:rsid w:val="00923DF1"/>
    <w:rsid w:val="00925681"/>
    <w:rsid w:val="00925CAE"/>
    <w:rsid w:val="00926E16"/>
    <w:rsid w:val="009301E2"/>
    <w:rsid w:val="00930577"/>
    <w:rsid w:val="00936181"/>
    <w:rsid w:val="00936307"/>
    <w:rsid w:val="00937AD7"/>
    <w:rsid w:val="009413F6"/>
    <w:rsid w:val="009425BC"/>
    <w:rsid w:val="009426A9"/>
    <w:rsid w:val="009449DF"/>
    <w:rsid w:val="00946921"/>
    <w:rsid w:val="00950595"/>
    <w:rsid w:val="00950C2A"/>
    <w:rsid w:val="00951E5A"/>
    <w:rsid w:val="00953C6C"/>
    <w:rsid w:val="009540AE"/>
    <w:rsid w:val="009548A5"/>
    <w:rsid w:val="00954987"/>
    <w:rsid w:val="00954D2A"/>
    <w:rsid w:val="00956CF1"/>
    <w:rsid w:val="00957E41"/>
    <w:rsid w:val="009626D8"/>
    <w:rsid w:val="0096321B"/>
    <w:rsid w:val="00963393"/>
    <w:rsid w:val="009649DB"/>
    <w:rsid w:val="0096535F"/>
    <w:rsid w:val="009703C9"/>
    <w:rsid w:val="009703DC"/>
    <w:rsid w:val="00970928"/>
    <w:rsid w:val="00970B26"/>
    <w:rsid w:val="00970C2F"/>
    <w:rsid w:val="00971B00"/>
    <w:rsid w:val="00972026"/>
    <w:rsid w:val="00973DCC"/>
    <w:rsid w:val="00973F9F"/>
    <w:rsid w:val="009748B6"/>
    <w:rsid w:val="00974E83"/>
    <w:rsid w:val="009822DA"/>
    <w:rsid w:val="00985AC9"/>
    <w:rsid w:val="00985AE2"/>
    <w:rsid w:val="009860D6"/>
    <w:rsid w:val="0098744F"/>
    <w:rsid w:val="00991870"/>
    <w:rsid w:val="009923BD"/>
    <w:rsid w:val="00995A08"/>
    <w:rsid w:val="00996877"/>
    <w:rsid w:val="00996A8D"/>
    <w:rsid w:val="009A0169"/>
    <w:rsid w:val="009A0173"/>
    <w:rsid w:val="009A115A"/>
    <w:rsid w:val="009A1715"/>
    <w:rsid w:val="009A4C53"/>
    <w:rsid w:val="009A5CB4"/>
    <w:rsid w:val="009A643E"/>
    <w:rsid w:val="009A72E9"/>
    <w:rsid w:val="009A7781"/>
    <w:rsid w:val="009A792E"/>
    <w:rsid w:val="009B0B5B"/>
    <w:rsid w:val="009B1C52"/>
    <w:rsid w:val="009B3B29"/>
    <w:rsid w:val="009B77B0"/>
    <w:rsid w:val="009C42BC"/>
    <w:rsid w:val="009C56EF"/>
    <w:rsid w:val="009C6105"/>
    <w:rsid w:val="009C76C7"/>
    <w:rsid w:val="009D3AB9"/>
    <w:rsid w:val="009D5623"/>
    <w:rsid w:val="009D5AAF"/>
    <w:rsid w:val="009D5DFC"/>
    <w:rsid w:val="009D6139"/>
    <w:rsid w:val="009D7888"/>
    <w:rsid w:val="009E183D"/>
    <w:rsid w:val="009E375A"/>
    <w:rsid w:val="009E4285"/>
    <w:rsid w:val="009E6825"/>
    <w:rsid w:val="009E777D"/>
    <w:rsid w:val="009F2464"/>
    <w:rsid w:val="009F2EFD"/>
    <w:rsid w:val="009F3CC3"/>
    <w:rsid w:val="009F4F92"/>
    <w:rsid w:val="009F5268"/>
    <w:rsid w:val="009F6692"/>
    <w:rsid w:val="009F78BE"/>
    <w:rsid w:val="009F7FD9"/>
    <w:rsid w:val="00A004E2"/>
    <w:rsid w:val="00A01BC6"/>
    <w:rsid w:val="00A02022"/>
    <w:rsid w:val="00A02A3F"/>
    <w:rsid w:val="00A02A8E"/>
    <w:rsid w:val="00A02EF7"/>
    <w:rsid w:val="00A03915"/>
    <w:rsid w:val="00A03D0B"/>
    <w:rsid w:val="00A03E52"/>
    <w:rsid w:val="00A047B4"/>
    <w:rsid w:val="00A062F2"/>
    <w:rsid w:val="00A1028F"/>
    <w:rsid w:val="00A11481"/>
    <w:rsid w:val="00A118A9"/>
    <w:rsid w:val="00A11CBA"/>
    <w:rsid w:val="00A1203B"/>
    <w:rsid w:val="00A15229"/>
    <w:rsid w:val="00A16738"/>
    <w:rsid w:val="00A178F8"/>
    <w:rsid w:val="00A201A6"/>
    <w:rsid w:val="00A2160A"/>
    <w:rsid w:val="00A234D3"/>
    <w:rsid w:val="00A23B0B"/>
    <w:rsid w:val="00A243AB"/>
    <w:rsid w:val="00A252C1"/>
    <w:rsid w:val="00A27614"/>
    <w:rsid w:val="00A30D72"/>
    <w:rsid w:val="00A32127"/>
    <w:rsid w:val="00A3329A"/>
    <w:rsid w:val="00A35378"/>
    <w:rsid w:val="00A367F9"/>
    <w:rsid w:val="00A40B69"/>
    <w:rsid w:val="00A40CB1"/>
    <w:rsid w:val="00A41C88"/>
    <w:rsid w:val="00A423FC"/>
    <w:rsid w:val="00A425E9"/>
    <w:rsid w:val="00A43E27"/>
    <w:rsid w:val="00A44642"/>
    <w:rsid w:val="00A44D7F"/>
    <w:rsid w:val="00A46262"/>
    <w:rsid w:val="00A46629"/>
    <w:rsid w:val="00A51472"/>
    <w:rsid w:val="00A52579"/>
    <w:rsid w:val="00A54372"/>
    <w:rsid w:val="00A54932"/>
    <w:rsid w:val="00A559EE"/>
    <w:rsid w:val="00A55C7F"/>
    <w:rsid w:val="00A560E7"/>
    <w:rsid w:val="00A60C56"/>
    <w:rsid w:val="00A61A9E"/>
    <w:rsid w:val="00A6302C"/>
    <w:rsid w:val="00A637EA"/>
    <w:rsid w:val="00A63B5A"/>
    <w:rsid w:val="00A66A69"/>
    <w:rsid w:val="00A7114A"/>
    <w:rsid w:val="00A7178A"/>
    <w:rsid w:val="00A717D4"/>
    <w:rsid w:val="00A734CB"/>
    <w:rsid w:val="00A7413F"/>
    <w:rsid w:val="00A741C5"/>
    <w:rsid w:val="00A74596"/>
    <w:rsid w:val="00A75220"/>
    <w:rsid w:val="00A76017"/>
    <w:rsid w:val="00A8085A"/>
    <w:rsid w:val="00A83396"/>
    <w:rsid w:val="00A83BCA"/>
    <w:rsid w:val="00A8424B"/>
    <w:rsid w:val="00A868AD"/>
    <w:rsid w:val="00A91660"/>
    <w:rsid w:val="00A9474F"/>
    <w:rsid w:val="00A95547"/>
    <w:rsid w:val="00AA3A5C"/>
    <w:rsid w:val="00AA466B"/>
    <w:rsid w:val="00AA4AA1"/>
    <w:rsid w:val="00AA704F"/>
    <w:rsid w:val="00AA77BF"/>
    <w:rsid w:val="00AB03F8"/>
    <w:rsid w:val="00AB1BF3"/>
    <w:rsid w:val="00AB2D96"/>
    <w:rsid w:val="00AB2FEA"/>
    <w:rsid w:val="00AB365C"/>
    <w:rsid w:val="00AB385C"/>
    <w:rsid w:val="00AC20A6"/>
    <w:rsid w:val="00AC489E"/>
    <w:rsid w:val="00AC5296"/>
    <w:rsid w:val="00AC75E3"/>
    <w:rsid w:val="00AD140B"/>
    <w:rsid w:val="00AD3667"/>
    <w:rsid w:val="00AD38F1"/>
    <w:rsid w:val="00AD3E1D"/>
    <w:rsid w:val="00AD451F"/>
    <w:rsid w:val="00AD6378"/>
    <w:rsid w:val="00AD6392"/>
    <w:rsid w:val="00AE041E"/>
    <w:rsid w:val="00AE12BF"/>
    <w:rsid w:val="00AE1303"/>
    <w:rsid w:val="00AE3218"/>
    <w:rsid w:val="00AE3250"/>
    <w:rsid w:val="00AE6D0C"/>
    <w:rsid w:val="00AF3923"/>
    <w:rsid w:val="00AF3F8A"/>
    <w:rsid w:val="00AF502B"/>
    <w:rsid w:val="00B0219D"/>
    <w:rsid w:val="00B025C1"/>
    <w:rsid w:val="00B028AE"/>
    <w:rsid w:val="00B0556F"/>
    <w:rsid w:val="00B05BF7"/>
    <w:rsid w:val="00B07ADA"/>
    <w:rsid w:val="00B11F2D"/>
    <w:rsid w:val="00B1494F"/>
    <w:rsid w:val="00B154DC"/>
    <w:rsid w:val="00B16CC8"/>
    <w:rsid w:val="00B17304"/>
    <w:rsid w:val="00B21693"/>
    <w:rsid w:val="00B22AF4"/>
    <w:rsid w:val="00B242A5"/>
    <w:rsid w:val="00B24ED1"/>
    <w:rsid w:val="00B2527E"/>
    <w:rsid w:val="00B2636A"/>
    <w:rsid w:val="00B26734"/>
    <w:rsid w:val="00B27AF3"/>
    <w:rsid w:val="00B3038E"/>
    <w:rsid w:val="00B311AF"/>
    <w:rsid w:val="00B34E8F"/>
    <w:rsid w:val="00B36128"/>
    <w:rsid w:val="00B362B6"/>
    <w:rsid w:val="00B37066"/>
    <w:rsid w:val="00B37DD9"/>
    <w:rsid w:val="00B40055"/>
    <w:rsid w:val="00B4316C"/>
    <w:rsid w:val="00B4317F"/>
    <w:rsid w:val="00B45A02"/>
    <w:rsid w:val="00B51AAF"/>
    <w:rsid w:val="00B51BDD"/>
    <w:rsid w:val="00B52308"/>
    <w:rsid w:val="00B52836"/>
    <w:rsid w:val="00B5457C"/>
    <w:rsid w:val="00B55E61"/>
    <w:rsid w:val="00B56BE1"/>
    <w:rsid w:val="00B6180A"/>
    <w:rsid w:val="00B61F7E"/>
    <w:rsid w:val="00B61F9F"/>
    <w:rsid w:val="00B62005"/>
    <w:rsid w:val="00B62A52"/>
    <w:rsid w:val="00B62BEC"/>
    <w:rsid w:val="00B63435"/>
    <w:rsid w:val="00B64197"/>
    <w:rsid w:val="00B658E5"/>
    <w:rsid w:val="00B65DA4"/>
    <w:rsid w:val="00B6642F"/>
    <w:rsid w:val="00B67565"/>
    <w:rsid w:val="00B70268"/>
    <w:rsid w:val="00B704E9"/>
    <w:rsid w:val="00B7092D"/>
    <w:rsid w:val="00B72BDD"/>
    <w:rsid w:val="00B75200"/>
    <w:rsid w:val="00B75235"/>
    <w:rsid w:val="00B76C04"/>
    <w:rsid w:val="00B76F48"/>
    <w:rsid w:val="00B77E75"/>
    <w:rsid w:val="00B813AF"/>
    <w:rsid w:val="00B82992"/>
    <w:rsid w:val="00B853A7"/>
    <w:rsid w:val="00B868BA"/>
    <w:rsid w:val="00B86B1C"/>
    <w:rsid w:val="00B86BB9"/>
    <w:rsid w:val="00B9002C"/>
    <w:rsid w:val="00B90440"/>
    <w:rsid w:val="00B90DAB"/>
    <w:rsid w:val="00B918D6"/>
    <w:rsid w:val="00B93117"/>
    <w:rsid w:val="00B93E21"/>
    <w:rsid w:val="00B95A1C"/>
    <w:rsid w:val="00BA086E"/>
    <w:rsid w:val="00BA172F"/>
    <w:rsid w:val="00BA213C"/>
    <w:rsid w:val="00BA2C2D"/>
    <w:rsid w:val="00BA3028"/>
    <w:rsid w:val="00BA40F4"/>
    <w:rsid w:val="00BA4323"/>
    <w:rsid w:val="00BA6585"/>
    <w:rsid w:val="00BA791E"/>
    <w:rsid w:val="00BA7C12"/>
    <w:rsid w:val="00BB145C"/>
    <w:rsid w:val="00BB147A"/>
    <w:rsid w:val="00BB3D89"/>
    <w:rsid w:val="00BB3FDD"/>
    <w:rsid w:val="00BB4884"/>
    <w:rsid w:val="00BB6328"/>
    <w:rsid w:val="00BB75E3"/>
    <w:rsid w:val="00BB7C0F"/>
    <w:rsid w:val="00BC20C0"/>
    <w:rsid w:val="00BC277C"/>
    <w:rsid w:val="00BC6BD8"/>
    <w:rsid w:val="00BC7621"/>
    <w:rsid w:val="00BC7D7B"/>
    <w:rsid w:val="00BD0872"/>
    <w:rsid w:val="00BD303A"/>
    <w:rsid w:val="00BD3438"/>
    <w:rsid w:val="00BD34A0"/>
    <w:rsid w:val="00BD5E4A"/>
    <w:rsid w:val="00BD6B69"/>
    <w:rsid w:val="00BD7271"/>
    <w:rsid w:val="00BE08F4"/>
    <w:rsid w:val="00BE0D26"/>
    <w:rsid w:val="00BE2586"/>
    <w:rsid w:val="00BE373E"/>
    <w:rsid w:val="00BE48B9"/>
    <w:rsid w:val="00BE4D77"/>
    <w:rsid w:val="00BE5283"/>
    <w:rsid w:val="00BE53E4"/>
    <w:rsid w:val="00BE56C7"/>
    <w:rsid w:val="00BE7209"/>
    <w:rsid w:val="00BF09EF"/>
    <w:rsid w:val="00BF1DA0"/>
    <w:rsid w:val="00BF2DA5"/>
    <w:rsid w:val="00BF36FA"/>
    <w:rsid w:val="00BF45A0"/>
    <w:rsid w:val="00BF4654"/>
    <w:rsid w:val="00BF4AFD"/>
    <w:rsid w:val="00BF69BA"/>
    <w:rsid w:val="00C015DF"/>
    <w:rsid w:val="00C02578"/>
    <w:rsid w:val="00C02659"/>
    <w:rsid w:val="00C031BF"/>
    <w:rsid w:val="00C06710"/>
    <w:rsid w:val="00C06A4C"/>
    <w:rsid w:val="00C10925"/>
    <w:rsid w:val="00C10C5A"/>
    <w:rsid w:val="00C14E13"/>
    <w:rsid w:val="00C16E25"/>
    <w:rsid w:val="00C21C17"/>
    <w:rsid w:val="00C22D1B"/>
    <w:rsid w:val="00C23208"/>
    <w:rsid w:val="00C275C9"/>
    <w:rsid w:val="00C27618"/>
    <w:rsid w:val="00C27B38"/>
    <w:rsid w:val="00C27DB9"/>
    <w:rsid w:val="00C30009"/>
    <w:rsid w:val="00C30C8E"/>
    <w:rsid w:val="00C31340"/>
    <w:rsid w:val="00C321E7"/>
    <w:rsid w:val="00C35EB8"/>
    <w:rsid w:val="00C3620C"/>
    <w:rsid w:val="00C415BD"/>
    <w:rsid w:val="00C42841"/>
    <w:rsid w:val="00C43ADA"/>
    <w:rsid w:val="00C43EF8"/>
    <w:rsid w:val="00C45982"/>
    <w:rsid w:val="00C47A77"/>
    <w:rsid w:val="00C50BC0"/>
    <w:rsid w:val="00C51710"/>
    <w:rsid w:val="00C564BD"/>
    <w:rsid w:val="00C56E41"/>
    <w:rsid w:val="00C61B89"/>
    <w:rsid w:val="00C63D92"/>
    <w:rsid w:val="00C66A5F"/>
    <w:rsid w:val="00C66F2E"/>
    <w:rsid w:val="00C67C9A"/>
    <w:rsid w:val="00C73907"/>
    <w:rsid w:val="00C7781A"/>
    <w:rsid w:val="00C77C86"/>
    <w:rsid w:val="00C80FD7"/>
    <w:rsid w:val="00C8300B"/>
    <w:rsid w:val="00C8773A"/>
    <w:rsid w:val="00C87FD0"/>
    <w:rsid w:val="00C9011D"/>
    <w:rsid w:val="00C916B0"/>
    <w:rsid w:val="00C92016"/>
    <w:rsid w:val="00C92C33"/>
    <w:rsid w:val="00C93021"/>
    <w:rsid w:val="00C935DD"/>
    <w:rsid w:val="00C93CFE"/>
    <w:rsid w:val="00C970DB"/>
    <w:rsid w:val="00CA02AC"/>
    <w:rsid w:val="00CA2C86"/>
    <w:rsid w:val="00CA3079"/>
    <w:rsid w:val="00CA3386"/>
    <w:rsid w:val="00CA35EC"/>
    <w:rsid w:val="00CA3725"/>
    <w:rsid w:val="00CA6B03"/>
    <w:rsid w:val="00CB0FB6"/>
    <w:rsid w:val="00CB4748"/>
    <w:rsid w:val="00CB49DB"/>
    <w:rsid w:val="00CB5325"/>
    <w:rsid w:val="00CC12C3"/>
    <w:rsid w:val="00CC26E1"/>
    <w:rsid w:val="00CC3B27"/>
    <w:rsid w:val="00CC3EFA"/>
    <w:rsid w:val="00CC4778"/>
    <w:rsid w:val="00CC58B7"/>
    <w:rsid w:val="00CC5F8A"/>
    <w:rsid w:val="00CD0957"/>
    <w:rsid w:val="00CD122F"/>
    <w:rsid w:val="00CD1860"/>
    <w:rsid w:val="00CD1B04"/>
    <w:rsid w:val="00CD4316"/>
    <w:rsid w:val="00CD59F1"/>
    <w:rsid w:val="00CD6000"/>
    <w:rsid w:val="00CD6734"/>
    <w:rsid w:val="00CD7F8A"/>
    <w:rsid w:val="00CE205F"/>
    <w:rsid w:val="00CE38EF"/>
    <w:rsid w:val="00CE5CB5"/>
    <w:rsid w:val="00CE778F"/>
    <w:rsid w:val="00CF016D"/>
    <w:rsid w:val="00CF05C4"/>
    <w:rsid w:val="00CF07F6"/>
    <w:rsid w:val="00CF0BF0"/>
    <w:rsid w:val="00CF297F"/>
    <w:rsid w:val="00CF45C5"/>
    <w:rsid w:val="00CF79B1"/>
    <w:rsid w:val="00D02B8F"/>
    <w:rsid w:val="00D03681"/>
    <w:rsid w:val="00D06F8D"/>
    <w:rsid w:val="00D07657"/>
    <w:rsid w:val="00D07A24"/>
    <w:rsid w:val="00D1049D"/>
    <w:rsid w:val="00D104D4"/>
    <w:rsid w:val="00D10AE9"/>
    <w:rsid w:val="00D10F62"/>
    <w:rsid w:val="00D1374B"/>
    <w:rsid w:val="00D1439F"/>
    <w:rsid w:val="00D171DD"/>
    <w:rsid w:val="00D1737D"/>
    <w:rsid w:val="00D17507"/>
    <w:rsid w:val="00D17E46"/>
    <w:rsid w:val="00D20311"/>
    <w:rsid w:val="00D20D4E"/>
    <w:rsid w:val="00D2109B"/>
    <w:rsid w:val="00D2116D"/>
    <w:rsid w:val="00D21305"/>
    <w:rsid w:val="00D22E09"/>
    <w:rsid w:val="00D246E5"/>
    <w:rsid w:val="00D24B7C"/>
    <w:rsid w:val="00D267CC"/>
    <w:rsid w:val="00D27C19"/>
    <w:rsid w:val="00D302D8"/>
    <w:rsid w:val="00D31D1E"/>
    <w:rsid w:val="00D33802"/>
    <w:rsid w:val="00D369C7"/>
    <w:rsid w:val="00D369FD"/>
    <w:rsid w:val="00D41C59"/>
    <w:rsid w:val="00D4448A"/>
    <w:rsid w:val="00D449FC"/>
    <w:rsid w:val="00D44E82"/>
    <w:rsid w:val="00D44F79"/>
    <w:rsid w:val="00D459A9"/>
    <w:rsid w:val="00D464B6"/>
    <w:rsid w:val="00D50941"/>
    <w:rsid w:val="00D51106"/>
    <w:rsid w:val="00D5338A"/>
    <w:rsid w:val="00D53483"/>
    <w:rsid w:val="00D5703F"/>
    <w:rsid w:val="00D57E1F"/>
    <w:rsid w:val="00D655C5"/>
    <w:rsid w:val="00D65B27"/>
    <w:rsid w:val="00D65E35"/>
    <w:rsid w:val="00D67DA3"/>
    <w:rsid w:val="00D701B7"/>
    <w:rsid w:val="00D70380"/>
    <w:rsid w:val="00D70DE7"/>
    <w:rsid w:val="00D72AA1"/>
    <w:rsid w:val="00D745B4"/>
    <w:rsid w:val="00D74BE5"/>
    <w:rsid w:val="00D74F86"/>
    <w:rsid w:val="00D75F32"/>
    <w:rsid w:val="00D76D37"/>
    <w:rsid w:val="00D81248"/>
    <w:rsid w:val="00D81E1A"/>
    <w:rsid w:val="00D8356A"/>
    <w:rsid w:val="00D84509"/>
    <w:rsid w:val="00D85CDA"/>
    <w:rsid w:val="00D8676A"/>
    <w:rsid w:val="00D87F3A"/>
    <w:rsid w:val="00D9201F"/>
    <w:rsid w:val="00D92090"/>
    <w:rsid w:val="00D9304C"/>
    <w:rsid w:val="00D9307C"/>
    <w:rsid w:val="00D9724B"/>
    <w:rsid w:val="00DA0F0E"/>
    <w:rsid w:val="00DA7D89"/>
    <w:rsid w:val="00DB00CB"/>
    <w:rsid w:val="00DB05E1"/>
    <w:rsid w:val="00DB08B9"/>
    <w:rsid w:val="00DB13D8"/>
    <w:rsid w:val="00DB1F5B"/>
    <w:rsid w:val="00DB2570"/>
    <w:rsid w:val="00DB6149"/>
    <w:rsid w:val="00DC2723"/>
    <w:rsid w:val="00DC2E48"/>
    <w:rsid w:val="00DC5234"/>
    <w:rsid w:val="00DC59B5"/>
    <w:rsid w:val="00DC620A"/>
    <w:rsid w:val="00DC7CEA"/>
    <w:rsid w:val="00DC7D71"/>
    <w:rsid w:val="00DD03CC"/>
    <w:rsid w:val="00DD0D31"/>
    <w:rsid w:val="00DD1A3E"/>
    <w:rsid w:val="00DD25D1"/>
    <w:rsid w:val="00DD3C3A"/>
    <w:rsid w:val="00DD3C80"/>
    <w:rsid w:val="00DD49F1"/>
    <w:rsid w:val="00DD552F"/>
    <w:rsid w:val="00DD68FA"/>
    <w:rsid w:val="00DD6EB1"/>
    <w:rsid w:val="00DD7727"/>
    <w:rsid w:val="00DE042E"/>
    <w:rsid w:val="00DE2755"/>
    <w:rsid w:val="00DE40E2"/>
    <w:rsid w:val="00DE4CB9"/>
    <w:rsid w:val="00DE52C1"/>
    <w:rsid w:val="00DE554A"/>
    <w:rsid w:val="00DF00B9"/>
    <w:rsid w:val="00DF07A5"/>
    <w:rsid w:val="00DF1DC5"/>
    <w:rsid w:val="00DF27B2"/>
    <w:rsid w:val="00DF5E11"/>
    <w:rsid w:val="00DF654F"/>
    <w:rsid w:val="00E00119"/>
    <w:rsid w:val="00E004C6"/>
    <w:rsid w:val="00E01AEA"/>
    <w:rsid w:val="00E03035"/>
    <w:rsid w:val="00E057D1"/>
    <w:rsid w:val="00E05C4F"/>
    <w:rsid w:val="00E0618E"/>
    <w:rsid w:val="00E067D5"/>
    <w:rsid w:val="00E10AAE"/>
    <w:rsid w:val="00E111D8"/>
    <w:rsid w:val="00E1253C"/>
    <w:rsid w:val="00E13089"/>
    <w:rsid w:val="00E153B7"/>
    <w:rsid w:val="00E15DE6"/>
    <w:rsid w:val="00E16DF2"/>
    <w:rsid w:val="00E2025E"/>
    <w:rsid w:val="00E23A47"/>
    <w:rsid w:val="00E23DC4"/>
    <w:rsid w:val="00E24468"/>
    <w:rsid w:val="00E254AB"/>
    <w:rsid w:val="00E26452"/>
    <w:rsid w:val="00E30892"/>
    <w:rsid w:val="00E30F50"/>
    <w:rsid w:val="00E314C1"/>
    <w:rsid w:val="00E31DA1"/>
    <w:rsid w:val="00E33949"/>
    <w:rsid w:val="00E37545"/>
    <w:rsid w:val="00E37A26"/>
    <w:rsid w:val="00E37F02"/>
    <w:rsid w:val="00E40765"/>
    <w:rsid w:val="00E40C63"/>
    <w:rsid w:val="00E42370"/>
    <w:rsid w:val="00E42BD5"/>
    <w:rsid w:val="00E42DB3"/>
    <w:rsid w:val="00E4480F"/>
    <w:rsid w:val="00E4594C"/>
    <w:rsid w:val="00E46F72"/>
    <w:rsid w:val="00E520CE"/>
    <w:rsid w:val="00E55961"/>
    <w:rsid w:val="00E56144"/>
    <w:rsid w:val="00E56E01"/>
    <w:rsid w:val="00E578D4"/>
    <w:rsid w:val="00E60351"/>
    <w:rsid w:val="00E61E1C"/>
    <w:rsid w:val="00E631C3"/>
    <w:rsid w:val="00E64C20"/>
    <w:rsid w:val="00E651BA"/>
    <w:rsid w:val="00E65D2B"/>
    <w:rsid w:val="00E66697"/>
    <w:rsid w:val="00E71BC5"/>
    <w:rsid w:val="00E71DE8"/>
    <w:rsid w:val="00E720F8"/>
    <w:rsid w:val="00E73B1C"/>
    <w:rsid w:val="00E75ABB"/>
    <w:rsid w:val="00E8148D"/>
    <w:rsid w:val="00E82291"/>
    <w:rsid w:val="00E82A3A"/>
    <w:rsid w:val="00E8580E"/>
    <w:rsid w:val="00E8626A"/>
    <w:rsid w:val="00E93471"/>
    <w:rsid w:val="00E94186"/>
    <w:rsid w:val="00E941A6"/>
    <w:rsid w:val="00E950A7"/>
    <w:rsid w:val="00E979D8"/>
    <w:rsid w:val="00EA0F3E"/>
    <w:rsid w:val="00EA16D0"/>
    <w:rsid w:val="00EA1777"/>
    <w:rsid w:val="00EA1DD3"/>
    <w:rsid w:val="00EA264E"/>
    <w:rsid w:val="00EA5BEC"/>
    <w:rsid w:val="00EA601D"/>
    <w:rsid w:val="00EA6CA7"/>
    <w:rsid w:val="00EB1D31"/>
    <w:rsid w:val="00EB4795"/>
    <w:rsid w:val="00EB4D53"/>
    <w:rsid w:val="00EB59AC"/>
    <w:rsid w:val="00EB6626"/>
    <w:rsid w:val="00EB7A13"/>
    <w:rsid w:val="00EC0188"/>
    <w:rsid w:val="00EC0383"/>
    <w:rsid w:val="00EC283C"/>
    <w:rsid w:val="00EC2AB0"/>
    <w:rsid w:val="00EC333F"/>
    <w:rsid w:val="00EC4D3F"/>
    <w:rsid w:val="00EC602E"/>
    <w:rsid w:val="00EC6533"/>
    <w:rsid w:val="00EC68FA"/>
    <w:rsid w:val="00ED1044"/>
    <w:rsid w:val="00ED1C4F"/>
    <w:rsid w:val="00ED33DB"/>
    <w:rsid w:val="00ED3623"/>
    <w:rsid w:val="00ED3E3A"/>
    <w:rsid w:val="00ED5C7E"/>
    <w:rsid w:val="00ED6EBB"/>
    <w:rsid w:val="00ED7DD2"/>
    <w:rsid w:val="00EE309F"/>
    <w:rsid w:val="00EE5B92"/>
    <w:rsid w:val="00EE5EE8"/>
    <w:rsid w:val="00EE662F"/>
    <w:rsid w:val="00EE7CD0"/>
    <w:rsid w:val="00EF09AD"/>
    <w:rsid w:val="00EF2DC6"/>
    <w:rsid w:val="00EF40A2"/>
    <w:rsid w:val="00EF447C"/>
    <w:rsid w:val="00EF5953"/>
    <w:rsid w:val="00EF6778"/>
    <w:rsid w:val="00F004B1"/>
    <w:rsid w:val="00F0128E"/>
    <w:rsid w:val="00F02D99"/>
    <w:rsid w:val="00F03D95"/>
    <w:rsid w:val="00F04626"/>
    <w:rsid w:val="00F0660F"/>
    <w:rsid w:val="00F113F0"/>
    <w:rsid w:val="00F1293D"/>
    <w:rsid w:val="00F12ADB"/>
    <w:rsid w:val="00F12CC4"/>
    <w:rsid w:val="00F1300A"/>
    <w:rsid w:val="00F131CE"/>
    <w:rsid w:val="00F15010"/>
    <w:rsid w:val="00F15E94"/>
    <w:rsid w:val="00F16696"/>
    <w:rsid w:val="00F1761E"/>
    <w:rsid w:val="00F176A7"/>
    <w:rsid w:val="00F17BE0"/>
    <w:rsid w:val="00F208B3"/>
    <w:rsid w:val="00F21B57"/>
    <w:rsid w:val="00F21DB6"/>
    <w:rsid w:val="00F22CB7"/>
    <w:rsid w:val="00F24974"/>
    <w:rsid w:val="00F25B03"/>
    <w:rsid w:val="00F26B9E"/>
    <w:rsid w:val="00F27CF7"/>
    <w:rsid w:val="00F27F44"/>
    <w:rsid w:val="00F324FB"/>
    <w:rsid w:val="00F3297F"/>
    <w:rsid w:val="00F32F40"/>
    <w:rsid w:val="00F33B1C"/>
    <w:rsid w:val="00F3539E"/>
    <w:rsid w:val="00F40311"/>
    <w:rsid w:val="00F41184"/>
    <w:rsid w:val="00F423DB"/>
    <w:rsid w:val="00F42F03"/>
    <w:rsid w:val="00F432AA"/>
    <w:rsid w:val="00F44416"/>
    <w:rsid w:val="00F506CB"/>
    <w:rsid w:val="00F5107F"/>
    <w:rsid w:val="00F51A62"/>
    <w:rsid w:val="00F51E55"/>
    <w:rsid w:val="00F570EC"/>
    <w:rsid w:val="00F5739D"/>
    <w:rsid w:val="00F60373"/>
    <w:rsid w:val="00F647BF"/>
    <w:rsid w:val="00F6503D"/>
    <w:rsid w:val="00F65853"/>
    <w:rsid w:val="00F65D99"/>
    <w:rsid w:val="00F714C0"/>
    <w:rsid w:val="00F714E0"/>
    <w:rsid w:val="00F7173E"/>
    <w:rsid w:val="00F7329A"/>
    <w:rsid w:val="00F75598"/>
    <w:rsid w:val="00F765E7"/>
    <w:rsid w:val="00F772BB"/>
    <w:rsid w:val="00F7799A"/>
    <w:rsid w:val="00F83315"/>
    <w:rsid w:val="00F838DC"/>
    <w:rsid w:val="00F851C2"/>
    <w:rsid w:val="00F85C20"/>
    <w:rsid w:val="00F8602C"/>
    <w:rsid w:val="00F96B08"/>
    <w:rsid w:val="00F96EF0"/>
    <w:rsid w:val="00FA0103"/>
    <w:rsid w:val="00FA193F"/>
    <w:rsid w:val="00FA213C"/>
    <w:rsid w:val="00FA24ED"/>
    <w:rsid w:val="00FA2624"/>
    <w:rsid w:val="00FA6E25"/>
    <w:rsid w:val="00FA7DF2"/>
    <w:rsid w:val="00FB0899"/>
    <w:rsid w:val="00FB0D0F"/>
    <w:rsid w:val="00FB1F1F"/>
    <w:rsid w:val="00FB256A"/>
    <w:rsid w:val="00FB3B80"/>
    <w:rsid w:val="00FB6B1A"/>
    <w:rsid w:val="00FB6FC2"/>
    <w:rsid w:val="00FB7D9E"/>
    <w:rsid w:val="00FC1FD6"/>
    <w:rsid w:val="00FC2C66"/>
    <w:rsid w:val="00FC430B"/>
    <w:rsid w:val="00FC45BC"/>
    <w:rsid w:val="00FD1E5D"/>
    <w:rsid w:val="00FD2517"/>
    <w:rsid w:val="00FD3258"/>
    <w:rsid w:val="00FD6763"/>
    <w:rsid w:val="00FD77A4"/>
    <w:rsid w:val="00FE0362"/>
    <w:rsid w:val="00FE2B7C"/>
    <w:rsid w:val="00FE5458"/>
    <w:rsid w:val="00FE6305"/>
    <w:rsid w:val="00FE6BE6"/>
    <w:rsid w:val="00FE6E98"/>
    <w:rsid w:val="00FE7A9C"/>
    <w:rsid w:val="00FF1312"/>
    <w:rsid w:val="00FF3075"/>
    <w:rsid w:val="00FF3943"/>
    <w:rsid w:val="00FF75D5"/>
    <w:rsid w:val="00FF7BD0"/>
    <w:rsid w:val="0125701C"/>
    <w:rsid w:val="03F020D3"/>
    <w:rsid w:val="041F1B0A"/>
    <w:rsid w:val="04AE1E60"/>
    <w:rsid w:val="066E40B5"/>
    <w:rsid w:val="076D5A73"/>
    <w:rsid w:val="07C83DEC"/>
    <w:rsid w:val="08016791"/>
    <w:rsid w:val="08495763"/>
    <w:rsid w:val="0A303ACA"/>
    <w:rsid w:val="0A555F4C"/>
    <w:rsid w:val="0A7533CB"/>
    <w:rsid w:val="0CB35CD6"/>
    <w:rsid w:val="0D8F4CA4"/>
    <w:rsid w:val="0E214EC1"/>
    <w:rsid w:val="0F3F7919"/>
    <w:rsid w:val="10AA73F0"/>
    <w:rsid w:val="10F74EBC"/>
    <w:rsid w:val="11DA3D05"/>
    <w:rsid w:val="124F46F3"/>
    <w:rsid w:val="14983A03"/>
    <w:rsid w:val="15080B89"/>
    <w:rsid w:val="15970CE5"/>
    <w:rsid w:val="15A24BE5"/>
    <w:rsid w:val="164F0D17"/>
    <w:rsid w:val="167E5DFB"/>
    <w:rsid w:val="182A7EA7"/>
    <w:rsid w:val="18524CAE"/>
    <w:rsid w:val="195B1BCF"/>
    <w:rsid w:val="1A580935"/>
    <w:rsid w:val="1B5C5C9A"/>
    <w:rsid w:val="1BBD091F"/>
    <w:rsid w:val="1CFF0B86"/>
    <w:rsid w:val="1D757154"/>
    <w:rsid w:val="201725C8"/>
    <w:rsid w:val="21154D5A"/>
    <w:rsid w:val="240732CD"/>
    <w:rsid w:val="243B4AD7"/>
    <w:rsid w:val="24425C5B"/>
    <w:rsid w:val="2446522A"/>
    <w:rsid w:val="26770A2D"/>
    <w:rsid w:val="26CB1A16"/>
    <w:rsid w:val="2A895E70"/>
    <w:rsid w:val="2AA44A58"/>
    <w:rsid w:val="2B4520BE"/>
    <w:rsid w:val="2C5D6125"/>
    <w:rsid w:val="2D236C81"/>
    <w:rsid w:val="2DDD0096"/>
    <w:rsid w:val="2E00644A"/>
    <w:rsid w:val="317F7AA7"/>
    <w:rsid w:val="32A23326"/>
    <w:rsid w:val="32E53ABF"/>
    <w:rsid w:val="32F10A57"/>
    <w:rsid w:val="33065BE6"/>
    <w:rsid w:val="33F67926"/>
    <w:rsid w:val="349B511E"/>
    <w:rsid w:val="354951AF"/>
    <w:rsid w:val="38324A17"/>
    <w:rsid w:val="3BA16EF8"/>
    <w:rsid w:val="3CD34851"/>
    <w:rsid w:val="3D89020A"/>
    <w:rsid w:val="3DEF1D1A"/>
    <w:rsid w:val="3E352BC4"/>
    <w:rsid w:val="3EB75DE9"/>
    <w:rsid w:val="3FA10047"/>
    <w:rsid w:val="414F3004"/>
    <w:rsid w:val="41553397"/>
    <w:rsid w:val="416E728D"/>
    <w:rsid w:val="41742F7F"/>
    <w:rsid w:val="425409AA"/>
    <w:rsid w:val="449D0479"/>
    <w:rsid w:val="44B6664C"/>
    <w:rsid w:val="497A0B79"/>
    <w:rsid w:val="49BE748D"/>
    <w:rsid w:val="4C3A0D40"/>
    <w:rsid w:val="4D205B7E"/>
    <w:rsid w:val="4EE51018"/>
    <w:rsid w:val="506743B3"/>
    <w:rsid w:val="52D3420D"/>
    <w:rsid w:val="5483631E"/>
    <w:rsid w:val="54CB0A2E"/>
    <w:rsid w:val="552A5609"/>
    <w:rsid w:val="55EC7130"/>
    <w:rsid w:val="56822F59"/>
    <w:rsid w:val="56931646"/>
    <w:rsid w:val="586553E6"/>
    <w:rsid w:val="58876AA7"/>
    <w:rsid w:val="596243E6"/>
    <w:rsid w:val="59E00D5A"/>
    <w:rsid w:val="5BF56707"/>
    <w:rsid w:val="5C010C97"/>
    <w:rsid w:val="5CF27DC4"/>
    <w:rsid w:val="5F9A5E4E"/>
    <w:rsid w:val="60103B67"/>
    <w:rsid w:val="601D1118"/>
    <w:rsid w:val="60597AB8"/>
    <w:rsid w:val="614C3443"/>
    <w:rsid w:val="6239409A"/>
    <w:rsid w:val="64291ECD"/>
    <w:rsid w:val="64572560"/>
    <w:rsid w:val="645771EC"/>
    <w:rsid w:val="65EC7EBE"/>
    <w:rsid w:val="66100C18"/>
    <w:rsid w:val="67C940CC"/>
    <w:rsid w:val="697C1B88"/>
    <w:rsid w:val="699166E8"/>
    <w:rsid w:val="6F40431D"/>
    <w:rsid w:val="6FF63E4E"/>
    <w:rsid w:val="72C45C3B"/>
    <w:rsid w:val="74870883"/>
    <w:rsid w:val="76434F77"/>
    <w:rsid w:val="773A1F90"/>
    <w:rsid w:val="78673446"/>
    <w:rsid w:val="79062FFF"/>
    <w:rsid w:val="7A65148B"/>
    <w:rsid w:val="7B14665D"/>
    <w:rsid w:val="7C8021FC"/>
    <w:rsid w:val="7D830876"/>
    <w:rsid w:val="7E682F48"/>
    <w:rsid w:val="7F423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nhideWhenUsed="0"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pPr>
    <w:rPr>
      <w:rFonts w:asciiTheme="minorHAnsi" w:hAnsiTheme="minorHAnsi" w:eastAsiaTheme="minorEastAsia" w:cstheme="minorBidi"/>
      <w:kern w:val="2"/>
      <w:sz w:val="24"/>
      <w:szCs w:val="21"/>
      <w:lang w:val="en-US" w:eastAsia="zh-CN" w:bidi="ar-SA"/>
    </w:rPr>
  </w:style>
  <w:style w:type="paragraph" w:styleId="2">
    <w:name w:val="heading 1"/>
    <w:basedOn w:val="1"/>
    <w:next w:val="1"/>
    <w:link w:val="39"/>
    <w:qFormat/>
    <w:uiPriority w:val="0"/>
    <w:pPr>
      <w:keepNext/>
      <w:keepLines/>
      <w:pageBreakBefore/>
      <w:numPr>
        <w:ilvl w:val="0"/>
        <w:numId w:val="1"/>
      </w:numPr>
      <w:spacing w:before="100" w:beforeAutospacing="1" w:after="100" w:afterAutospacing="1"/>
      <w:ind w:firstLineChars="0"/>
      <w:jc w:val="center"/>
      <w:outlineLvl w:val="0"/>
    </w:pPr>
    <w:rPr>
      <w:b/>
      <w:bCs/>
      <w:kern w:val="44"/>
      <w:sz w:val="32"/>
      <w:szCs w:val="44"/>
    </w:rPr>
  </w:style>
  <w:style w:type="paragraph" w:styleId="3">
    <w:name w:val="heading 2"/>
    <w:basedOn w:val="1"/>
    <w:next w:val="1"/>
    <w:link w:val="40"/>
    <w:unhideWhenUsed/>
    <w:qFormat/>
    <w:uiPriority w:val="9"/>
    <w:pPr>
      <w:keepNext/>
      <w:keepLines/>
      <w:numPr>
        <w:ilvl w:val="1"/>
        <w:numId w:val="1"/>
      </w:numPr>
      <w:ind w:firstLineChars="0"/>
      <w:outlineLvl w:val="1"/>
    </w:pPr>
    <w:rPr>
      <w:rFonts w:asciiTheme="majorHAnsi" w:hAnsiTheme="majorHAnsi" w:eastAsiaTheme="majorEastAsia" w:cstheme="majorBidi"/>
      <w:b/>
      <w:bCs/>
      <w:sz w:val="28"/>
      <w:szCs w:val="32"/>
    </w:rPr>
  </w:style>
  <w:style w:type="paragraph" w:styleId="4">
    <w:name w:val="heading 3"/>
    <w:basedOn w:val="1"/>
    <w:next w:val="1"/>
    <w:link w:val="41"/>
    <w:unhideWhenUsed/>
    <w:qFormat/>
    <w:uiPriority w:val="0"/>
    <w:pPr>
      <w:keepNext/>
      <w:keepLines/>
      <w:numPr>
        <w:ilvl w:val="2"/>
        <w:numId w:val="1"/>
      </w:numPr>
      <w:ind w:firstLineChars="0"/>
      <w:outlineLvl w:val="2"/>
    </w:pPr>
    <w:rPr>
      <w:b/>
      <w:bCs/>
      <w:szCs w:val="32"/>
    </w:rPr>
  </w:style>
  <w:style w:type="paragraph" w:styleId="5">
    <w:name w:val="heading 4"/>
    <w:basedOn w:val="1"/>
    <w:next w:val="1"/>
    <w:link w:val="44"/>
    <w:unhideWhenUsed/>
    <w:qFormat/>
    <w:uiPriority w:val="0"/>
    <w:pPr>
      <w:keepNext/>
      <w:keepLines/>
      <w:numPr>
        <w:ilvl w:val="3"/>
        <w:numId w:val="1"/>
      </w:numPr>
      <w:ind w:firstLineChars="0"/>
      <w:outlineLvl w:val="3"/>
    </w:pPr>
    <w:rPr>
      <w:rFonts w:eastAsia="宋体" w:asciiTheme="majorHAnsi" w:hAnsiTheme="majorHAnsi" w:cstheme="majorBidi"/>
      <w:b/>
      <w:bCs/>
      <w:szCs w:val="28"/>
    </w:rPr>
  </w:style>
  <w:style w:type="paragraph" w:styleId="6">
    <w:name w:val="heading 5"/>
    <w:basedOn w:val="1"/>
    <w:next w:val="1"/>
    <w:link w:val="47"/>
    <w:unhideWhenUsed/>
    <w:qFormat/>
    <w:uiPriority w:val="0"/>
    <w:pPr>
      <w:keepNext/>
      <w:keepLines/>
      <w:numPr>
        <w:ilvl w:val="4"/>
        <w:numId w:val="1"/>
      </w:numPr>
      <w:ind w:firstLineChars="0"/>
      <w:jc w:val="both"/>
      <w:outlineLvl w:val="4"/>
    </w:pPr>
    <w:rPr>
      <w:rFonts w:ascii="Calibri" w:hAnsi="Calibri" w:eastAsia="宋体" w:cs="Times New Roman"/>
      <w:b/>
      <w:bCs/>
      <w:szCs w:val="28"/>
      <w:lang w:val="zh-CN"/>
    </w:rPr>
  </w:style>
  <w:style w:type="paragraph" w:styleId="7">
    <w:name w:val="heading 6"/>
    <w:basedOn w:val="1"/>
    <w:next w:val="1"/>
    <w:link w:val="48"/>
    <w:unhideWhenUsed/>
    <w:qFormat/>
    <w:uiPriority w:val="0"/>
    <w:pPr>
      <w:keepNext/>
      <w:keepLines/>
      <w:numPr>
        <w:ilvl w:val="5"/>
        <w:numId w:val="1"/>
      </w:numPr>
      <w:spacing w:before="240" w:after="64" w:line="320" w:lineRule="auto"/>
      <w:ind w:firstLineChars="0"/>
      <w:jc w:val="both"/>
      <w:outlineLvl w:val="5"/>
    </w:pPr>
    <w:rPr>
      <w:rFonts w:ascii="Cambria" w:hAnsi="Cambria" w:eastAsia="宋体" w:cs="Times New Roman"/>
      <w:b/>
      <w:bCs/>
      <w:szCs w:val="24"/>
      <w:lang w:val="zh-CN"/>
    </w:rPr>
  </w:style>
  <w:style w:type="paragraph" w:styleId="8">
    <w:name w:val="heading 7"/>
    <w:basedOn w:val="1"/>
    <w:next w:val="1"/>
    <w:link w:val="49"/>
    <w:unhideWhenUsed/>
    <w:qFormat/>
    <w:uiPriority w:val="0"/>
    <w:pPr>
      <w:keepNext/>
      <w:keepLines/>
      <w:spacing w:before="240" w:after="64" w:line="320" w:lineRule="auto"/>
      <w:ind w:left="1296" w:hanging="1296" w:firstLineChars="0"/>
      <w:jc w:val="both"/>
      <w:outlineLvl w:val="6"/>
    </w:pPr>
    <w:rPr>
      <w:rFonts w:ascii="Calibri" w:hAnsi="Calibri" w:eastAsia="宋体" w:cs="Times New Roman"/>
      <w:b/>
      <w:bCs/>
      <w:szCs w:val="24"/>
      <w:lang w:val="zh-CN"/>
    </w:rPr>
  </w:style>
  <w:style w:type="paragraph" w:styleId="9">
    <w:name w:val="heading 8"/>
    <w:basedOn w:val="1"/>
    <w:next w:val="1"/>
    <w:link w:val="50"/>
    <w:qFormat/>
    <w:uiPriority w:val="0"/>
    <w:pPr>
      <w:keepNext/>
      <w:keepLines/>
      <w:spacing w:before="240" w:after="64" w:line="320" w:lineRule="auto"/>
      <w:ind w:left="1440" w:hanging="1440" w:firstLineChars="0"/>
      <w:jc w:val="both"/>
      <w:outlineLvl w:val="7"/>
    </w:pPr>
    <w:rPr>
      <w:rFonts w:ascii="Arial" w:hAnsi="Arial" w:eastAsia="黑体" w:cs="Times New Roman"/>
      <w:szCs w:val="24"/>
    </w:rPr>
  </w:style>
  <w:style w:type="paragraph" w:styleId="10">
    <w:name w:val="heading 9"/>
    <w:basedOn w:val="1"/>
    <w:next w:val="1"/>
    <w:link w:val="51"/>
    <w:unhideWhenUsed/>
    <w:qFormat/>
    <w:uiPriority w:val="0"/>
    <w:pPr>
      <w:keepNext/>
      <w:keepLines/>
      <w:spacing w:before="240" w:after="64" w:line="320" w:lineRule="auto"/>
      <w:ind w:left="1584" w:hanging="1584" w:firstLineChars="0"/>
      <w:jc w:val="both"/>
      <w:outlineLvl w:val="8"/>
    </w:pPr>
    <w:rPr>
      <w:rFonts w:ascii="Cambria" w:hAnsi="Cambria" w:eastAsia="宋体" w:cs="Times New Roman"/>
      <w:sz w:val="21"/>
      <w:lang w:val="zh-CN"/>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ind w:left="1440"/>
    </w:pPr>
    <w:rPr>
      <w:rFonts w:cstheme="minorHAnsi"/>
      <w:sz w:val="18"/>
      <w:szCs w:val="18"/>
    </w:rPr>
  </w:style>
  <w:style w:type="paragraph" w:styleId="12">
    <w:name w:val="caption"/>
    <w:basedOn w:val="1"/>
    <w:next w:val="1"/>
    <w:unhideWhenUsed/>
    <w:qFormat/>
    <w:uiPriority w:val="35"/>
    <w:rPr>
      <w:rFonts w:eastAsia="黑体" w:asciiTheme="majorHAnsi" w:hAnsiTheme="majorHAnsi" w:cstheme="majorBidi"/>
      <w:sz w:val="20"/>
      <w:szCs w:val="20"/>
    </w:rPr>
  </w:style>
  <w:style w:type="paragraph" w:styleId="13">
    <w:name w:val="Body Text"/>
    <w:basedOn w:val="1"/>
    <w:link w:val="45"/>
    <w:qFormat/>
    <w:uiPriority w:val="1"/>
    <w:pPr>
      <w:spacing w:before="161" w:line="240" w:lineRule="auto"/>
      <w:ind w:left="220" w:firstLine="0" w:firstLineChars="0"/>
    </w:pPr>
    <w:rPr>
      <w:rFonts w:ascii="仿宋" w:hAnsi="仿宋" w:eastAsia="仿宋"/>
      <w:kern w:val="0"/>
      <w:sz w:val="28"/>
      <w:szCs w:val="28"/>
      <w:lang w:eastAsia="en-US"/>
    </w:rPr>
  </w:style>
  <w:style w:type="paragraph" w:styleId="14">
    <w:name w:val="toc 5"/>
    <w:basedOn w:val="1"/>
    <w:next w:val="1"/>
    <w:autoRedefine/>
    <w:unhideWhenUsed/>
    <w:qFormat/>
    <w:uiPriority w:val="39"/>
    <w:pPr>
      <w:ind w:left="960"/>
    </w:pPr>
    <w:rPr>
      <w:rFonts w:cstheme="minorHAnsi"/>
      <w:sz w:val="18"/>
      <w:szCs w:val="18"/>
    </w:rPr>
  </w:style>
  <w:style w:type="paragraph" w:styleId="15">
    <w:name w:val="toc 3"/>
    <w:basedOn w:val="1"/>
    <w:next w:val="1"/>
    <w:autoRedefine/>
    <w:unhideWhenUsed/>
    <w:qFormat/>
    <w:uiPriority w:val="39"/>
    <w:pPr>
      <w:ind w:left="480"/>
    </w:pPr>
    <w:rPr>
      <w:rFonts w:cstheme="minorHAnsi"/>
      <w:iCs/>
      <w:sz w:val="20"/>
      <w:szCs w:val="20"/>
    </w:rPr>
  </w:style>
  <w:style w:type="paragraph" w:styleId="16">
    <w:name w:val="Plain Text"/>
    <w:basedOn w:val="1"/>
    <w:link w:val="69"/>
    <w:qFormat/>
    <w:uiPriority w:val="0"/>
    <w:pPr>
      <w:ind w:firstLine="0" w:firstLineChars="0"/>
      <w:jc w:val="both"/>
    </w:pPr>
    <w:rPr>
      <w:rFonts w:ascii="宋体" w:hAnsi="Courier New" w:eastAsia="宋体" w:cs="Courier New"/>
      <w:sz w:val="21"/>
    </w:rPr>
  </w:style>
  <w:style w:type="paragraph" w:styleId="17">
    <w:name w:val="toc 8"/>
    <w:basedOn w:val="1"/>
    <w:next w:val="1"/>
    <w:autoRedefine/>
    <w:unhideWhenUsed/>
    <w:qFormat/>
    <w:uiPriority w:val="39"/>
    <w:pPr>
      <w:ind w:left="1680"/>
    </w:pPr>
    <w:rPr>
      <w:rFonts w:cstheme="minorHAnsi"/>
      <w:sz w:val="18"/>
      <w:szCs w:val="18"/>
    </w:rPr>
  </w:style>
  <w:style w:type="paragraph" w:styleId="18">
    <w:name w:val="Balloon Text"/>
    <w:basedOn w:val="1"/>
    <w:link w:val="43"/>
    <w:semiHidden/>
    <w:unhideWhenUsed/>
    <w:qFormat/>
    <w:uiPriority w:val="99"/>
    <w:pPr>
      <w:spacing w:line="240" w:lineRule="auto"/>
    </w:pPr>
    <w:rPr>
      <w:sz w:val="18"/>
      <w:szCs w:val="18"/>
    </w:rPr>
  </w:style>
  <w:style w:type="paragraph" w:styleId="19">
    <w:name w:val="footer"/>
    <w:basedOn w:val="1"/>
    <w:link w:val="37"/>
    <w:unhideWhenUsed/>
    <w:qFormat/>
    <w:uiPriority w:val="99"/>
    <w:pPr>
      <w:tabs>
        <w:tab w:val="center" w:pos="4153"/>
        <w:tab w:val="right" w:pos="8306"/>
      </w:tabs>
      <w:snapToGrid w:val="0"/>
    </w:pPr>
    <w:rPr>
      <w:sz w:val="18"/>
      <w:szCs w:val="18"/>
    </w:rPr>
  </w:style>
  <w:style w:type="paragraph" w:styleId="20">
    <w:name w:val="header"/>
    <w:basedOn w:val="1"/>
    <w:link w:val="36"/>
    <w:unhideWhenUsed/>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autoRedefine/>
    <w:unhideWhenUsed/>
    <w:qFormat/>
    <w:uiPriority w:val="39"/>
    <w:pPr>
      <w:spacing w:before="120" w:after="120"/>
    </w:pPr>
    <w:rPr>
      <w:rFonts w:cstheme="minorHAnsi"/>
      <w:b/>
      <w:bCs/>
      <w:caps/>
      <w:sz w:val="20"/>
      <w:szCs w:val="20"/>
    </w:rPr>
  </w:style>
  <w:style w:type="paragraph" w:styleId="22">
    <w:name w:val="toc 4"/>
    <w:basedOn w:val="1"/>
    <w:next w:val="1"/>
    <w:autoRedefine/>
    <w:unhideWhenUsed/>
    <w:qFormat/>
    <w:uiPriority w:val="39"/>
    <w:pPr>
      <w:ind w:left="720"/>
    </w:pPr>
    <w:rPr>
      <w:rFonts w:cstheme="minorHAnsi"/>
      <w:sz w:val="18"/>
      <w:szCs w:val="18"/>
    </w:rPr>
  </w:style>
  <w:style w:type="paragraph" w:styleId="23">
    <w:name w:val="Subtitle"/>
    <w:basedOn w:val="1"/>
    <w:next w:val="1"/>
    <w:link w:val="52"/>
    <w:qFormat/>
    <w:uiPriority w:val="0"/>
    <w:pPr>
      <w:spacing w:before="240" w:after="60" w:line="312" w:lineRule="auto"/>
      <w:ind w:firstLine="0" w:firstLineChars="0"/>
      <w:jc w:val="center"/>
      <w:outlineLvl w:val="1"/>
    </w:pPr>
    <w:rPr>
      <w:rFonts w:ascii="Cambria" w:hAnsi="Cambria" w:eastAsia="宋体" w:cs="Times New Roman"/>
      <w:b/>
      <w:bCs/>
      <w:kern w:val="28"/>
      <w:sz w:val="32"/>
      <w:szCs w:val="32"/>
    </w:rPr>
  </w:style>
  <w:style w:type="paragraph" w:styleId="24">
    <w:name w:val="toc 6"/>
    <w:basedOn w:val="1"/>
    <w:next w:val="1"/>
    <w:autoRedefine/>
    <w:unhideWhenUsed/>
    <w:qFormat/>
    <w:uiPriority w:val="39"/>
    <w:pPr>
      <w:ind w:left="1200"/>
    </w:pPr>
    <w:rPr>
      <w:rFonts w:cstheme="minorHAnsi"/>
      <w:sz w:val="18"/>
      <w:szCs w:val="18"/>
    </w:rPr>
  </w:style>
  <w:style w:type="paragraph" w:styleId="25">
    <w:name w:val="toc 2"/>
    <w:basedOn w:val="1"/>
    <w:next w:val="1"/>
    <w:autoRedefine/>
    <w:unhideWhenUsed/>
    <w:qFormat/>
    <w:uiPriority w:val="39"/>
    <w:pPr>
      <w:ind w:left="240"/>
    </w:pPr>
    <w:rPr>
      <w:rFonts w:cstheme="minorHAnsi"/>
      <w:smallCaps/>
      <w:sz w:val="20"/>
      <w:szCs w:val="20"/>
    </w:rPr>
  </w:style>
  <w:style w:type="paragraph" w:styleId="26">
    <w:name w:val="toc 9"/>
    <w:basedOn w:val="1"/>
    <w:next w:val="1"/>
    <w:autoRedefine/>
    <w:unhideWhenUsed/>
    <w:qFormat/>
    <w:uiPriority w:val="39"/>
    <w:pPr>
      <w:ind w:left="1920"/>
    </w:pPr>
    <w:rPr>
      <w:rFonts w:cstheme="minorHAnsi"/>
      <w:sz w:val="18"/>
      <w:szCs w:val="18"/>
    </w:rPr>
  </w:style>
  <w:style w:type="paragraph" w:styleId="27">
    <w:name w:val="Normal (Web)"/>
    <w:basedOn w:val="1"/>
    <w:unhideWhenUsed/>
    <w:qFormat/>
    <w:uiPriority w:val="99"/>
    <w:pPr>
      <w:widowControl/>
      <w:spacing w:before="100" w:beforeAutospacing="1" w:after="100" w:afterAutospacing="1" w:line="240" w:lineRule="auto"/>
      <w:ind w:firstLine="0" w:firstLineChars="0"/>
    </w:pPr>
    <w:rPr>
      <w:rFonts w:ascii="宋体" w:hAnsi="宋体" w:eastAsia="宋体" w:cs="宋体"/>
      <w:kern w:val="0"/>
      <w:szCs w:val="24"/>
    </w:rPr>
  </w:style>
  <w:style w:type="paragraph" w:styleId="28">
    <w:name w:val="Title"/>
    <w:basedOn w:val="1"/>
    <w:next w:val="1"/>
    <w:link w:val="60"/>
    <w:qFormat/>
    <w:uiPriority w:val="10"/>
    <w:pPr>
      <w:ind w:firstLine="0" w:firstLineChars="0"/>
      <w:jc w:val="center"/>
    </w:pPr>
    <w:rPr>
      <w:rFonts w:asciiTheme="majorHAnsi" w:hAnsiTheme="majorHAnsi" w:eastAsiaTheme="majorEastAsia" w:cstheme="majorBidi"/>
      <w:b/>
      <w:bCs/>
      <w:szCs w:val="32"/>
    </w:rPr>
  </w:style>
  <w:style w:type="table" w:styleId="30">
    <w:name w:val="Table Grid"/>
    <w:basedOn w:val="2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2">
    <w:name w:val="page number"/>
    <w:basedOn w:val="31"/>
    <w:qFormat/>
    <w:uiPriority w:val="0"/>
  </w:style>
  <w:style w:type="character" w:styleId="33">
    <w:name w:val="FollowedHyperlink"/>
    <w:basedOn w:val="31"/>
    <w:semiHidden/>
    <w:unhideWhenUsed/>
    <w:qFormat/>
    <w:uiPriority w:val="99"/>
    <w:rPr>
      <w:color w:val="800080"/>
      <w:u w:val="single"/>
    </w:rPr>
  </w:style>
  <w:style w:type="character" w:styleId="34">
    <w:name w:val="Hyperlink"/>
    <w:basedOn w:val="31"/>
    <w:unhideWhenUsed/>
    <w:qFormat/>
    <w:uiPriority w:val="99"/>
    <w:rPr>
      <w:color w:val="0000FF" w:themeColor="hyperlink"/>
      <w:u w:val="single"/>
      <w14:textFill>
        <w14:solidFill>
          <w14:schemeClr w14:val="hlink"/>
        </w14:solidFill>
      </w14:textFill>
    </w:rPr>
  </w:style>
  <w:style w:type="paragraph" w:customStyle="1" w:styleId="35">
    <w:name w:val="table of authorities1"/>
    <w:basedOn w:val="1"/>
    <w:next w:val="1"/>
    <w:qFormat/>
    <w:uiPriority w:val="0"/>
    <w:pPr>
      <w:ind w:left="420" w:leftChars="200"/>
    </w:pPr>
    <w:rPr>
      <w:rFonts w:ascii="Calibri" w:hAnsi="Calibri" w:eastAsia="宋体" w:cs="Times New Roman"/>
      <w:b/>
    </w:rPr>
  </w:style>
  <w:style w:type="character" w:customStyle="1" w:styleId="36">
    <w:name w:val="页眉 Char"/>
    <w:basedOn w:val="31"/>
    <w:link w:val="20"/>
    <w:qFormat/>
    <w:uiPriority w:val="99"/>
    <w:rPr>
      <w:sz w:val="18"/>
      <w:szCs w:val="18"/>
    </w:rPr>
  </w:style>
  <w:style w:type="character" w:customStyle="1" w:styleId="37">
    <w:name w:val="页脚 Char"/>
    <w:basedOn w:val="31"/>
    <w:link w:val="19"/>
    <w:qFormat/>
    <w:uiPriority w:val="99"/>
    <w:rPr>
      <w:sz w:val="18"/>
      <w:szCs w:val="18"/>
    </w:rPr>
  </w:style>
  <w:style w:type="paragraph" w:styleId="38">
    <w:name w:val="List Paragraph"/>
    <w:basedOn w:val="1"/>
    <w:qFormat/>
    <w:uiPriority w:val="34"/>
    <w:pPr>
      <w:ind w:firstLine="420"/>
    </w:pPr>
  </w:style>
  <w:style w:type="character" w:customStyle="1" w:styleId="39">
    <w:name w:val="标题 1 Char"/>
    <w:basedOn w:val="31"/>
    <w:link w:val="2"/>
    <w:qFormat/>
    <w:uiPriority w:val="0"/>
    <w:rPr>
      <w:b/>
      <w:bCs/>
      <w:kern w:val="44"/>
      <w:sz w:val="32"/>
      <w:szCs w:val="44"/>
    </w:rPr>
  </w:style>
  <w:style w:type="character" w:customStyle="1" w:styleId="40">
    <w:name w:val="标题 2 Char"/>
    <w:basedOn w:val="31"/>
    <w:link w:val="3"/>
    <w:qFormat/>
    <w:uiPriority w:val="9"/>
    <w:rPr>
      <w:rFonts w:asciiTheme="majorHAnsi" w:hAnsiTheme="majorHAnsi" w:eastAsiaTheme="majorEastAsia" w:cstheme="majorBidi"/>
      <w:b/>
      <w:bCs/>
      <w:kern w:val="2"/>
      <w:sz w:val="28"/>
      <w:szCs w:val="32"/>
    </w:rPr>
  </w:style>
  <w:style w:type="character" w:customStyle="1" w:styleId="41">
    <w:name w:val="标题 3 Char"/>
    <w:basedOn w:val="31"/>
    <w:link w:val="4"/>
    <w:qFormat/>
    <w:uiPriority w:val="0"/>
    <w:rPr>
      <w:b/>
      <w:bCs/>
      <w:kern w:val="2"/>
      <w:sz w:val="24"/>
      <w:szCs w:val="32"/>
    </w:rPr>
  </w:style>
  <w:style w:type="paragraph" w:customStyle="1" w:styleId="42">
    <w:name w:val="TOC 标题1"/>
    <w:basedOn w:val="2"/>
    <w:next w:val="1"/>
    <w:semiHidden/>
    <w:unhideWhenUsed/>
    <w:qFormat/>
    <w:uiPriority w:val="39"/>
    <w:pPr>
      <w:widowControl/>
      <w:numPr>
        <w:numId w:val="0"/>
      </w:numPr>
      <w:spacing w:before="480" w:beforeAutospacing="0" w:after="0" w:afterAutospacing="0" w:line="276" w:lineRule="auto"/>
      <w:outlineLvl w:val="9"/>
    </w:pPr>
    <w:rPr>
      <w:rFonts w:asciiTheme="majorHAnsi" w:hAnsiTheme="majorHAnsi" w:eastAsiaTheme="majorEastAsia" w:cstheme="majorBidi"/>
      <w:color w:val="376092" w:themeColor="accent1" w:themeShade="BF"/>
      <w:kern w:val="0"/>
      <w:sz w:val="28"/>
      <w:szCs w:val="28"/>
    </w:rPr>
  </w:style>
  <w:style w:type="character" w:customStyle="1" w:styleId="43">
    <w:name w:val="批注框文本 Char"/>
    <w:basedOn w:val="31"/>
    <w:link w:val="18"/>
    <w:semiHidden/>
    <w:qFormat/>
    <w:uiPriority w:val="99"/>
    <w:rPr>
      <w:sz w:val="18"/>
      <w:szCs w:val="18"/>
    </w:rPr>
  </w:style>
  <w:style w:type="character" w:customStyle="1" w:styleId="44">
    <w:name w:val="标题 4 Char"/>
    <w:basedOn w:val="31"/>
    <w:link w:val="5"/>
    <w:qFormat/>
    <w:uiPriority w:val="0"/>
    <w:rPr>
      <w:rFonts w:eastAsia="宋体" w:asciiTheme="majorHAnsi" w:hAnsiTheme="majorHAnsi" w:cstheme="majorBidi"/>
      <w:b/>
      <w:bCs/>
      <w:kern w:val="2"/>
      <w:sz w:val="24"/>
      <w:szCs w:val="28"/>
    </w:rPr>
  </w:style>
  <w:style w:type="character" w:customStyle="1" w:styleId="45">
    <w:name w:val="正文文本 Char"/>
    <w:basedOn w:val="31"/>
    <w:link w:val="13"/>
    <w:qFormat/>
    <w:uiPriority w:val="1"/>
    <w:rPr>
      <w:rFonts w:ascii="仿宋" w:hAnsi="仿宋" w:eastAsia="仿宋"/>
      <w:kern w:val="0"/>
      <w:sz w:val="28"/>
      <w:szCs w:val="28"/>
      <w:lang w:eastAsia="en-US"/>
    </w:rPr>
  </w:style>
  <w:style w:type="table" w:customStyle="1" w:styleId="46">
    <w:name w:val="Table Normal"/>
    <w:semiHidden/>
    <w:unhideWhenUsed/>
    <w:qFormat/>
    <w:uiPriority w:val="2"/>
    <w:pPr>
      <w:widowControl w:val="0"/>
    </w:pPr>
    <w:rPr>
      <w:sz w:val="22"/>
      <w:lang w:eastAsia="en-US"/>
    </w:rPr>
    <w:tblPr>
      <w:tblCellMar>
        <w:top w:w="0" w:type="dxa"/>
        <w:left w:w="0" w:type="dxa"/>
        <w:bottom w:w="0" w:type="dxa"/>
        <w:right w:w="0" w:type="dxa"/>
      </w:tblCellMar>
    </w:tblPr>
  </w:style>
  <w:style w:type="character" w:customStyle="1" w:styleId="47">
    <w:name w:val="标题 5 Char"/>
    <w:basedOn w:val="31"/>
    <w:link w:val="6"/>
    <w:qFormat/>
    <w:uiPriority w:val="0"/>
    <w:rPr>
      <w:rFonts w:ascii="Calibri" w:hAnsi="Calibri" w:eastAsia="宋体" w:cs="Times New Roman"/>
      <w:b/>
      <w:bCs/>
      <w:sz w:val="24"/>
      <w:szCs w:val="28"/>
      <w:lang w:val="zh-CN" w:eastAsia="zh-CN"/>
    </w:rPr>
  </w:style>
  <w:style w:type="character" w:customStyle="1" w:styleId="48">
    <w:name w:val="标题 6 Char"/>
    <w:basedOn w:val="31"/>
    <w:link w:val="7"/>
    <w:qFormat/>
    <w:uiPriority w:val="0"/>
    <w:rPr>
      <w:rFonts w:ascii="Cambria" w:hAnsi="Cambria" w:eastAsia="宋体" w:cs="Times New Roman"/>
      <w:b/>
      <w:bCs/>
      <w:sz w:val="24"/>
      <w:szCs w:val="24"/>
      <w:lang w:val="zh-CN" w:eastAsia="zh-CN"/>
    </w:rPr>
  </w:style>
  <w:style w:type="character" w:customStyle="1" w:styleId="49">
    <w:name w:val="标题 7 Char"/>
    <w:basedOn w:val="31"/>
    <w:link w:val="8"/>
    <w:qFormat/>
    <w:uiPriority w:val="0"/>
    <w:rPr>
      <w:rFonts w:ascii="Calibri" w:hAnsi="Calibri" w:eastAsia="宋体" w:cs="Times New Roman"/>
      <w:b/>
      <w:bCs/>
      <w:sz w:val="24"/>
      <w:szCs w:val="24"/>
      <w:lang w:val="zh-CN" w:eastAsia="zh-CN"/>
    </w:rPr>
  </w:style>
  <w:style w:type="character" w:customStyle="1" w:styleId="50">
    <w:name w:val="标题 8 Char"/>
    <w:basedOn w:val="31"/>
    <w:link w:val="9"/>
    <w:qFormat/>
    <w:uiPriority w:val="0"/>
    <w:rPr>
      <w:rFonts w:ascii="Arial" w:hAnsi="Arial" w:eastAsia="黑体" w:cs="Times New Roman"/>
      <w:sz w:val="24"/>
      <w:szCs w:val="24"/>
    </w:rPr>
  </w:style>
  <w:style w:type="character" w:customStyle="1" w:styleId="51">
    <w:name w:val="标题 9 Char"/>
    <w:basedOn w:val="31"/>
    <w:link w:val="10"/>
    <w:qFormat/>
    <w:uiPriority w:val="0"/>
    <w:rPr>
      <w:rFonts w:ascii="Cambria" w:hAnsi="Cambria" w:eastAsia="宋体" w:cs="Times New Roman"/>
      <w:szCs w:val="21"/>
      <w:lang w:val="zh-CN" w:eastAsia="zh-CN"/>
    </w:rPr>
  </w:style>
  <w:style w:type="character" w:customStyle="1" w:styleId="52">
    <w:name w:val="副标题 Char"/>
    <w:basedOn w:val="31"/>
    <w:link w:val="23"/>
    <w:qFormat/>
    <w:uiPriority w:val="0"/>
    <w:rPr>
      <w:rFonts w:ascii="Cambria" w:hAnsi="Cambria" w:eastAsia="宋体" w:cs="Times New Roman"/>
      <w:b/>
      <w:bCs/>
      <w:kern w:val="28"/>
      <w:sz w:val="32"/>
      <w:szCs w:val="32"/>
    </w:rPr>
  </w:style>
  <w:style w:type="paragraph" w:customStyle="1" w:styleId="53">
    <w:name w:val="表格文字"/>
    <w:basedOn w:val="1"/>
    <w:link w:val="54"/>
    <w:qFormat/>
    <w:uiPriority w:val="0"/>
    <w:pPr>
      <w:spacing w:line="240" w:lineRule="auto"/>
      <w:ind w:firstLine="0" w:firstLineChars="0"/>
      <w:jc w:val="center"/>
    </w:pPr>
    <w:rPr>
      <w:rFonts w:ascii="Times New Roman" w:hAnsi="Times New Roman" w:cs="Times New Roman"/>
    </w:rPr>
  </w:style>
  <w:style w:type="character" w:customStyle="1" w:styleId="54">
    <w:name w:val="表格文字 字符"/>
    <w:basedOn w:val="31"/>
    <w:link w:val="53"/>
    <w:qFormat/>
    <w:uiPriority w:val="0"/>
    <w:rPr>
      <w:rFonts w:ascii="Times New Roman" w:hAnsi="Times New Roman" w:cs="Times New Roman"/>
      <w:sz w:val="24"/>
    </w:rPr>
  </w:style>
  <w:style w:type="character" w:customStyle="1" w:styleId="55">
    <w:name w:val="Unresolved Mention"/>
    <w:basedOn w:val="31"/>
    <w:semiHidden/>
    <w:unhideWhenUsed/>
    <w:qFormat/>
    <w:uiPriority w:val="99"/>
    <w:rPr>
      <w:color w:val="605E5C"/>
      <w:shd w:val="clear" w:color="auto" w:fill="E1DFDD"/>
    </w:rPr>
  </w:style>
  <w:style w:type="paragraph" w:customStyle="1" w:styleId="56">
    <w:name w:val="目录"/>
    <w:basedOn w:val="1"/>
    <w:link w:val="57"/>
    <w:qFormat/>
    <w:uiPriority w:val="0"/>
    <w:pPr>
      <w:ind w:firstLine="0" w:firstLineChars="0"/>
      <w:jc w:val="both"/>
    </w:pPr>
    <w:rPr>
      <w:rFonts w:ascii="Times New Roman" w:hAnsi="Times New Roman" w:cs="Times New Roman"/>
    </w:rPr>
  </w:style>
  <w:style w:type="character" w:customStyle="1" w:styleId="57">
    <w:name w:val="目录 字符"/>
    <w:basedOn w:val="31"/>
    <w:link w:val="56"/>
    <w:qFormat/>
    <w:uiPriority w:val="0"/>
    <w:rPr>
      <w:rFonts w:ascii="Times New Roman" w:hAnsi="Times New Roman" w:cs="Times New Roman"/>
      <w:sz w:val="24"/>
    </w:rPr>
  </w:style>
  <w:style w:type="character" w:customStyle="1" w:styleId="58">
    <w:name w:val="未处理的提及1"/>
    <w:basedOn w:val="31"/>
    <w:semiHidden/>
    <w:unhideWhenUsed/>
    <w:qFormat/>
    <w:uiPriority w:val="99"/>
    <w:rPr>
      <w:color w:val="605E5C"/>
      <w:shd w:val="clear" w:color="auto" w:fill="E1DFDD"/>
    </w:rPr>
  </w:style>
  <w:style w:type="paragraph" w:customStyle="1" w:styleId="59">
    <w:name w:val="Table Text"/>
    <w:basedOn w:val="1"/>
    <w:semiHidden/>
    <w:qFormat/>
    <w:uiPriority w:val="0"/>
    <w:pPr>
      <w:widowControl/>
      <w:kinsoku w:val="0"/>
      <w:autoSpaceDE w:val="0"/>
      <w:autoSpaceDN w:val="0"/>
      <w:adjustRightInd w:val="0"/>
      <w:snapToGrid w:val="0"/>
      <w:spacing w:line="240" w:lineRule="auto"/>
      <w:ind w:firstLine="0" w:firstLineChars="0"/>
      <w:textAlignment w:val="baseline"/>
    </w:pPr>
    <w:rPr>
      <w:rFonts w:ascii="宋体" w:hAnsi="宋体" w:eastAsia="宋体" w:cs="宋体"/>
      <w:snapToGrid w:val="0"/>
      <w:color w:val="000000"/>
      <w:kern w:val="0"/>
      <w:sz w:val="30"/>
      <w:szCs w:val="30"/>
      <w:lang w:eastAsia="en-US"/>
    </w:rPr>
  </w:style>
  <w:style w:type="character" w:customStyle="1" w:styleId="60">
    <w:name w:val="标题 Char"/>
    <w:basedOn w:val="31"/>
    <w:link w:val="28"/>
    <w:qFormat/>
    <w:uiPriority w:val="10"/>
    <w:rPr>
      <w:rFonts w:asciiTheme="majorHAnsi" w:hAnsiTheme="majorHAnsi" w:eastAsiaTheme="majorEastAsia" w:cstheme="majorBidi"/>
      <w:b/>
      <w:bCs/>
      <w:sz w:val="24"/>
      <w:szCs w:val="32"/>
    </w:rPr>
  </w:style>
  <w:style w:type="paragraph" w:customStyle="1" w:styleId="61">
    <w:name w:val="2级图编号"/>
    <w:basedOn w:val="28"/>
    <w:link w:val="62"/>
    <w:qFormat/>
    <w:uiPriority w:val="0"/>
    <w:pPr>
      <w:numPr>
        <w:ilvl w:val="1"/>
        <w:numId w:val="2"/>
      </w:numPr>
    </w:pPr>
  </w:style>
  <w:style w:type="character" w:customStyle="1" w:styleId="62">
    <w:name w:val="2级图编号 字符"/>
    <w:basedOn w:val="60"/>
    <w:link w:val="61"/>
    <w:qFormat/>
    <w:uiPriority w:val="0"/>
    <w:rPr>
      <w:rFonts w:asciiTheme="majorHAnsi" w:hAnsiTheme="majorHAnsi" w:eastAsiaTheme="majorEastAsia" w:cstheme="majorBidi"/>
      <w:sz w:val="24"/>
      <w:szCs w:val="32"/>
    </w:rPr>
  </w:style>
  <w:style w:type="paragraph" w:customStyle="1" w:styleId="63">
    <w:name w:val="1级图编号"/>
    <w:basedOn w:val="61"/>
    <w:link w:val="64"/>
    <w:autoRedefine/>
    <w:qFormat/>
    <w:uiPriority w:val="0"/>
    <w:pPr>
      <w:numPr>
        <w:ilvl w:val="0"/>
      </w:numPr>
      <w:ind w:firstLine="480" w:firstLineChars="200"/>
      <w:jc w:val="left"/>
    </w:pPr>
    <w:rPr>
      <w:b w:val="0"/>
    </w:rPr>
  </w:style>
  <w:style w:type="character" w:customStyle="1" w:styleId="64">
    <w:name w:val="1级图编号 字符"/>
    <w:basedOn w:val="62"/>
    <w:link w:val="63"/>
    <w:qFormat/>
    <w:uiPriority w:val="0"/>
    <w:rPr>
      <w:rFonts w:asciiTheme="majorHAnsi" w:hAnsiTheme="majorHAnsi" w:eastAsiaTheme="majorEastAsia" w:cstheme="majorBidi"/>
      <w:b w:val="0"/>
      <w:sz w:val="24"/>
      <w:szCs w:val="32"/>
    </w:rPr>
  </w:style>
  <w:style w:type="paragraph" w:customStyle="1" w:styleId="65">
    <w:name w:val="1级表编号"/>
    <w:basedOn w:val="28"/>
    <w:link w:val="66"/>
    <w:qFormat/>
    <w:uiPriority w:val="0"/>
    <w:pPr>
      <w:numPr>
        <w:ilvl w:val="0"/>
        <w:numId w:val="3"/>
      </w:numPr>
      <w:jc w:val="left"/>
    </w:pPr>
    <w:rPr>
      <w:b w:val="0"/>
    </w:rPr>
  </w:style>
  <w:style w:type="character" w:customStyle="1" w:styleId="66">
    <w:name w:val="1级表编号 字符"/>
    <w:basedOn w:val="60"/>
    <w:link w:val="65"/>
    <w:qFormat/>
    <w:uiPriority w:val="0"/>
    <w:rPr>
      <w:rFonts w:asciiTheme="majorHAnsi" w:hAnsiTheme="majorHAnsi" w:eastAsiaTheme="majorEastAsia" w:cstheme="majorBidi"/>
      <w:b w:val="0"/>
      <w:sz w:val="24"/>
      <w:szCs w:val="32"/>
    </w:rPr>
  </w:style>
  <w:style w:type="paragraph" w:customStyle="1" w:styleId="67">
    <w:name w:val="2级表编号"/>
    <w:basedOn w:val="65"/>
    <w:link w:val="68"/>
    <w:qFormat/>
    <w:uiPriority w:val="0"/>
    <w:pPr>
      <w:numPr>
        <w:ilvl w:val="1"/>
      </w:numPr>
      <w:jc w:val="center"/>
    </w:pPr>
    <w:rPr>
      <w:b/>
    </w:rPr>
  </w:style>
  <w:style w:type="character" w:customStyle="1" w:styleId="68">
    <w:name w:val="2级表编号 字符"/>
    <w:basedOn w:val="66"/>
    <w:link w:val="67"/>
    <w:qFormat/>
    <w:uiPriority w:val="0"/>
    <w:rPr>
      <w:rFonts w:asciiTheme="majorHAnsi" w:hAnsiTheme="majorHAnsi" w:eastAsiaTheme="majorEastAsia" w:cstheme="majorBidi"/>
      <w:b/>
      <w:sz w:val="24"/>
      <w:szCs w:val="32"/>
    </w:rPr>
  </w:style>
  <w:style w:type="character" w:customStyle="1" w:styleId="69">
    <w:name w:val="纯文本 Char"/>
    <w:basedOn w:val="31"/>
    <w:link w:val="16"/>
    <w:qFormat/>
    <w:uiPriority w:val="0"/>
    <w:rPr>
      <w:rFonts w:ascii="宋体" w:hAnsi="Courier New" w:eastAsia="宋体" w:cs="Courier New"/>
    </w:rPr>
  </w:style>
  <w:style w:type="paragraph" w:customStyle="1" w:styleId="70">
    <w:name w:val="1.1"/>
    <w:basedOn w:val="1"/>
    <w:next w:val="71"/>
    <w:qFormat/>
    <w:uiPriority w:val="0"/>
    <w:pPr>
      <w:numPr>
        <w:ilvl w:val="1"/>
        <w:numId w:val="4"/>
      </w:numPr>
      <w:tabs>
        <w:tab w:val="left" w:pos="200"/>
      </w:tabs>
      <w:spacing w:before="156" w:beforeLines="50"/>
      <w:ind w:firstLine="0" w:firstLineChars="0"/>
      <w:jc w:val="both"/>
      <w:outlineLvl w:val="1"/>
    </w:pPr>
    <w:rPr>
      <w:rFonts w:ascii="Times New Roman" w:hAnsi="Times New Roman" w:eastAsia="宋体" w:cs="Times New Roman"/>
      <w:b/>
      <w:kern w:val="44"/>
      <w:sz w:val="30"/>
      <w:szCs w:val="24"/>
    </w:rPr>
  </w:style>
  <w:style w:type="paragraph" w:customStyle="1" w:styleId="71">
    <w:name w:val="1.1.1"/>
    <w:basedOn w:val="1"/>
    <w:next w:val="1"/>
    <w:qFormat/>
    <w:uiPriority w:val="0"/>
    <w:pPr>
      <w:numPr>
        <w:ilvl w:val="2"/>
        <w:numId w:val="4"/>
      </w:numPr>
      <w:tabs>
        <w:tab w:val="left" w:pos="0"/>
      </w:tabs>
      <w:spacing w:before="160"/>
      <w:ind w:firstLine="0" w:firstLineChars="0"/>
      <w:jc w:val="both"/>
      <w:outlineLvl w:val="2"/>
    </w:pPr>
    <w:rPr>
      <w:rFonts w:ascii="Times New Roman" w:hAnsi="Times New Roman" w:eastAsia="宋体" w:cs="Times New Roman"/>
      <w:b/>
      <w:sz w:val="28"/>
      <w:szCs w:val="24"/>
    </w:rPr>
  </w:style>
  <w:style w:type="paragraph" w:customStyle="1" w:styleId="72">
    <w:name w:val="1"/>
    <w:basedOn w:val="1"/>
    <w:next w:val="70"/>
    <w:qFormat/>
    <w:uiPriority w:val="0"/>
    <w:pPr>
      <w:numPr>
        <w:ilvl w:val="0"/>
        <w:numId w:val="4"/>
      </w:numPr>
      <w:tabs>
        <w:tab w:val="left" w:pos="0"/>
      </w:tabs>
      <w:spacing w:before="312" w:beforeLines="100" w:after="93" w:afterLines="30"/>
      <w:ind w:firstLine="0" w:firstLineChars="0"/>
      <w:jc w:val="center"/>
      <w:outlineLvl w:val="0"/>
    </w:pPr>
    <w:rPr>
      <w:rFonts w:ascii="Times New Roman" w:hAnsi="Times New Roman" w:eastAsia="宋体" w:cs="Times New Roman"/>
      <w:b/>
      <w:sz w:val="48"/>
      <w:szCs w:val="24"/>
    </w:rPr>
  </w:style>
  <w:style w:type="character" w:customStyle="1" w:styleId="73">
    <w:name w:val="font01"/>
    <w:basedOn w:val="31"/>
    <w:qFormat/>
    <w:uiPriority w:val="0"/>
    <w:rPr>
      <w:rFonts w:hint="eastAsia" w:ascii="等线" w:hAnsi="等线" w:eastAsia="等线"/>
      <w:color w:val="000000"/>
      <w:sz w:val="22"/>
      <w:szCs w:val="22"/>
      <w:u w:val="none"/>
    </w:rPr>
  </w:style>
  <w:style w:type="character" w:customStyle="1" w:styleId="74">
    <w:name w:val="font51"/>
    <w:basedOn w:val="31"/>
    <w:qFormat/>
    <w:uiPriority w:val="0"/>
    <w:rPr>
      <w:rFonts w:hint="default" w:ascii="tggj" w:hAnsi="tggj"/>
      <w:color w:val="000000"/>
      <w:sz w:val="22"/>
      <w:szCs w:val="22"/>
      <w:u w:val="none"/>
    </w:rPr>
  </w:style>
  <w:style w:type="character" w:customStyle="1" w:styleId="75">
    <w:name w:val="font11"/>
    <w:basedOn w:val="31"/>
    <w:qFormat/>
    <w:uiPriority w:val="0"/>
    <w:rPr>
      <w:rFonts w:hint="default" w:ascii="tggj" w:hAnsi="tggj"/>
      <w:color w:val="000000"/>
      <w:sz w:val="22"/>
      <w:szCs w:val="22"/>
      <w:u w:val="none"/>
    </w:rPr>
  </w:style>
  <w:style w:type="character" w:customStyle="1" w:styleId="76">
    <w:name w:val="font61"/>
    <w:basedOn w:val="31"/>
    <w:qFormat/>
    <w:uiPriority w:val="0"/>
    <w:rPr>
      <w:rFonts w:hint="eastAsia" w:ascii="宋体" w:hAnsi="宋体" w:eastAsia="宋体"/>
      <w:color w:val="000000"/>
      <w:sz w:val="22"/>
      <w:szCs w:val="22"/>
      <w:u w:val="none"/>
    </w:rPr>
  </w:style>
  <w:style w:type="character" w:customStyle="1" w:styleId="77">
    <w:name w:val="font71"/>
    <w:basedOn w:val="31"/>
    <w:qFormat/>
    <w:uiPriority w:val="0"/>
    <w:rPr>
      <w:rFonts w:hint="eastAsia" w:ascii="等线" w:hAnsi="等线" w:eastAsia="等线"/>
      <w:color w:val="FF0000"/>
      <w:sz w:val="22"/>
      <w:szCs w:val="22"/>
      <w:u w:val="none"/>
    </w:rPr>
  </w:style>
  <w:style w:type="character" w:customStyle="1" w:styleId="78">
    <w:name w:val="font81"/>
    <w:basedOn w:val="31"/>
    <w:qFormat/>
    <w:uiPriority w:val="0"/>
    <w:rPr>
      <w:rFonts w:hint="default" w:ascii="tggj" w:hAnsi="tggj"/>
      <w:color w:val="FF0000"/>
      <w:sz w:val="22"/>
      <w:szCs w:val="22"/>
      <w:u w:val="none"/>
    </w:rPr>
  </w:style>
  <w:style w:type="character" w:customStyle="1" w:styleId="79">
    <w:name w:val="font41"/>
    <w:basedOn w:val="31"/>
    <w:qFormat/>
    <w:uiPriority w:val="0"/>
    <w:rPr>
      <w:rFonts w:hint="default" w:ascii="tggj" w:hAnsi="tggj"/>
      <w:color w:val="000000"/>
      <w:sz w:val="22"/>
      <w:szCs w:val="22"/>
      <w:u w:val="none"/>
    </w:rPr>
  </w:style>
  <w:style w:type="character" w:customStyle="1" w:styleId="80">
    <w:name w:val="font21"/>
    <w:basedOn w:val="31"/>
    <w:qFormat/>
    <w:uiPriority w:val="0"/>
    <w:rPr>
      <w:rFonts w:hint="default" w:ascii="tggj" w:hAnsi="tggj"/>
      <w:color w:val="000000"/>
      <w:sz w:val="22"/>
      <w:szCs w:val="22"/>
      <w:u w:val="none"/>
    </w:rPr>
  </w:style>
  <w:style w:type="paragraph" w:customStyle="1" w:styleId="81">
    <w:name w:val="List Paragraph1"/>
    <w:basedOn w:val="1"/>
    <w:qFormat/>
    <w:uiPriority w:val="0"/>
    <w:pPr>
      <w:jc w:val="both"/>
    </w:pPr>
    <w:rPr>
      <w:rFonts w:ascii="Calibri" w:hAnsi="Calibri" w:eastAsia="宋体" w:cs="Times New Roman"/>
      <w:szCs w:val="24"/>
    </w:rPr>
  </w:style>
  <w:style w:type="character" w:customStyle="1" w:styleId="82">
    <w:name w:val="正文勘察报告 Char"/>
    <w:link w:val="83"/>
    <w:qFormat/>
    <w:locked/>
    <w:uiPriority w:val="0"/>
    <w:rPr>
      <w:rFonts w:ascii="宋体" w:hAnsi="宋体" w:eastAsia="宋体" w:cs="宋体"/>
      <w:sz w:val="28"/>
      <w:szCs w:val="28"/>
      <w:lang w:val="zh-CN"/>
    </w:rPr>
  </w:style>
  <w:style w:type="paragraph" w:customStyle="1" w:styleId="83">
    <w:name w:val="正文勘察报告"/>
    <w:basedOn w:val="1"/>
    <w:link w:val="82"/>
    <w:qFormat/>
    <w:uiPriority w:val="0"/>
    <w:pPr>
      <w:spacing w:line="240" w:lineRule="auto"/>
      <w:ind w:right="-107" w:rightChars="-51" w:firstLine="560"/>
      <w:jc w:val="center"/>
    </w:pPr>
    <w:rPr>
      <w:rFonts w:ascii="宋体" w:hAnsi="宋体" w:eastAsia="宋体" w:cs="宋体"/>
      <w:kern w:val="0"/>
      <w:sz w:val="28"/>
      <w:szCs w:val="28"/>
      <w:lang w:val="zh-CN"/>
    </w:rPr>
  </w:style>
  <w:style w:type="paragraph" w:customStyle="1" w:styleId="84">
    <w:name w:val="样式 首行缩进:  2 字符1"/>
    <w:basedOn w:val="1"/>
    <w:qFormat/>
    <w:uiPriority w:val="0"/>
    <w:pPr>
      <w:spacing w:line="480" w:lineRule="exact"/>
      <w:ind w:firstLine="480"/>
    </w:pPr>
    <w:rPr>
      <w:rFonts w:cs="宋体"/>
      <w:szCs w:val="20"/>
    </w:rPr>
  </w:style>
  <w:style w:type="character" w:customStyle="1" w:styleId="85">
    <w:name w:val="font31"/>
    <w:basedOn w:val="31"/>
    <w:qFormat/>
    <w:uiPriority w:val="0"/>
    <w:rPr>
      <w:rFonts w:hint="eastAsia" w:ascii="宋体" w:hAnsi="宋体" w:eastAsia="宋体" w:cs="宋体"/>
      <w:color w:val="FF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17.jpe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wmf"/><Relationship Id="rId24" Type="http://schemas.openxmlformats.org/officeDocument/2006/relationships/oleObject" Target="embeddings/oleObject3.bin"/><Relationship Id="rId23" Type="http://schemas.openxmlformats.org/officeDocument/2006/relationships/image" Target="media/image7.wmf"/><Relationship Id="rId22" Type="http://schemas.openxmlformats.org/officeDocument/2006/relationships/oleObject" Target="embeddings/oleObject2.bin"/><Relationship Id="rId21" Type="http://schemas.openxmlformats.org/officeDocument/2006/relationships/image" Target="media/image6.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jpe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1991CE-C6FC-43C0-BD03-FEB8E498D69B}">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27</Pages>
  <Words>6771</Words>
  <Characters>8268</Characters>
  <Lines>255</Lines>
  <Paragraphs>71</Paragraphs>
  <TotalTime>22</TotalTime>
  <ScaleCrop>false</ScaleCrop>
  <LinksUpToDate>false</LinksUpToDate>
  <CharactersWithSpaces>8384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2025-07-07T16:48:00Z</dcterms:created>
  <dc:creator>Administrator</dc:creator>
  <cp:lastModifiedBy>jsc01</cp:lastModifiedBy>
  <cp:lastPrinted>2025-06-17T17:18:00Z</cp:lastPrinted>
  <dcterms:modified xsi:type="dcterms:W3CDTF">2025-10-28T02:06:03Z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eyJoZGlkIjoiNzE4YzJlZjQ4Y2ExZTdlMzIxNTI1ZGQxM2YwODZkOTciLCJ1c2VySWQiOiIxNTQ3ODY4MDAyIn0=</vt:lpwstr>
  </property>
  <property fmtid="{D5CDD505-2E9C-101B-9397-08002B2CF9AE}" pid="3" name="KSOProductBuildVer">
    <vt:lpwstr>2052-12.1.0.23125</vt:lpwstr>
  </property>
  <property fmtid="{D5CDD505-2E9C-101B-9397-08002B2CF9AE}" pid="4" name="ICV">
    <vt:lpwstr>EAD57E1DDA954EC0850C68E61CBE747C_12</vt:lpwstr>
  </property>
</Properties>
</file>