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10" w:before="0"/>
      </w:pPr>
      <w:r>
        <w:rPr>
          <w:rFonts w:ascii="Calibri" w:cs="Calibri" w:eastAsia="Calibri" w:hAnsi="Calibri"/>
        </w:rPr>
        <w:t xml:space="preserve">Handover — Overview</w:t>
      </w:r>
    </w:p>
    <w:p>
      <w:pPr>
        <w:spacing w:after="110"/>
      </w:pPr>
      <w:r>
        <w:rPr>
          <w:rFonts w:ascii="Calibri" w:cs="Calibri" w:eastAsia="Calibri" w:hAnsi="Calibri"/>
        </w:rPr>
        <w:t xml:space="preserve">Deribit ETH/BTC options: volatility surface calibration, a live pricing screen, and two backtesters.</w:t>
      </w:r>
    </w:p>
    <w:p>
      <w:pPr>
        <w:pBdr>
          <w:bottom w:val="single" w:color="BBBBBB" w:sz="6" w:space="1"/>
        </w:pBdr>
        <w:spacing w:after="120" w:before="120"/>
      </w:pPr>
    </w:p>
    <w:p>
      <w:pPr>
        <w:pStyle w:val="Heading2"/>
        <w:spacing w:after="110" w:before="260"/>
      </w:pPr>
      <w:r>
        <w:rPr>
          <w:rFonts w:ascii="Calibri" w:cs="Calibri" w:eastAsia="Calibri" w:hAnsi="Calibri"/>
        </w:rPr>
        <w:t xml:space="preserve">1. The project in five lines</w:t>
      </w:r>
    </w:p>
    <w:p>
      <w:pPr>
        <w:spacing w:after="110"/>
      </w:pPr>
      <w:r>
        <w:rPr>
          <w:rFonts w:ascii="Calibri" w:cs="Calibri" w:eastAsia="Calibri" w:hAnsi="Calibri"/>
        </w:rPr>
        <w:t xml:space="preserve"> </w:t>
      </w:r>
      <w:r>
        <w:rPr>
          <w:rFonts w:ascii="Calibri" w:cs="Calibri" w:eastAsia="Calibri" w:hAnsi="Calibri"/>
          <w:b/>
          <w:bCs/>
        </w:rPr>
        <w:t xml:space="preserve">(a)</w:t>
      </w:r>
      <w:r>
        <w:rPr>
          <w:rFonts w:ascii="Calibri" w:cs="Calibri" w:eastAsia="Calibri" w:hAnsi="Calibri"/>
        </w:rPr>
        <w:t xml:space="preserve"> A surface library: clean Deribit quotes → fit a surface (SVI / SSVI / eSSVI) → check for static arbitrage → serve it in a per-second trading screen with a 30 ms warm-start recalibration. </w:t>
      </w:r>
    </w:p>
    <w:p>
      <w:pPr>
        <w:spacing w:after="110"/>
      </w:pPr>
      <w:r>
        <w:rPr>
          <w:rFonts w:ascii="Calibri" w:cs="Calibri" w:eastAsia="Calibri" w:hAnsi="Calibri"/>
        </w:rPr>
        <w:t xml:space="preserve"> </w:t>
      </w:r>
      <w:r>
        <w:rPr>
          <w:rFonts w:ascii="Calibri" w:cs="Calibri" w:eastAsia="Calibri" w:hAnsi="Calibri"/>
          <w:b/>
          <w:bCs/>
        </w:rPr>
        <w:t xml:space="preserve">(b)</w:t>
      </w:r>
      <w:r>
        <w:rPr>
          <w:rFonts w:ascii="Calibri" w:cs="Calibri" w:eastAsia="Calibri" w:hAnsi="Calibri"/>
        </w:rPr>
        <w:t xml:space="preserve"> A replication of Lucic &amp; Sepp's systematic roll backtester (26 structures, weekly/monthly rolls, hourly delta-hedged) and a relative-value engine trading "red cells". </w:t>
      </w:r>
    </w:p>
    <w:p>
      <w:pPr>
        <w:spacing w:after="110"/>
      </w:pPr>
      <w:r>
        <w:rPr>
          <w:rFonts w:ascii="Calibri" w:cs="Calibri" w:eastAsia="Calibri" w:hAnsi="Calibri"/>
          <w:b/>
          <w:bCs/>
        </w:rPr>
        <w:t xml:space="preserve">Result:</w:t>
      </w:r>
      <w:r>
        <w:rPr>
          <w:rFonts w:ascii="Calibri" w:cs="Calibri" w:eastAsia="Calibri" w:hAnsi="Calibri"/>
        </w:rPr>
        <w:t xml:space="preserve"> no variant produced a positive Sharpe ratio.  No vol premium for Lucic-Sepp strategies on 2024-2026 data, and too much transaction costs for the red-cell arbitrage.</w:t>
      </w:r>
    </w:p>
    <w:p>
      <w:pPr>
        <w:pBdr>
          <w:bottom w:val="single" w:color="BBBBBB" w:sz="6" w:space="1"/>
        </w:pBdr>
        <w:spacing w:after="120" w:before="120"/>
      </w:pPr>
    </w:p>
    <w:p>
      <w:pPr>
        <w:pStyle w:val="Heading2"/>
        <w:spacing w:after="110" w:before="260"/>
      </w:pPr>
      <w:r>
        <w:rPr>
          <w:rFonts w:ascii="Calibri" w:cs="Calibri" w:eastAsia="Calibri" w:hAnsi="Calibri"/>
        </w:rPr>
        <w:t xml:space="preserve">2. Getting started</w:t>
      </w:r>
    </w:p>
    <w:p>
      <w:pPr>
        <w:shd w:fill="F2F2F2" w:val="clear"/>
        <w:spacing w:after="100" w:before="100"/>
        <w:ind w:left="170" w:right="170"/>
      </w:pPr>
      <w:r>
        <w:rPr>
          <w:rFonts w:ascii="Consolas" w:cs="Consolas" w:eastAsia="Consolas" w:hAnsi="Consolas"/>
          <w:sz w:val="18"/>
          <w:szCs w:val="18"/>
        </w:rPr>
        <w:t xml:space="preserve">./run_live.sh                              # ETH+BTC gatherers + Streamlit screen</w:t>
      </w:r>
    </w:p>
    <w:p>
      <w:pPr>
        <w:spacing w:after="110"/>
      </w:pPr>
      <w:r>
        <w:rPr>
          <w:rFonts w:ascii="Calibri" w:cs="Calibri" w:eastAsia="Calibri" w:hAnsi="Calibri"/>
        </w:rPr>
        <w:t xml:space="preserve">This creates the trading screen, but because of Natixis's firewall, we can't pull data from the Deribit API. Therefore, we only use it with archived data pulled either from Simon's computer (inside of 2 - Data) or data that we gather from our own PC.</w:t>
      </w:r>
    </w:p>
    <w:p>
      <w:pPr>
        <w:spacing w:after="110"/>
      </w:pPr>
      <w:r>
        <w:rPr>
          <w:rFonts w:ascii="Calibri" w:cs="Calibri" w:eastAsia="Calibri" w:hAnsi="Calibri"/>
          <w:b/>
          <w:bCs/>
        </w:rPr>
        <w:t xml:space="preserve">The two notebooks are the docs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5"/>
        <w:gridCol w:w="2855"/>
      </w:tblGrid>
      <w:tr>
        <w:trPr>
          <w:tblHeader/>
        </w:trPr>
        <w:tc>
          <w:tcPr>
            <w:tcW w:type="dxa" w:w="6505"/>
            <w:shd w:fill="E8E8E8" w:val="clear"/>
            <w:tcMar>
              <w:top w:type="dxa" w:w="60"/>
              <w:left w:type="dxa" w:w="110"/>
              <w:bottom w:type="dxa" w:w="60"/>
              <w:right w:type="dxa" w:w="110"/>
            </w:tcMar>
          </w:tcPr>
          <w:p>
            <w:pPr>
              <w:spacing w:after="20" w:before="20"/>
            </w:pPr>
            <w:r>
              <w:rPr>
                <w:rFonts w:ascii="Calibri" w:cs="Calibri" w:eastAsia="Calibri" w:hAnsi="Calibri"/>
                <w:b/>
                <w:bCs/>
              </w:rPr>
              <w:t xml:space="preserve">notebook</w:t>
            </w:r>
          </w:p>
        </w:tc>
        <w:tc>
          <w:tcPr>
            <w:tcW w:type="dxa" w:w="2855"/>
            <w:shd w:fill="E8E8E8" w:val="clear"/>
            <w:tcMar>
              <w:top w:type="dxa" w:w="60"/>
              <w:left w:type="dxa" w:w="110"/>
              <w:bottom w:type="dxa" w:w="60"/>
              <w:right w:type="dxa" w:w="110"/>
            </w:tcMar>
          </w:tcPr>
          <w:p>
            <w:pPr>
              <w:spacing w:after="20" w:before="20"/>
            </w:pPr>
            <w:r>
              <w:rPr>
                <w:rFonts w:ascii="Calibri" w:cs="Calibri" w:eastAsia="Calibri" w:hAnsi="Calibri"/>
                <w:b/>
                <w:bCs/>
              </w:rPr>
              <w:t xml:space="preserve">covers</w:t>
            </w:r>
          </w:p>
        </w:tc>
      </w:tr>
      <w:tr>
        <w:tc>
          <w:tcPr>
            <w:tcW w:type="dxa" w:w="6505"/>
            <w:tcMar>
              <w:top w:type="dxa" w:w="60"/>
              <w:left w:type="dxa" w:w="110"/>
              <w:bottom w:type="dxa" w:w="60"/>
              <w:right w:type="dxa" w:w="110"/>
            </w:tcMar>
          </w:tcPr>
          <w:p>
            <w:pPr>
              <w:spacing w:after="20" w:before="20"/>
            </w:pPr>
            <w:hyperlink w:history="1" r:id="rId02dwhw2qfncxcomytws71">
              <w:r>
                <w:rPr>
                  <w:rStyle w:val="Hyperlink"/>
                  <w:rFonts w:ascii="Calibri" w:cs="Calibri" w:eastAsia="Calibri" w:hAnsi="Calibri"/>
                  <w:color w:val="1155CC"/>
                  <w:u w:val="single"/>
                </w:rPr>
                <w:t xml:space="preserve">project_outline.ipynb</w:t>
              </w:r>
            </w:hyperlink>
          </w:p>
        </w:tc>
        <w:tc>
          <w:tcPr>
            <w:tcW w:type="dxa" w:w="2855"/>
            <w:tcMar>
              <w:top w:type="dxa" w:w="60"/>
              <w:left w:type="dxa" w:w="110"/>
              <w:bottom w:type="dxa" w:w="60"/>
              <w:right w:type="dxa" w:w="110"/>
            </w:tcMar>
          </w:tcPr>
          <w:p>
            <w:pPr>
              <w:spacing w:after="20" w:before="20"/>
            </w:pPr>
            <w:r>
              <w:rPr>
                <w:rFonts w:ascii="Calibri" w:cs="Calibri" w:eastAsia="Calibri" w:hAnsi="Calibri"/>
              </w:rPr>
              <w:t xml:space="preserve">the surface library, end to end</w:t>
            </w:r>
          </w:p>
        </w:tc>
      </w:tr>
      <w:tr>
        <w:tc>
          <w:tcPr>
            <w:tcW w:type="dxa" w:w="6505"/>
            <w:tcMar>
              <w:top w:type="dxa" w:w="60"/>
              <w:left w:type="dxa" w:w="110"/>
              <w:bottom w:type="dxa" w:w="60"/>
              <w:right w:type="dxa" w:w="110"/>
            </w:tcMar>
          </w:tcPr>
          <w:p>
            <w:pPr>
              <w:spacing w:after="20" w:before="20"/>
            </w:pPr>
            <w:hyperlink w:history="1" r:id="rIdog1dv8shi7hwbostk3-6i">
              <w:r>
                <w:rPr>
                  <w:rStyle w:val="Hyperlink"/>
                  <w:rFonts w:ascii="Calibri" w:cs="Calibri" w:eastAsia="Calibri" w:hAnsi="Calibri"/>
                  <w:color w:val="1155CC"/>
                  <w:u w:val="single"/>
                </w:rPr>
                <w:t xml:space="preserve">options_strategies_summary.ipynb</w:t>
              </w:r>
            </w:hyperlink>
          </w:p>
        </w:tc>
        <w:tc>
          <w:tcPr>
            <w:tcW w:type="dxa" w:w="2855"/>
            <w:tcMar>
              <w:top w:type="dxa" w:w="60"/>
              <w:left w:type="dxa" w:w="110"/>
              <w:bottom w:type="dxa" w:w="60"/>
              <w:right w:type="dxa" w:w="110"/>
            </w:tcMar>
          </w:tcPr>
          <w:p>
            <w:pPr>
              <w:spacing w:after="20" w:before="20"/>
            </w:pPr>
            <w:r>
              <w:rPr>
                <w:rFonts w:ascii="Calibri" w:cs="Calibri" w:eastAsia="Calibri" w:hAnsi="Calibri"/>
              </w:rPr>
              <w:t xml:space="preserve">the strategies, the results, the diagnosis</w:t>
            </w:r>
          </w:p>
        </w:tc>
      </w:tr>
    </w:tbl>
    <w:p>
      <w:pPr>
        <w:spacing w:after="120"/>
      </w:pPr>
    </w:p>
    <w:p>
      <w:pPr>
        <w:pBdr>
          <w:left w:val="single" w:color="E0A800" w:sz="12" w:space="6"/>
        </w:pBdr>
        <w:shd w:fill="FFF8E1" w:val="clear"/>
        <w:spacing w:after="100" w:before="100"/>
        <w:ind w:left="280" w:right="170"/>
      </w:pPr>
      <w:r>
        <w:rPr>
          <w:rFonts w:ascii="Calibri" w:cs="Calibri" w:eastAsia="Calibri" w:hAnsi="Calibri"/>
        </w:rPr>
        <w:t xml:space="preserve">⚠️ </w:t>
      </w:r>
      <w:r>
        <w:rPr>
          <w:rFonts w:ascii="Consolas" w:cs="Consolas" w:eastAsia="Consolas" w:hAnsi="Consolas"/>
          <w:sz w:val="19"/>
          <w:szCs w:val="19"/>
          <w:shd w:fill="F2F2F2" w:val="clear"/>
        </w:rPr>
        <w:t xml:space="preserve">volatility_surface/notebooks/clean_chunks_full/</w:t>
      </w:r>
      <w:r>
        <w:rPr>
          <w:rFonts w:ascii="Calibri" w:cs="Calibri" w:eastAsia="Calibri" w:hAnsi="Calibri"/>
        </w:rPr>
        <w:t xml:space="preserve"> and </w:t>
      </w:r>
      <w:r>
        <w:rPr>
          <w:rFonts w:ascii="Consolas" w:cs="Consolas" w:eastAsia="Consolas" w:hAnsi="Consolas"/>
          <w:sz w:val="19"/>
          <w:szCs w:val="19"/>
          <w:shd w:fill="F2F2F2" w:val="clear"/>
        </w:rPr>
        <w:t xml:space="preserve">2 - Data/parquets/eth_hourly_2024.parquet</w:t>
      </w:r>
      <w:r>
        <w:rPr>
          <w:rFonts w:ascii="Calibri" w:cs="Calibri" w:eastAsia="Calibri" w:hAnsi="Calibri"/>
        </w:rPr>
        <w:t xml:space="preserve"> are on the desk machine only. Every </w:t>
      </w:r>
      <w:r>
        <w:rPr>
          <w:rFonts w:ascii="Consolas" w:cs="Consolas" w:eastAsia="Consolas" w:hAnsi="Consolas"/>
          <w:sz w:val="19"/>
          <w:szCs w:val="19"/>
          <w:shd w:fill="F2F2F2" w:val="clear"/>
        </w:rPr>
        <w:t xml:space="preserve">[archive]</w:t>
      </w:r>
      <w:r>
        <w:rPr>
          <w:rFonts w:ascii="Calibri" w:cs="Calibri" w:eastAsia="Calibri" w:hAnsi="Calibri"/>
        </w:rPr>
        <w:t xml:space="preserve"> cell, every </w:t>
      </w:r>
      <w:r>
        <w:rPr>
          <w:rFonts w:ascii="Consolas" w:cs="Consolas" w:eastAsia="Consolas" w:hAnsi="Consolas"/>
          <w:sz w:val="19"/>
          <w:szCs w:val="19"/>
          <w:shd w:fill="F2F2F2" w:val="clear"/>
        </w:rPr>
        <w:t xml:space="preserve">run_roll.py</w:t>
      </w:r>
      <w:r>
        <w:rPr>
          <w:rFonts w:ascii="Calibri" w:cs="Calibri" w:eastAsia="Calibri" w:hAnsi="Calibri"/>
        </w:rPr>
        <w:t xml:space="preserve"> call and every premium figure depends on them. Retrieve or rebuild them (</w:t>
      </w:r>
      <w:hyperlink w:history="1" r:id="rIdc2q8u9sqb0uxt2hd1krlv">
        <w:r>
          <w:rPr>
            <w:rStyle w:val="Hyperlink"/>
            <w:rFonts w:ascii="Calibri" w:cs="Calibri" w:eastAsia="Calibri" w:hAnsi="Calibri"/>
            <w:color w:val="1155CC"/>
            <w:u w:val="single"/>
          </w:rPr>
          <w:t xml:space="preserve">bulk_concat.py</w:t>
        </w:r>
      </w:hyperlink>
      <w:r>
        <w:rPr>
          <w:rFonts w:ascii="Calibri" w:cs="Calibri" w:eastAsia="Calibri" w:hAnsi="Calibri"/>
        </w:rPr>
        <w:t xml:space="preserve">) before anything else.</w:t>
      </w:r>
    </w:p>
    <w:p>
      <w:pPr>
        <w:pBdr>
          <w:bottom w:val="single" w:color="BBBBBB" w:sz="6" w:space="1"/>
        </w:pBdr>
        <w:spacing w:after="120" w:before="120"/>
      </w:pPr>
    </w:p>
    <w:p>
      <w:pPr>
        <w:pStyle w:val="Heading2"/>
        <w:spacing w:after="110" w:before="260"/>
      </w:pPr>
      <w:r>
        <w:rPr>
          <w:rFonts w:ascii="Calibri" w:cs="Calibri" w:eastAsia="Calibri" w:hAnsi="Calibri"/>
        </w:rPr>
        <w:t xml:space="preserve">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58"/>
        <w:gridCol w:w="2502"/>
      </w:tblGrid>
      <w:tr>
        <w:trPr>
          <w:tblHeader/>
        </w:trPr>
        <w:tc>
          <w:tcPr>
            <w:tcW w:type="dxa" w:w="900"/>
            <w:shd w:fill="E8E8E8" w:val="clear"/>
            <w:tcMar>
              <w:top w:type="dxa" w:w="60"/>
              <w:left w:type="dxa" w:w="110"/>
              <w:bottom w:type="dxa" w:w="60"/>
              <w:right w:type="dxa" w:w="110"/>
            </w:tcMar>
          </w:tcPr>
          <w:p>
            <w:pPr>
              <w:spacing w:after="20" w:before="20"/>
            </w:pPr>
            <w:r>
              <w:rPr>
                <w:rFonts w:ascii="Calibri" w:cs="Calibri" w:eastAsia="Calibri" w:hAnsi="Calibri"/>
                <w:b/>
                <w:bCs/>
              </w:rPr>
              <w:t xml:space="preserve">layer</w:t>
            </w:r>
          </w:p>
        </w:tc>
        <w:tc>
          <w:tcPr>
            <w:tcW w:type="dxa" w:w="5958"/>
            <w:shd w:fill="E8E8E8" w:val="clear"/>
            <w:tcMar>
              <w:top w:type="dxa" w:w="60"/>
              <w:left w:type="dxa" w:w="110"/>
              <w:bottom w:type="dxa" w:w="60"/>
              <w:right w:type="dxa" w:w="110"/>
            </w:tcMar>
          </w:tcPr>
          <w:p>
            <w:pPr>
              <w:spacing w:after="20" w:before="20"/>
            </w:pPr>
            <w:r>
              <w:rPr>
                <w:rFonts w:ascii="Calibri" w:cs="Calibri" w:eastAsia="Calibri" w:hAnsi="Calibri"/>
                <w:b/>
                <w:bCs/>
              </w:rPr>
              <w:t xml:space="preserve">files</w:t>
            </w:r>
          </w:p>
        </w:tc>
        <w:tc>
          <w:tcPr>
            <w:tcW w:type="dxa" w:w="2502"/>
            <w:shd w:fill="E8E8E8" w:val="clear"/>
            <w:tcMar>
              <w:top w:type="dxa" w:w="60"/>
              <w:left w:type="dxa" w:w="110"/>
              <w:bottom w:type="dxa" w:w="60"/>
              <w:right w:type="dxa" w:w="110"/>
            </w:tcMar>
          </w:tcPr>
          <w:p>
            <w:pPr>
              <w:spacing w:after="20" w:before="20"/>
            </w:pPr>
            <w:r>
              <w:rPr>
                <w:rFonts w:ascii="Calibri" w:cs="Calibri" w:eastAsia="Calibri" w:hAnsi="Calibri"/>
                <w:b/>
                <w:bCs/>
              </w:rPr>
              <w:t xml:space="preserve">role</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Data</w:t>
            </w:r>
          </w:p>
        </w:tc>
        <w:tc>
          <w:tcPr>
            <w:tcW w:type="dxa" w:w="5958"/>
            <w:tcMar>
              <w:top w:type="dxa" w:w="60"/>
              <w:left w:type="dxa" w:w="110"/>
              <w:bottom w:type="dxa" w:w="60"/>
              <w:right w:type="dxa" w:w="110"/>
            </w:tcMar>
          </w:tcPr>
          <w:p>
            <w:pPr>
              <w:spacing w:after="20" w:before="20"/>
            </w:pPr>
            <w:hyperlink w:history="1" r:id="rId0xabtan8smlyhuikglf2y">
              <w:r>
                <w:rPr>
                  <w:rStyle w:val="Hyperlink"/>
                  <w:rFonts w:ascii="Calibri" w:cs="Calibri" w:eastAsia="Calibri" w:hAnsi="Calibri"/>
                  <w:color w:val="1155CC"/>
                  <w:u w:val="single"/>
                </w:rPr>
                <w:t xml:space="preserve">data_handling.py</w:t>
              </w:r>
            </w:hyperlink>
            <w:r>
              <w:rPr>
                <w:rFonts w:ascii="Calibri" w:cs="Calibri" w:eastAsia="Calibri" w:hAnsi="Calibri"/>
              </w:rPr>
              <w:t xml:space="preserve">, </w:t>
            </w:r>
            <w:hyperlink w:history="1" r:id="rIdndx2uu8afzakuinoemmcn">
              <w:r>
                <w:rPr>
                  <w:rStyle w:val="Hyperlink"/>
                  <w:rFonts w:ascii="Calibri" w:cs="Calibri" w:eastAsia="Calibri" w:hAnsi="Calibri"/>
                  <w:color w:val="1155CC"/>
                  <w:u w:val="single"/>
                </w:rPr>
                <w:t xml:space="preserve">bulk_concat.py</w:t>
              </w:r>
            </w:hyperlink>
            <w:r>
              <w:rPr>
                <w:rFonts w:ascii="Calibri" w:cs="Calibri" w:eastAsia="Calibri" w:hAnsi="Calibri"/>
              </w:rPr>
              <w:t xml:space="preserve">, </w:t>
            </w:r>
            <w:hyperlink w:history="1" r:id="rIdwesre2uc6yx-19rp8vhny">
              <w:r>
                <w:rPr>
                  <w:rStyle w:val="Hyperlink"/>
                  <w:rFonts w:ascii="Calibri" w:cs="Calibri" w:eastAsia="Calibri" w:hAnsi="Calibri"/>
                  <w:color w:val="1155CC"/>
                  <w:u w:val="single"/>
                </w:rPr>
                <w:t xml:space="preserve">validate_dataset.py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Deribit CSV/parquet → calibration-ready frame (</w:t>
            </w:r>
            <w:r>
              <w:rPr>
                <w:rFonts w:ascii="Consolas" w:cs="Consolas" w:eastAsia="Consolas" w:hAnsi="Consolas"/>
                <w:sz w:val="19"/>
                <w:szCs w:val="19"/>
                <w:shd w:fill="F2F2F2" w:val="clear"/>
              </w:rPr>
              <w:t xml:space="preserve">k</w:t>
            </w:r>
            <w:r>
              <w:rPr>
                <w:rFonts w:ascii="Calibri" w:cs="Calibri" w:eastAsia="Calibri" w:hAnsi="Calibri"/>
              </w:rPr>
              <w:t xml:space="preserve">, </w:t>
            </w:r>
            <w:r>
              <w:rPr>
                <w:rFonts w:ascii="Consolas" w:cs="Consolas" w:eastAsia="Consolas" w:hAnsi="Consolas"/>
                <w:sz w:val="19"/>
                <w:szCs w:val="19"/>
                <w:shd w:fill="F2F2F2" w:val="clear"/>
              </w:rPr>
              <w:t xml:space="preserve">t</w:t>
            </w:r>
            <w:r>
              <w:rPr>
                <w:rFonts w:ascii="Calibri" w:cs="Calibri" w:eastAsia="Calibri" w:hAnsi="Calibri"/>
              </w:rPr>
              <w:t xml:space="preserve">, </w:t>
            </w:r>
            <w:r>
              <w:rPr>
                <w:rFonts w:ascii="Consolas" w:cs="Consolas" w:eastAsia="Consolas" w:hAnsi="Consolas"/>
                <w:sz w:val="19"/>
                <w:szCs w:val="19"/>
                <w:shd w:fill="F2F2F2" w:val="clear"/>
              </w:rPr>
              <w:t xml:space="preserve">w</w:t>
            </w:r>
            <w:r>
              <w:rPr>
                <w:rFonts w:ascii="Calibri" w:cs="Calibri" w:eastAsia="Calibri" w:hAnsi="Calibri"/>
              </w:rPr>
              <w:t xml:space="preserve">, </w:t>
            </w:r>
            <w:r>
              <w:rPr>
                <w:rFonts w:ascii="Consolas" w:cs="Consolas" w:eastAsia="Consolas" w:hAnsi="Consolas"/>
                <w:sz w:val="19"/>
                <w:szCs w:val="19"/>
                <w:shd w:fill="F2F2F2" w:val="clear"/>
              </w:rPr>
              <w:t xml:space="preserve">mark_iv</w:t>
            </w:r>
            <w:r>
              <w:rPr>
                <w:rFonts w:ascii="Calibri" w:cs="Calibri" w:eastAsia="Calibri" w:hAnsi="Calibri"/>
              </w:rPr>
              <w:t xml:space="preserve">, </w:t>
            </w:r>
            <w:r>
              <w:rPr>
                <w:rFonts w:ascii="Consolas" w:cs="Consolas" w:eastAsia="Consolas" w:hAnsi="Consolas"/>
                <w:sz w:val="19"/>
                <w:szCs w:val="19"/>
                <w:shd w:fill="F2F2F2" w:val="clear"/>
              </w:rPr>
              <w:t xml:space="preserve">bid_iv</w:t>
            </w:r>
            <w:r>
              <w:rPr>
                <w:rFonts w:ascii="Calibri" w:cs="Calibri" w:eastAsia="Calibri" w:hAnsi="Calibri"/>
              </w:rPr>
              <w:t xml:space="preserve">/</w:t>
            </w:r>
            <w:r>
              <w:rPr>
                <w:rFonts w:ascii="Consolas" w:cs="Consolas" w:eastAsia="Consolas" w:hAnsi="Consolas"/>
                <w:sz w:val="19"/>
                <w:szCs w:val="19"/>
                <w:shd w:fill="F2F2F2" w:val="clear"/>
              </w:rPr>
              <w:t xml:space="preserve">ask_iv</w:t>
            </w:r>
            <w:r>
              <w:rPr>
                <w:rFonts w:ascii="Calibri" w:cs="Calibri" w:eastAsia="Calibri" w:hAnsi="Calibri"/>
              </w:rPr>
              <w:t xml:space="preserve">, </w:t>
            </w:r>
            <w:r>
              <w:rPr>
                <w:rFonts w:ascii="Consolas" w:cs="Consolas" w:eastAsia="Consolas" w:hAnsi="Consolas"/>
                <w:sz w:val="19"/>
                <w:szCs w:val="19"/>
                <w:shd w:fill="F2F2F2" w:val="clear"/>
              </w:rPr>
              <w:t xml:space="preserve">vega</w:t>
            </w:r>
            <w:r>
              <w:rPr>
                <w:rFonts w:ascii="Calibri" w:cs="Calibri" w:eastAsia="Calibri" w:hAnsi="Calibri"/>
              </w:rPr>
              <w:t xml:space="preserve">). OTM filter; ~31% of quotes survive</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Models</w:t>
            </w:r>
          </w:p>
        </w:tc>
        <w:tc>
          <w:tcPr>
            <w:tcW w:type="dxa" w:w="5958"/>
            <w:tcMar>
              <w:top w:type="dxa" w:w="60"/>
              <w:left w:type="dxa" w:w="110"/>
              <w:bottom w:type="dxa" w:w="60"/>
              <w:right w:type="dxa" w:w="110"/>
            </w:tcMar>
          </w:tcPr>
          <w:p>
            <w:pPr>
              <w:spacing w:after="20" w:before="20"/>
            </w:pPr>
            <w:hyperlink w:history="1" r:id="rIdakxktfofew6y2zfwe_a-c">
              <w:r>
                <w:rPr>
                  <w:rStyle w:val="Hyperlink"/>
                  <w:rFonts w:ascii="Calibri" w:cs="Calibri" w:eastAsia="Calibri" w:hAnsi="Calibri"/>
                  <w:color w:val="1155CC"/>
                  <w:u w:val="single"/>
                </w:rPr>
                <w:t xml:space="preserve">vol_models.py</w:t>
              </w:r>
            </w:hyperlink>
          </w:p>
        </w:tc>
        <w:tc>
          <w:tcPr>
            <w:tcW w:type="dxa" w:w="2502"/>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VolModel</w:t>
            </w:r>
            <w:r>
              <w:rPr>
                <w:rFonts w:ascii="Calibri" w:cs="Calibri" w:eastAsia="Calibri" w:hAnsi="Calibri"/>
              </w:rPr>
              <w:t xml:space="preserve"> → </w:t>
            </w:r>
            <w:r>
              <w:rPr>
                <w:rFonts w:ascii="Consolas" w:cs="Consolas" w:eastAsia="Consolas" w:hAnsi="Consolas"/>
                <w:sz w:val="19"/>
                <w:szCs w:val="19"/>
                <w:shd w:fill="F2F2F2" w:val="clear"/>
              </w:rPr>
              <w:t xml:space="preserve">w(k, params)</w:t>
            </w:r>
            <w:r>
              <w:rPr>
                <w:rFonts w:ascii="Calibri" w:cs="Calibri" w:eastAsia="Calibri" w:hAnsi="Calibri"/>
              </w:rPr>
              <w:t xml:space="preserve">. Registry </w:t>
            </w:r>
            <w:r>
              <w:rPr>
                <w:rFonts w:ascii="Consolas" w:cs="Consolas" w:eastAsia="Consolas" w:hAnsi="Consolas"/>
                <w:sz w:val="19"/>
                <w:szCs w:val="19"/>
                <w:shd w:fill="F2F2F2" w:val="clear"/>
              </w:rPr>
              <w:t xml:space="preserve">get_model(...)</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Calibration</w:t>
            </w:r>
          </w:p>
        </w:tc>
        <w:tc>
          <w:tcPr>
            <w:tcW w:type="dxa" w:w="5958"/>
            <w:tcMar>
              <w:top w:type="dxa" w:w="60"/>
              <w:left w:type="dxa" w:w="110"/>
              <w:bottom w:type="dxa" w:w="60"/>
              <w:right w:type="dxa" w:w="110"/>
            </w:tcMar>
          </w:tcPr>
          <w:p>
            <w:pPr>
              <w:spacing w:after="20" w:before="20"/>
            </w:pPr>
            <w:hyperlink w:history="1" r:id="rIdhp45t5vzuplcbqdm1jxlc">
              <w:r>
                <w:rPr>
                  <w:rStyle w:val="Hyperlink"/>
                  <w:rFonts w:ascii="Calibri" w:cs="Calibri" w:eastAsia="Calibri" w:hAnsi="Calibri"/>
                  <w:color w:val="1155CC"/>
                  <w:u w:val="single"/>
                </w:rPr>
                <w:t xml:space="preserve">calibrator.py</w:t>
              </w:r>
            </w:hyperlink>
            <w:r>
              <w:rPr>
                <w:rFonts w:ascii="Calibri" w:cs="Calibri" w:eastAsia="Calibri" w:hAnsi="Calibri"/>
              </w:rPr>
              <w:t xml:space="preserve">, </w:t>
            </w:r>
            <w:hyperlink w:history="1" r:id="rIdbiyszfzpzccgp7cfzvhiu">
              <w:r>
                <w:rPr>
                  <w:rStyle w:val="Hyperlink"/>
                  <w:rFonts w:ascii="Calibri" w:cs="Calibri" w:eastAsia="Calibri" w:hAnsi="Calibri"/>
                  <w:color w:val="1155CC"/>
                  <w:u w:val="single"/>
                </w:rPr>
                <w:t xml:space="preserve">objectives.py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every </w:t>
            </w:r>
            <w:r>
              <w:rPr>
                <w:rFonts w:ascii="Consolas" w:cs="Consolas" w:eastAsia="Consolas" w:hAnsi="Consolas"/>
                <w:sz w:val="19"/>
                <w:szCs w:val="19"/>
                <w:shd w:fill="F2F2F2" w:val="clear"/>
              </w:rPr>
              <w:t xml:space="preserve">calibrate_*</w:t>
            </w:r>
            <w:r>
              <w:rPr>
                <w:rFonts w:ascii="Calibri" w:cs="Calibri" w:eastAsia="Calibri" w:hAnsi="Calibri"/>
              </w:rPr>
              <w:t xml:space="preserve">, the weighted objectives and the metrics</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Pricing</w:t>
            </w:r>
          </w:p>
        </w:tc>
        <w:tc>
          <w:tcPr>
            <w:tcW w:type="dxa" w:w="5958"/>
            <w:tcMar>
              <w:top w:type="dxa" w:w="60"/>
              <w:left w:type="dxa" w:w="110"/>
              <w:bottom w:type="dxa" w:w="60"/>
              <w:right w:type="dxa" w:w="110"/>
            </w:tcMar>
          </w:tcPr>
          <w:p>
            <w:pPr>
              <w:spacing w:after="20" w:before="20"/>
            </w:pPr>
            <w:hyperlink w:history="1" r:id="rIdvbx9ltdi0uvh3cbuizq98">
              <w:r>
                <w:rPr>
                  <w:rStyle w:val="Hyperlink"/>
                  <w:rFonts w:ascii="Calibri" w:cs="Calibri" w:eastAsia="Calibri" w:hAnsi="Calibri"/>
                  <w:color w:val="1155CC"/>
                  <w:u w:val="single"/>
                </w:rPr>
                <w:t xml:space="preserve">pricing_models.py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Black-76 / BS / Garman-Kohlhagen, greeks, </w:t>
            </w:r>
            <w:r>
              <w:rPr>
                <w:rFonts w:ascii="Consolas" w:cs="Consolas" w:eastAsia="Consolas" w:hAnsi="Consolas"/>
                <w:sz w:val="19"/>
                <w:szCs w:val="19"/>
                <w:shd w:fill="F2F2F2" w:val="clear"/>
              </w:rPr>
              <w:t xml:space="preserve">inverse_delta</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Arbitrage</w:t>
            </w:r>
          </w:p>
        </w:tc>
        <w:tc>
          <w:tcPr>
            <w:tcW w:type="dxa" w:w="5958"/>
            <w:tcMar>
              <w:top w:type="dxa" w:w="60"/>
              <w:left w:type="dxa" w:w="110"/>
              <w:bottom w:type="dxa" w:w="60"/>
              <w:right w:type="dxa" w:w="110"/>
            </w:tcMar>
          </w:tcPr>
          <w:p>
            <w:pPr>
              <w:spacing w:after="20" w:before="20"/>
            </w:pPr>
            <w:hyperlink w:history="1" r:id="rIdib7rtegnx-harzrbxav_-">
              <w:r>
                <w:rPr>
                  <w:rStyle w:val="Hyperlink"/>
                  <w:rFonts w:ascii="Calibri" w:cs="Calibri" w:eastAsia="Calibri" w:hAnsi="Calibri"/>
                  <w:color w:val="1155CC"/>
                  <w:u w:val="single"/>
                </w:rPr>
                <w:t xml:space="preserve">arbitrage_checker.py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Gatheral–Jacquier conditions: calendar </w:t>
            </w:r>
            <w:r>
              <w:rPr>
                <w:rFonts w:ascii="Consolas" w:cs="Consolas" w:eastAsia="Consolas" w:hAnsi="Consolas"/>
                <w:sz w:val="19"/>
                <w:szCs w:val="19"/>
                <w:shd w:fill="F2F2F2" w:val="clear"/>
              </w:rPr>
              <w:t xml:space="preserve">∂_t w ≥ 0</w:t>
            </w:r>
            <w:r>
              <w:rPr>
                <w:rFonts w:ascii="Calibri" w:cs="Calibri" w:eastAsia="Calibri" w:hAnsi="Calibri"/>
              </w:rPr>
              <w:t xml:space="preserve">, butterfly </w:t>
            </w:r>
            <w:r>
              <w:rPr>
                <w:rFonts w:ascii="Consolas" w:cs="Consolas" w:eastAsia="Consolas" w:hAnsi="Consolas"/>
                <w:sz w:val="19"/>
                <w:szCs w:val="19"/>
                <w:shd w:fill="F2F2F2" w:val="clear"/>
              </w:rPr>
              <w:t xml:space="preserve">g(k) ≥ 0</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Plots</w:t>
            </w:r>
          </w:p>
        </w:tc>
        <w:tc>
          <w:tcPr>
            <w:tcW w:type="dxa" w:w="5958"/>
            <w:tcMar>
              <w:top w:type="dxa" w:w="60"/>
              <w:left w:type="dxa" w:w="110"/>
              <w:bottom w:type="dxa" w:w="60"/>
              <w:right w:type="dxa" w:w="110"/>
            </w:tcMar>
          </w:tcPr>
          <w:p>
            <w:pPr>
              <w:spacing w:after="20" w:before="20"/>
            </w:pPr>
            <w:hyperlink w:history="1" r:id="rIdksgwuz-z9zt4d14t-5c4h">
              <w:r>
                <w:rPr>
                  <w:rStyle w:val="Hyperlink"/>
                  <w:rFonts w:ascii="Calibri" w:cs="Calibri" w:eastAsia="Calibri" w:hAnsi="Calibri"/>
                  <w:color w:val="1155CC"/>
                  <w:u w:val="single"/>
                </w:rPr>
                <w:t xml:space="preserve">vol_plots.py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every figure</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Live</w:t>
            </w:r>
          </w:p>
        </w:tc>
        <w:tc>
          <w:tcPr>
            <w:tcW w:type="dxa" w:w="5958"/>
            <w:tcMar>
              <w:top w:type="dxa" w:w="60"/>
              <w:left w:type="dxa" w:w="110"/>
              <w:bottom w:type="dxa" w:w="60"/>
              <w:right w:type="dxa" w:w="110"/>
            </w:tcMar>
          </w:tcPr>
          <w:p>
            <w:pPr>
              <w:spacing w:after="20" w:before="20"/>
            </w:pPr>
            <w:hyperlink w:history="1" r:id="rId7y3icvvtap1t88gvkg7ro">
              <w:r>
                <w:rPr>
                  <w:rStyle w:val="Hyperlink"/>
                  <w:rFonts w:ascii="Calibri" w:cs="Calibri" w:eastAsia="Calibri" w:hAnsi="Calibri"/>
                  <w:color w:val="1155CC"/>
                  <w:u w:val="single"/>
                </w:rPr>
                <w:t xml:space="preserve">live_gather.py</w:t>
              </w:r>
            </w:hyperlink>
            <w:r>
              <w:rPr>
                <w:rFonts w:ascii="Calibri" w:cs="Calibri" w:eastAsia="Calibri" w:hAnsi="Calibri"/>
              </w:rPr>
              <w:t xml:space="preserve">, </w:t>
            </w:r>
            <w:hyperlink w:history="1" r:id="rId1yclvttalwh4sckdjwvcn">
              <w:r>
                <w:rPr>
                  <w:rStyle w:val="Hyperlink"/>
                  <w:rFonts w:ascii="Calibri" w:cs="Calibri" w:eastAsia="Calibri" w:hAnsi="Calibri"/>
                  <w:color w:val="1155CC"/>
                  <w:u w:val="single"/>
                </w:rPr>
                <w:t xml:space="preserve">streamlit_chain.py</w:t>
              </w:r>
            </w:hyperlink>
            <w:r>
              <w:rPr>
                <w:rFonts w:ascii="Calibri" w:cs="Calibri" w:eastAsia="Calibri" w:hAnsi="Calibri"/>
              </w:rPr>
              <w:t xml:space="preserve">, </w:t>
            </w:r>
            <w:hyperlink w:history="1" r:id="rIdggtkmz6tcbecm234vy7-v">
              <w:r>
                <w:rPr>
                  <w:rStyle w:val="Hyperlink"/>
                  <w:rFonts w:ascii="Calibri" w:cs="Calibri" w:eastAsia="Calibri" w:hAnsi="Calibri"/>
                  <w:color w:val="1155CC"/>
                  <w:u w:val="single"/>
                </w:rPr>
                <w:t xml:space="preserve">run_live.sh</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rolling parquet → screen, 30 ms refit per tick</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Backtest</w:t>
            </w:r>
          </w:p>
        </w:tc>
        <w:tc>
          <w:tcPr>
            <w:tcW w:type="dxa" w:w="5958"/>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backtest/</w:t>
            </w:r>
            <w:r>
              <w:rPr>
                <w:rFonts w:ascii="Calibri" w:cs="Calibri" w:eastAsia="Calibri" w:hAnsi="Calibri"/>
              </w:rPr>
              <w:t xml:space="preserve"> — </w:t>
            </w:r>
            <w:hyperlink w:history="1" r:id="rId4og7jrt--6kl0gcwrdzm0">
              <w:r>
                <w:rPr>
                  <w:rStyle w:val="Hyperlink"/>
                  <w:rFonts w:ascii="Calibri" w:cs="Calibri" w:eastAsia="Calibri" w:hAnsi="Calibri"/>
                  <w:color w:val="1155CC"/>
                  <w:u w:val="single"/>
                </w:rPr>
                <w:t xml:space="preserve">roll_engine.py</w:t>
              </w:r>
            </w:hyperlink>
            <w:r>
              <w:rPr>
                <w:rFonts w:ascii="Calibri" w:cs="Calibri" w:eastAsia="Calibri" w:hAnsi="Calibri"/>
              </w:rPr>
              <w:t xml:space="preserve"> + </w:t>
            </w:r>
            <w:hyperlink w:history="1" r:id="rIdlcbxmarq-ldzoj6t9g1al">
              <w:r>
                <w:rPr>
                  <w:rStyle w:val="Hyperlink"/>
                  <w:rFonts w:ascii="Calibri" w:cs="Calibri" w:eastAsia="Calibri" w:hAnsi="Calibri"/>
                  <w:color w:val="1155CC"/>
                  <w:u w:val="single"/>
                </w:rPr>
                <w:t xml:space="preserve">run_roll.py</w:t>
              </w:r>
            </w:hyperlink>
            <w:r>
              <w:rPr>
                <w:rFonts w:ascii="Calibri" w:cs="Calibri" w:eastAsia="Calibri" w:hAnsi="Calibri"/>
              </w:rPr>
              <w:t xml:space="preserve"> + </w:t>
            </w:r>
            <w:hyperlink w:history="1" r:id="rIdtoo7u5ckujv2rkfsjmwuy">
              <w:r>
                <w:rPr>
                  <w:rStyle w:val="Hyperlink"/>
                  <w:rFonts w:ascii="Calibri" w:cs="Calibri" w:eastAsia="Calibri" w:hAnsi="Calibri"/>
                  <w:color w:val="1155CC"/>
                  <w:u w:val="single"/>
                </w:rPr>
                <w:t xml:space="preserve">roll_results.py</w:t>
              </w:r>
            </w:hyperlink>
            <w:r>
              <w:rPr>
                <w:rFonts w:ascii="Calibri" w:cs="Calibri" w:eastAsia="Calibri" w:hAnsi="Calibri"/>
              </w:rPr>
              <w:t xml:space="preserve">, </w:t>
            </w:r>
            <w:hyperlink w:history="1" r:id="rIdop0ilbhki530ueksfzd4y">
              <w:r>
                <w:rPr>
                  <w:rStyle w:val="Hyperlink"/>
                  <w:rFonts w:ascii="Calibri" w:cs="Calibri" w:eastAsia="Calibri" w:hAnsi="Calibri"/>
                  <w:color w:val="1155CC"/>
                  <w:u w:val="single"/>
                </w:rPr>
                <w:t xml:space="preserve">engine.py</w:t>
              </w:r>
            </w:hyperlink>
            <w:r>
              <w:rPr>
                <w:rFonts w:ascii="Calibri" w:cs="Calibri" w:eastAsia="Calibri" w:hAnsi="Calibri"/>
              </w:rPr>
              <w:t xml:space="preserve"> + </w:t>
            </w:r>
            <w:hyperlink w:history="1" r:id="rId50zouv1xcaqcjbuzdrxzs">
              <w:r>
                <w:rPr>
                  <w:rStyle w:val="Hyperlink"/>
                  <w:rFonts w:ascii="Calibri" w:cs="Calibri" w:eastAsia="Calibri" w:hAnsi="Calibri"/>
                  <w:color w:val="1155CC"/>
                  <w:u w:val="single"/>
                </w:rPr>
                <w:t xml:space="preserve">signal.py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systematic (Lucic &amp; Sepp) and relative value</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Diagnostics</w:t>
            </w:r>
          </w:p>
        </w:tc>
        <w:tc>
          <w:tcPr>
            <w:tcW w:type="dxa" w:w="5958"/>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backtest/</w:t>
            </w:r>
            <w:r>
              <w:rPr>
                <w:rFonts w:ascii="Calibri" w:cs="Calibri" w:eastAsia="Calibri" w:hAnsi="Calibri"/>
              </w:rPr>
              <w:t xml:space="preserve"> — </w:t>
            </w:r>
            <w:hyperlink w:history="1" r:id="rIdygniy447tsowoqbbdytkk">
              <w:r>
                <w:rPr>
                  <w:rStyle w:val="Hyperlink"/>
                  <w:rFonts w:ascii="Calibri" w:cs="Calibri" w:eastAsia="Calibri" w:hAnsi="Calibri"/>
                  <w:color w:val="1155CC"/>
                  <w:u w:val="single"/>
                </w:rPr>
                <w:t xml:space="preserve">leverage.py</w:t>
              </w:r>
            </w:hyperlink>
            <w:r>
              <w:rPr>
                <w:rFonts w:ascii="Calibri" w:cs="Calibri" w:eastAsia="Calibri" w:hAnsi="Calibri"/>
              </w:rPr>
              <w:t xml:space="preserve">, </w:t>
            </w:r>
            <w:hyperlink w:history="1" r:id="rId5xglczwtgacgdbktb1sa2">
              <w:r>
                <w:rPr>
                  <w:rStyle w:val="Hyperlink"/>
                  <w:rFonts w:ascii="Calibri" w:cs="Calibri" w:eastAsia="Calibri" w:hAnsi="Calibri"/>
                  <w:color w:val="1155CC"/>
                  <w:u w:val="single"/>
                </w:rPr>
                <w:t xml:space="preserve">vrp_signal.py</w:t>
              </w:r>
            </w:hyperlink>
            <w:r>
              <w:rPr>
                <w:rFonts w:ascii="Calibri" w:cs="Calibri" w:eastAsia="Calibri" w:hAnsi="Calibri"/>
              </w:rPr>
              <w:t xml:space="preserve">, </w:t>
            </w:r>
            <w:hyperlink w:history="1" r:id="rIdyxno3g1yqzfbyjskuepeb">
              <w:r>
                <w:rPr>
                  <w:rStyle w:val="Hyperlink"/>
                  <w:rFonts w:ascii="Calibri" w:cs="Calibri" w:eastAsia="Calibri" w:hAnsi="Calibri"/>
                  <w:color w:val="1155CC"/>
                  <w:u w:val="single"/>
                </w:rPr>
                <w:t xml:space="preserve">spot_vol_corr.py</w:t>
              </w:r>
            </w:hyperlink>
            <w:r>
              <w:rPr>
                <w:rFonts w:ascii="Calibri" w:cs="Calibri" w:eastAsia="Calibri" w:hAnsi="Calibri"/>
              </w:rPr>
              <w:t xml:space="preserve">, </w:t>
            </w:r>
            <w:hyperlink w:history="1" r:id="rIdo6l2use_0iupakbpe4oc0">
              <w:r>
                <w:rPr>
                  <w:rStyle w:val="Hyperlink"/>
                  <w:rFonts w:ascii="Calibri" w:cs="Calibri" w:eastAsia="Calibri" w:hAnsi="Calibri"/>
                  <w:color w:val="1155CC"/>
                  <w:u w:val="single"/>
                </w:rPr>
                <w:t xml:space="preserve">regime_hmm.py</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why the strategies returned nothing</w:t>
            </w:r>
          </w:p>
        </w:tc>
      </w:tr>
      <w:tr>
        <w:tc>
          <w:tcPr>
            <w:tcW w:type="dxa" w:w="900"/>
            <w:tcMar>
              <w:top w:type="dxa" w:w="60"/>
              <w:left w:type="dxa" w:w="110"/>
              <w:bottom w:type="dxa" w:w="60"/>
              <w:right w:type="dxa" w:w="110"/>
            </w:tcMar>
          </w:tcPr>
          <w:p>
            <w:pPr>
              <w:spacing w:after="20" w:before="20"/>
            </w:pPr>
            <w:r>
              <w:rPr>
                <w:rFonts w:ascii="Calibri" w:cs="Calibri" w:eastAsia="Calibri" w:hAnsi="Calibri"/>
                <w:b/>
                <w:bCs/>
              </w:rPr>
              <w:t xml:space="preserve">Outputs</w:t>
            </w:r>
          </w:p>
        </w:tc>
        <w:tc>
          <w:tcPr>
            <w:tcW w:type="dxa" w:w="5958"/>
            <w:tcMar>
              <w:top w:type="dxa" w:w="60"/>
              <w:left w:type="dxa" w:w="110"/>
              <w:bottom w:type="dxa" w:w="60"/>
              <w:right w:type="dxa" w:w="110"/>
            </w:tcMar>
          </w:tcPr>
          <w:p>
            <w:pPr>
              <w:spacing w:after="20" w:before="20"/>
            </w:pPr>
            <w:hyperlink w:history="1" r:id="rIdcgnxznjqi8d18jiebp6z5">
              <w:r>
                <w:rPr>
                  <w:rStyle w:val="Hyperlink"/>
                  <w:rFonts w:ascii="Calibri" w:cs="Calibri" w:eastAsia="Calibri" w:hAnsi="Calibri"/>
                  <w:color w:val="1155CC"/>
                  <w:u w:val="single"/>
                </w:rPr>
                <w:t xml:space="preserve">results/summary.md</w:t>
              </w:r>
            </w:hyperlink>
            <w:r>
              <w:rPr>
                <w:rFonts w:ascii="Calibri" w:cs="Calibri" w:eastAsia="Calibri" w:hAnsi="Calibri"/>
              </w:rPr>
              <w:t xml:space="preserve">, </w:t>
            </w:r>
            <w:hyperlink w:history="1" r:id="rId0hz3b0o-k19xhvqqrsh8r">
              <w:r>
                <w:rPr>
                  <w:rStyle w:val="Hyperlink"/>
                  <w:rFonts w:ascii="Calibri" w:cs="Calibri" w:eastAsia="Calibri" w:hAnsi="Calibri"/>
                  <w:color w:val="1155CC"/>
                  <w:u w:val="single"/>
                </w:rPr>
                <w:t xml:space="preserve">results/montecarlo.md</w:t>
              </w:r>
            </w:hyperlink>
            <w:r>
              <w:rPr>
                <w:rFonts w:ascii="Calibri" w:cs="Calibri" w:eastAsia="Calibri" w:hAnsi="Calibri"/>
              </w:rPr>
              <w:t xml:space="preserve">, </w:t>
            </w:r>
            <w:hyperlink w:history="1" r:id="rIdllzix9bnccqkdkl478mek">
              <w:r>
                <w:rPr>
                  <w:rStyle w:val="Hyperlink"/>
                  <w:rFonts w:ascii="Calibri" w:cs="Calibri" w:eastAsia="Calibri" w:hAnsi="Calibri"/>
                  <w:color w:val="1155CC"/>
                  <w:u w:val="single"/>
                </w:rPr>
                <w:t xml:space="preserve">results/tables/</w:t>
              </w:r>
            </w:hyperlink>
          </w:p>
        </w:tc>
        <w:tc>
          <w:tcPr>
            <w:tcW w:type="dxa" w:w="2502"/>
            <w:tcMar>
              <w:top w:type="dxa" w:w="60"/>
              <w:left w:type="dxa" w:w="110"/>
              <w:bottom w:type="dxa" w:w="60"/>
              <w:right w:type="dxa" w:w="110"/>
            </w:tcMar>
          </w:tcPr>
          <w:p>
            <w:pPr>
              <w:spacing w:after="20" w:before="20"/>
            </w:pPr>
            <w:r>
              <w:rPr>
                <w:rFonts w:ascii="Calibri" w:cs="Calibri" w:eastAsia="Calibri" w:hAnsi="Calibri"/>
              </w:rPr>
              <w:t xml:space="preserve">the leverage-effect study, written up</w:t>
            </w:r>
          </w:p>
        </w:tc>
      </w:tr>
    </w:tbl>
    <w:p>
      <w:pPr>
        <w:spacing w:after="120"/>
      </w:pPr>
    </w:p>
    <w:p>
      <w:pPr>
        <w:spacing w:after="110"/>
      </w:pPr>
      <w:r>
        <w:rPr>
          <w:rFonts w:ascii="Calibri" w:cs="Calibri" w:eastAsia="Calibri" w:hAnsi="Calibri"/>
          <w:b/>
          <w:bCs/>
        </w:rPr>
        <w:t xml:space="preserve">Models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9"/>
        <w:gridCol w:w="2084"/>
        <w:gridCol w:w="5757"/>
      </w:tblGrid>
      <w:tr>
        <w:trPr>
          <w:tblHeader/>
        </w:trPr>
        <w:tc>
          <w:tcPr>
            <w:tcW w:type="dxa" w:w="1519"/>
            <w:shd w:fill="E8E8E8" w:val="clear"/>
            <w:tcMar>
              <w:top w:type="dxa" w:w="60"/>
              <w:left w:type="dxa" w:w="110"/>
              <w:bottom w:type="dxa" w:w="60"/>
              <w:right w:type="dxa" w:w="110"/>
            </w:tcMar>
          </w:tcPr>
          <w:p>
            <w:pPr>
              <w:spacing w:after="20" w:before="20"/>
            </w:pPr>
            <w:r>
              <w:rPr>
                <w:rFonts w:ascii="Calibri" w:cs="Calibri" w:eastAsia="Calibri" w:hAnsi="Calibri"/>
                <w:b/>
                <w:bCs/>
              </w:rPr>
              <w:t xml:space="preserve">model</w:t>
            </w:r>
          </w:p>
        </w:tc>
        <w:tc>
          <w:tcPr>
            <w:tcW w:type="dxa" w:w="2084"/>
            <w:shd w:fill="E8E8E8" w:val="clear"/>
            <w:tcMar>
              <w:top w:type="dxa" w:w="60"/>
              <w:left w:type="dxa" w:w="110"/>
              <w:bottom w:type="dxa" w:w="60"/>
              <w:right w:type="dxa" w:w="110"/>
            </w:tcMar>
          </w:tcPr>
          <w:p>
            <w:pPr>
              <w:spacing w:after="20" w:before="20"/>
            </w:pPr>
            <w:r>
              <w:rPr>
                <w:rFonts w:ascii="Calibri" w:cs="Calibri" w:eastAsia="Calibri" w:hAnsi="Calibri"/>
                <w:b/>
                <w:bCs/>
              </w:rPr>
              <w:t xml:space="preserve">parameters</w:t>
            </w:r>
          </w:p>
        </w:tc>
        <w:tc>
          <w:tcPr>
            <w:tcW w:type="dxa" w:w="5757"/>
            <w:shd w:fill="E8E8E8" w:val="clear"/>
            <w:tcMar>
              <w:top w:type="dxa" w:w="60"/>
              <w:left w:type="dxa" w:w="110"/>
              <w:bottom w:type="dxa" w:w="60"/>
              <w:right w:type="dxa" w:w="110"/>
            </w:tcMar>
          </w:tcPr>
          <w:p>
            <w:pPr>
              <w:spacing w:after="20" w:before="20"/>
            </w:pPr>
            <w:r>
              <w:rPr>
                <w:rFonts w:ascii="Calibri" w:cs="Calibri" w:eastAsia="Calibri" w:hAnsi="Calibri"/>
                <w:b/>
                <w:bCs/>
              </w:rPr>
              <w:t xml:space="preserve">note</w:t>
            </w:r>
          </w:p>
        </w:tc>
      </w:tr>
      <w:tr>
        <w:tc>
          <w:tcPr>
            <w:tcW w:type="dxa" w:w="1519"/>
            <w:tcMar>
              <w:top w:type="dxa" w:w="60"/>
              <w:left w:type="dxa" w:w="110"/>
              <w:bottom w:type="dxa" w:w="60"/>
              <w:right w:type="dxa" w:w="110"/>
            </w:tcMar>
          </w:tcPr>
          <w:p>
            <w:pPr>
              <w:spacing w:after="20" w:before="20"/>
            </w:pPr>
            <w:r>
              <w:rPr>
                <w:rFonts w:ascii="Calibri" w:cs="Calibri" w:eastAsia="Calibri" w:hAnsi="Calibri"/>
              </w:rPr>
              <w:t xml:space="preserve">Raw SVI</w:t>
            </w:r>
          </w:p>
        </w:tc>
        <w:tc>
          <w:tcPr>
            <w:tcW w:type="dxa" w:w="2084"/>
            <w:tcMar>
              <w:top w:type="dxa" w:w="60"/>
              <w:left w:type="dxa" w:w="110"/>
              <w:bottom w:type="dxa" w:w="60"/>
              <w:right w:type="dxa" w:w="110"/>
            </w:tcMar>
          </w:tcPr>
          <w:p>
            <w:pPr>
              <w:spacing w:after="20" w:before="20"/>
            </w:pPr>
            <w:r>
              <w:rPr>
                <w:rFonts w:ascii="Calibri" w:cs="Calibri" w:eastAsia="Calibri" w:hAnsi="Calibri"/>
              </w:rPr>
              <w:t xml:space="preserve">5/slice</w:t>
            </w:r>
          </w:p>
        </w:tc>
        <w:tc>
          <w:tcPr>
            <w:tcW w:type="dxa" w:w="5757"/>
            <w:tcMar>
              <w:top w:type="dxa" w:w="60"/>
              <w:left w:type="dxa" w:w="110"/>
              <w:bottom w:type="dxa" w:w="60"/>
              <w:right w:type="dxa" w:w="110"/>
            </w:tcMar>
          </w:tcPr>
          <w:p>
            <w:pPr>
              <w:spacing w:after="20" w:before="20"/>
            </w:pPr>
            <w:r>
              <w:rPr>
                <w:rFonts w:ascii="Calibri" w:cs="Calibri" w:eastAsia="Calibri" w:hAnsi="Calibri"/>
              </w:rPr>
              <w:t xml:space="preserve">most flexible, no calendar coupling</w:t>
            </w:r>
          </w:p>
        </w:tc>
      </w:tr>
      <w:tr>
        <w:tc>
          <w:tcPr>
            <w:tcW w:type="dxa" w:w="1519"/>
            <w:tcMar>
              <w:top w:type="dxa" w:w="60"/>
              <w:left w:type="dxa" w:w="110"/>
              <w:bottom w:type="dxa" w:w="60"/>
              <w:right w:type="dxa" w:w="110"/>
            </w:tcMar>
          </w:tcPr>
          <w:p>
            <w:pPr>
              <w:spacing w:after="20" w:before="20"/>
            </w:pPr>
            <w:r>
              <w:rPr>
                <w:rFonts w:ascii="Calibri" w:cs="Calibri" w:eastAsia="Calibri" w:hAnsi="Calibri"/>
              </w:rPr>
              <w:t xml:space="preserve">SSVI</w:t>
            </w:r>
          </w:p>
        </w:tc>
        <w:tc>
          <w:tcPr>
            <w:tcW w:type="dxa" w:w="2084"/>
            <w:tcMar>
              <w:top w:type="dxa" w:w="60"/>
              <w:left w:type="dxa" w:w="110"/>
              <w:bottom w:type="dxa" w:w="60"/>
              <w:right w:type="dxa" w:w="110"/>
            </w:tcMar>
          </w:tcPr>
          <w:p>
            <w:pPr>
              <w:spacing w:after="20" w:before="20"/>
            </w:pPr>
            <w:r>
              <w:rPr>
                <w:rFonts w:ascii="Calibri" w:cs="Calibri" w:eastAsia="Calibri" w:hAnsi="Calibri"/>
              </w:rPr>
              <w:t xml:space="preserve">3 global + 1/slice</w:t>
            </w:r>
          </w:p>
        </w:tc>
        <w:tc>
          <w:tcPr>
            <w:tcW w:type="dxa" w:w="5757"/>
            <w:tcMar>
              <w:top w:type="dxa" w:w="60"/>
              <w:left w:type="dxa" w:w="110"/>
              <w:bottom w:type="dxa" w:w="60"/>
              <w:right w:type="dxa" w:w="110"/>
            </w:tcMar>
          </w:tcPr>
          <w:p>
            <w:pPr>
              <w:spacing w:after="20" w:before="20"/>
            </w:pPr>
            <w:r>
              <w:rPr>
                <w:rFonts w:ascii="Calibri" w:cs="Calibri" w:eastAsia="Calibri" w:hAnsi="Calibri"/>
              </w:rPr>
              <w:t xml:space="preserve">arb-free if η(1+|ρ|) ≤ 2, γ ∈ (0, 0.5]</w:t>
            </w:r>
          </w:p>
        </w:tc>
      </w:tr>
      <w:tr>
        <w:tc>
          <w:tcPr>
            <w:tcW w:type="dxa" w:w="1519"/>
            <w:tcMar>
              <w:top w:type="dxa" w:w="60"/>
              <w:left w:type="dxa" w:w="110"/>
              <w:bottom w:type="dxa" w:w="60"/>
              <w:right w:type="dxa" w:w="110"/>
            </w:tcMar>
          </w:tcPr>
          <w:p>
            <w:pPr>
              <w:spacing w:after="20" w:before="20"/>
            </w:pPr>
            <w:r>
              <w:rPr>
                <w:rFonts w:ascii="Calibri" w:cs="Calibri" w:eastAsia="Calibri" w:hAnsi="Calibri"/>
              </w:rPr>
              <w:t xml:space="preserve">eSSVI</w:t>
            </w:r>
          </w:p>
        </w:tc>
        <w:tc>
          <w:tcPr>
            <w:tcW w:type="dxa" w:w="2084"/>
            <w:tcMar>
              <w:top w:type="dxa" w:w="60"/>
              <w:left w:type="dxa" w:w="110"/>
              <w:bottom w:type="dxa" w:w="60"/>
              <w:right w:type="dxa" w:w="110"/>
            </w:tcMar>
          </w:tcPr>
          <w:p>
            <w:pPr>
              <w:spacing w:after="20" w:before="20"/>
            </w:pPr>
            <w:r>
              <w:rPr>
                <w:rFonts w:ascii="Calibri" w:cs="Calibri" w:eastAsia="Calibri" w:hAnsi="Calibri"/>
              </w:rPr>
              <w:t xml:space="preserve">5 global + n</w:t>
            </w:r>
          </w:p>
        </w:tc>
        <w:tc>
          <w:tcPr>
            <w:tcW w:type="dxa" w:w="5757"/>
            <w:tcMar>
              <w:top w:type="dxa" w:w="60"/>
              <w:left w:type="dxa" w:w="110"/>
              <w:bottom w:type="dxa" w:w="60"/>
              <w:right w:type="dxa" w:w="110"/>
            </w:tcMar>
          </w:tcPr>
          <w:p>
            <w:pPr>
              <w:spacing w:after="20" w:before="20"/>
            </w:pPr>
            <w:r>
              <w:rPr>
                <w:rFonts w:ascii="Calibri" w:cs="Calibri" w:eastAsia="Calibri" w:hAnsi="Calibri"/>
              </w:rPr>
              <w:t xml:space="preserve">ρ(θ) = ρ_∞ + (ρ_0−ρ_∞)e^(−λθ)</w:t>
            </w:r>
          </w:p>
        </w:tc>
      </w:tr>
      <w:tr>
        <w:tc>
          <w:tcPr>
            <w:tcW w:type="dxa" w:w="1519"/>
            <w:tcMar>
              <w:top w:type="dxa" w:w="60"/>
              <w:left w:type="dxa" w:w="110"/>
              <w:bottom w:type="dxa" w:w="60"/>
              <w:right w:type="dxa" w:w="110"/>
            </w:tcMar>
          </w:tcPr>
          <w:p>
            <w:pPr>
              <w:spacing w:after="20" w:before="20"/>
            </w:pPr>
            <w:r>
              <w:rPr>
                <w:rFonts w:ascii="Calibri" w:cs="Calibri" w:eastAsia="Calibri" w:hAnsi="Calibri"/>
              </w:rPr>
              <w:t xml:space="preserve">Global eSSVI (Mingone)</w:t>
            </w:r>
          </w:p>
        </w:tc>
        <w:tc>
          <w:tcPr>
            <w:tcW w:type="dxa" w:w="2084"/>
            <w:tcMar>
              <w:top w:type="dxa" w:w="60"/>
              <w:left w:type="dxa" w:w="110"/>
              <w:bottom w:type="dxa" w:w="60"/>
              <w:right w:type="dxa" w:w="110"/>
            </w:tcMar>
          </w:tcPr>
          <w:p>
            <w:pPr>
              <w:spacing w:after="20" w:before="20"/>
            </w:pPr>
            <w:r>
              <w:rPr>
                <w:rFonts w:ascii="Calibri" w:cs="Calibri" w:eastAsia="Calibri" w:hAnsi="Calibri"/>
              </w:rPr>
              <w:t xml:space="preserve">3n via a box</w:t>
            </w:r>
          </w:p>
        </w:tc>
        <w:tc>
          <w:tcPr>
            <w:tcW w:type="dxa" w:w="5757"/>
            <w:tcMar>
              <w:top w:type="dxa" w:w="60"/>
              <w:left w:type="dxa" w:w="110"/>
              <w:bottom w:type="dxa" w:w="60"/>
              <w:right w:type="dxa" w:w="110"/>
            </w:tcMar>
          </w:tcPr>
          <w:p>
            <w:pPr>
              <w:spacing w:after="20" w:before="20"/>
            </w:pPr>
            <w:r>
              <w:rPr>
                <w:rFonts w:ascii="Calibri" w:cs="Calibri" w:eastAsia="Calibri" w:hAnsi="Calibri"/>
              </w:rPr>
              <w:t xml:space="preserve">every point in the box is arbitrage-free — no penalties</w:t>
            </w:r>
          </w:p>
        </w:tc>
      </w:tr>
    </w:tbl>
    <w:p>
      <w:pPr>
        <w:spacing w:after="120"/>
      </w:pPr>
    </w:p>
    <w:p>
      <w:pPr>
        <w:pBdr>
          <w:bottom w:val="single" w:color="BBBBBB" w:sz="6" w:space="1"/>
        </w:pBdr>
        <w:spacing w:after="120" w:before="120"/>
      </w:pPr>
    </w:p>
    <w:p>
      <w:pPr>
        <w:pStyle w:val="Heading2"/>
        <w:spacing w:after="110" w:before="260"/>
      </w:pPr>
      <w:r>
        <w:rPr>
          <w:rFonts w:ascii="Calibri" w:cs="Calibri" w:eastAsia="Calibri" w:hAnsi="Calibri"/>
        </w:rPr>
        <w:t xml:space="preserve">4. Running things from the CLI</w:t>
      </w:r>
    </w:p>
    <w:p>
      <w:pPr>
        <w:spacing w:after="110"/>
      </w:pPr>
      <w:r>
        <w:rPr>
          <w:rFonts w:ascii="Calibri" w:cs="Calibri" w:eastAsia="Calibri" w:hAnsi="Calibri"/>
        </w:rPr>
        <w:t xml:space="preserve">To run python scripts from my natixis computer, I had to to use </w:t>
      </w:r>
    </w:p>
    <w:p>
      <w:pPr>
        <w:shd w:fill="F2F2F2" w:val="clear"/>
        <w:spacing w:after="100" w:before="100"/>
        <w:ind w:left="170" w:right="170"/>
      </w:pPr>
      <w:r>
        <w:rPr>
          <w:rFonts w:ascii="Consolas" w:cs="Consolas" w:eastAsia="Consolas" w:hAnsi="Consolas"/>
          <w:sz w:val="18"/>
          <w:szCs w:val="18"/>
        </w:rPr>
        <w:t xml:space="preserve">C:\Users\%USERNAME\AppData\Local\miniforge3\python.exe</w:t>
      </w:r>
    </w:p>
    <w:p>
      <w:pPr>
        <w:pStyle w:val="Heading3"/>
        <w:spacing w:after="110" w:before="260"/>
      </w:pPr>
      <w:r>
        <w:rPr>
          <w:rFonts w:ascii="Calibri" w:cs="Calibri" w:eastAsia="Calibri" w:hAnsi="Calibri"/>
        </w:rPr>
        <w:t xml:space="preserve">The roll backtester — </w:t>
      </w:r>
      <w:hyperlink w:history="1" r:id="rIdda4doz7iumexfrybshuow">
        <w:r>
          <w:rPr>
            <w:rStyle w:val="Hyperlink"/>
            <w:rFonts w:ascii="Calibri" w:cs="Calibri" w:eastAsia="Calibri" w:hAnsi="Calibri"/>
            <w:color w:val="1155CC"/>
            <w:u w:val="single"/>
          </w:rPr>
          <w:t xml:space="preserve">run_roll.py</w:t>
        </w:r>
      </w:hyperlink>
    </w:p>
    <w:p>
      <w:pPr>
        <w:spacing w:after="110"/>
      </w:pPr>
      <w:r>
        <w:rPr>
          <w:rFonts w:ascii="Calibri" w:cs="Calibri" w:eastAsia="Calibri" w:hAnsi="Calibri"/>
        </w:rPr>
        <w:t xml:space="preserve">The main entry point. It wraps </w:t>
      </w:r>
      <w:hyperlink w:history="1" r:id="rIdwlwd5pucpbmruuxhmk48h">
        <w:r>
          <w:rPr>
            <w:rStyle w:val="Hyperlink"/>
            <w:rFonts w:ascii="Calibri" w:cs="Calibri" w:eastAsia="Calibri" w:hAnsi="Calibri"/>
            <w:color w:val="1155CC"/>
            <w:u w:val="single"/>
          </w:rPr>
          <w:t xml:space="preserve">roll_engine.py</w:t>
        </w:r>
      </w:hyperlink>
      <w:r>
        <w:rPr>
          <w:rFonts w:ascii="Calibri" w:cs="Calibri" w:eastAsia="Calibri" w:hAnsi="Calibri"/>
        </w:rPr>
        <w:t xml:space="preserve"> (the simulation) and </w:t>
      </w:r>
      <w:hyperlink w:history="1" r:id="rId60e3dx_5lkpdnvllwipwt">
        <w:r>
          <w:rPr>
            <w:rStyle w:val="Hyperlink"/>
            <w:rFonts w:ascii="Calibri" w:cs="Calibri" w:eastAsia="Calibri" w:hAnsi="Calibri"/>
            <w:color w:val="1155CC"/>
            <w:u w:val="single"/>
          </w:rPr>
          <w:t xml:space="preserve">roll_results.py</w:t>
        </w:r>
      </w:hyperlink>
      <w:r>
        <w:rPr>
          <w:rFonts w:ascii="Calibri" w:cs="Calibri" w:eastAsia="Calibri" w:hAnsi="Calibri"/>
        </w:rPr>
        <w:t xml:space="preserve"> (the paper-style table); neither of those is run directly.</w:t>
      </w:r>
    </w:p>
    <w:p>
      <w:pPr>
        <w:shd w:fill="F2F2F2" w:val="clear"/>
        <w:spacing w:after="0" w:before="100"/>
        <w:ind w:left="170" w:right="170"/>
      </w:pPr>
      <w:r>
        <w:rPr>
          <w:rFonts w:ascii="Consolas" w:cs="Consolas" w:eastAsia="Consolas" w:hAnsi="Consolas"/>
          <w:sz w:val="18"/>
          <w:szCs w:val="18"/>
        </w:rPr>
        <w:t xml:space="preserve">python volatility_surface/backtest/run_roll.py --options volatility_surface/notebooks/clean_chunks_full </w:t>
      </w:r>
    </w:p>
    <w:p>
      <w:pPr>
        <w:shd w:fill="F2F2F2" w:val="clear"/>
        <w:spacing w:after="0" w:before="0"/>
        <w:ind w:left="170" w:right="170"/>
      </w:pPr>
      <w:r>
        <w:rPr>
          <w:rFonts w:ascii="Consolas" w:cs="Consolas" w:eastAsia="Consolas" w:hAnsi="Consolas"/>
          <w:sz w:val="18"/>
          <w:szCs w:val="18"/>
        </w:rPr>
        <w:t xml:space="preserve">--perp "2 - Data/parquets/eth_perp_1min_jan-jun2025.parquet" --all --frequency weekly --coin ETH </w:t>
      </w:r>
    </w:p>
    <w:p>
      <w:pPr>
        <w:shd w:fill="F2F2F2" w:val="clear"/>
        <w:spacing w:after="100" w:before="0"/>
        <w:ind w:left="170" w:right="170"/>
      </w:pPr>
      <w:r>
        <w:rPr>
          <w:rFonts w:ascii="Consolas" w:cs="Consolas" w:eastAsia="Consolas" w:hAnsi="Consolas"/>
          <w:sz w:val="18"/>
          <w:szCs w:val="18"/>
        </w:rPr>
        <w:t xml:space="preserve">--funding "2 - Data/funding/eth_perp_funding_2024_2026.parquet" --csv results_weekly.csv</w:t>
      </w:r>
    </w:p>
    <w:p>
      <w:pPr>
        <w:spacing w:after="110"/>
      </w:pPr>
      <w:r>
        <w:rPr>
          <w:rFonts w:ascii="Calibri" w:cs="Calibri" w:eastAsia="Calibri" w:hAnsi="Calibri"/>
        </w:rPr>
        <w:t xml:space="preserve">That is the reference run: whole catalogue (26 strategies), weekly rolls, realised funding, table written to CSV. ~1 h on the full archive; all 26 cost roughly the wall-clock of one, so never loop over </w:t>
      </w:r>
      <w:r>
        <w:rPr>
          <w:rFonts w:ascii="Consolas" w:cs="Consolas" w:eastAsia="Consolas" w:hAnsi="Consolas"/>
          <w:sz w:val="19"/>
          <w:szCs w:val="19"/>
          <w:shd w:fill="F2F2F2" w:val="clear"/>
        </w:rPr>
        <w:t xml:space="preserve">--structure</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4"/>
        <w:gridCol w:w="7436"/>
      </w:tblGrid>
      <w:tr>
        <w:trPr>
          <w:tblHeader/>
        </w:trPr>
        <w:tc>
          <w:tcPr>
            <w:tcW w:type="dxa" w:w="1924"/>
            <w:shd w:fill="E8E8E8" w:val="clear"/>
            <w:tcMar>
              <w:top w:type="dxa" w:w="60"/>
              <w:left w:type="dxa" w:w="110"/>
              <w:bottom w:type="dxa" w:w="60"/>
              <w:right w:type="dxa" w:w="110"/>
            </w:tcMar>
          </w:tcPr>
          <w:p>
            <w:pPr>
              <w:spacing w:after="20" w:before="20"/>
            </w:pPr>
            <w:r>
              <w:rPr>
                <w:rFonts w:ascii="Calibri" w:cs="Calibri" w:eastAsia="Calibri" w:hAnsi="Calibri"/>
                <w:b/>
                <w:bCs/>
              </w:rPr>
              <w:t xml:space="preserve">flag</w:t>
            </w:r>
          </w:p>
        </w:tc>
        <w:tc>
          <w:tcPr>
            <w:tcW w:type="dxa" w:w="7436"/>
            <w:shd w:fill="E8E8E8" w:val="clear"/>
            <w:tcMar>
              <w:top w:type="dxa" w:w="60"/>
              <w:left w:type="dxa" w:w="110"/>
              <w:bottom w:type="dxa" w:w="60"/>
              <w:right w:type="dxa" w:w="110"/>
            </w:tcMar>
          </w:tcPr>
          <w:p>
            <w:pPr>
              <w:spacing w:after="20" w:before="20"/>
            </w:pPr>
            <w:r>
              <w:rPr>
                <w:rFonts w:ascii="Calibri" w:cs="Calibri" w:eastAsia="Calibri" w:hAnsi="Calibri"/>
                <w:b/>
                <w:bCs/>
              </w:rPr>
              <w:t xml:space="preserve">what it does</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--options</w:t>
            </w:r>
            <w:r>
              <w:rPr>
                <w:rFonts w:ascii="Calibri" w:cs="Calibri" w:eastAsia="Calibri" w:hAnsi="Calibri"/>
              </w:rPr>
              <w:t xml:space="preserve"> / </w:t>
            </w:r>
            <w:r>
              <w:rPr>
                <w:rFonts w:ascii="Consolas" w:cs="Consolas" w:eastAsia="Consolas" w:hAnsi="Consolas"/>
                <w:sz w:val="19"/>
                <w:szCs w:val="19"/>
                <w:shd w:fill="F2F2F2" w:val="clear"/>
              </w:rPr>
              <w:t xml:space="preserve">--perp</w:t>
            </w:r>
          </w:p>
        </w:tc>
        <w:tc>
          <w:tcPr>
            <w:tcW w:type="dxa" w:w="7436"/>
            <w:tcMar>
              <w:top w:type="dxa" w:w="60"/>
              <w:left w:type="dxa" w:w="110"/>
              <w:bottom w:type="dxa" w:w="60"/>
              <w:right w:type="dxa" w:w="110"/>
            </w:tcMar>
          </w:tcPr>
          <w:p>
            <w:pPr>
              <w:spacing w:after="20" w:before="20"/>
            </w:pPr>
            <w:r>
              <w:rPr>
                <w:rFonts w:ascii="Calibri" w:cs="Calibri" w:eastAsia="Calibri" w:hAnsi="Calibri"/>
                <w:b/>
                <w:bCs/>
              </w:rPr>
              <w:t xml:space="preserve">required.</w:t>
            </w:r>
            <w:r>
              <w:rPr>
                <w:rFonts w:ascii="Calibri" w:cs="Calibri" w:eastAsia="Calibri" w:hAnsi="Calibri"/>
              </w:rPr>
              <w:t xml:space="preserve"> Cleaned option parquet </w:t>
            </w:r>
            <w:r>
              <w:rPr>
                <w:rFonts w:ascii="Calibri" w:cs="Calibri" w:eastAsia="Calibri" w:hAnsi="Calibri"/>
                <w:i/>
                <w:iCs/>
              </w:rPr>
              <w:t xml:space="preserve">or</w:t>
            </w:r>
            <w:r>
              <w:rPr>
                <w:rFonts w:ascii="Calibri" w:cs="Calibri" w:eastAsia="Calibri" w:hAnsi="Calibri"/>
              </w:rPr>
              <w:t xml:space="preserve"> a directory of </w:t>
            </w:r>
            <w:r>
              <w:rPr>
                <w:rFonts w:ascii="Consolas" w:cs="Consolas" w:eastAsia="Consolas" w:hAnsi="Consolas"/>
                <w:sz w:val="19"/>
                <w:szCs w:val="19"/>
                <w:shd w:fill="F2F2F2" w:val="clear"/>
              </w:rPr>
              <w:t xml:space="preserve">chunk_*.parquet</w:t>
            </w:r>
            <w:r>
              <w:rPr>
                <w:rFonts w:ascii="Calibri" w:cs="Calibri" w:eastAsia="Calibri" w:hAnsi="Calibri"/>
              </w:rPr>
              <w:t xml:space="preserve">; perp OHLCV parquet</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--all</w:t>
            </w:r>
          </w:p>
        </w:tc>
        <w:tc>
          <w:tcPr>
            <w:tcW w:type="dxa" w:w="7436"/>
            <w:tcMar>
              <w:top w:type="dxa" w:w="60"/>
              <w:left w:type="dxa" w:w="110"/>
              <w:bottom w:type="dxa" w:w="60"/>
              <w:right w:type="dxa" w:w="110"/>
            </w:tcMar>
          </w:tcPr>
          <w:p>
            <w:pPr>
              <w:spacing w:after="20" w:before="20"/>
            </w:pPr>
            <w:r>
              <w:rPr>
                <w:rFonts w:ascii="Calibri" w:cs="Calibri" w:eastAsia="Calibri" w:hAnsi="Calibri"/>
              </w:rPr>
              <w:t xml:space="preserve">whole catalogue + paper-style table. Without it, </w:t>
            </w:r>
            <w:r>
              <w:rPr>
                <w:rFonts w:ascii="Consolas" w:cs="Consolas" w:eastAsia="Consolas" w:hAnsi="Consolas"/>
                <w:sz w:val="19"/>
                <w:szCs w:val="19"/>
                <w:shd w:fill="F2F2F2" w:val="clear"/>
              </w:rPr>
              <w:t xml:space="preserve">--structure</w:t>
            </w:r>
            <w:r>
              <w:rPr>
                <w:rFonts w:ascii="Calibri" w:cs="Calibri" w:eastAsia="Calibri" w:hAnsi="Calibri"/>
              </w:rPr>
              <w:t xml:space="preserve"> runs one</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--structure "Short Straddle"</w:t>
            </w:r>
          </w:p>
        </w:tc>
        <w:tc>
          <w:tcPr>
            <w:tcW w:type="dxa" w:w="7436"/>
            <w:tcMar>
              <w:top w:type="dxa" w:w="60"/>
              <w:left w:type="dxa" w:w="110"/>
              <w:bottom w:type="dxa" w:w="60"/>
              <w:right w:type="dxa" w:w="110"/>
            </w:tcMar>
          </w:tcPr>
          <w:p>
            <w:pPr>
              <w:spacing w:after="20" w:before="20"/>
            </w:pPr>
            <w:r>
              <w:rPr>
                <w:rFonts w:ascii="Calibri" w:cs="Calibri" w:eastAsia="Calibri" w:hAnsi="Calibri"/>
              </w:rPr>
              <w:t xml:space="preserve">one structure. 13 bases × Long/Short: ATM/25D/10D Call &amp; Put, Straddle, 25D/10D Strangle, Call Spread, Put Spread, 25D RR, 25D ButterFly</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--frequency</w:t>
            </w:r>
          </w:p>
        </w:tc>
        <w:tc>
          <w:tcPr>
            <w:tcW w:type="dxa" w:w="7436"/>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daily\|weekly\|monthly\|quarterly</w:t>
            </w:r>
            <w:r>
              <w:rPr>
                <w:rFonts w:ascii="Calibri" w:cs="Calibri" w:eastAsia="Calibri" w:hAnsi="Calibri"/>
              </w:rPr>
              <w:t xml:space="preserve">, or comma-separated with </w:t>
            </w:r>
            <w:r>
              <w:rPr>
                <w:rFonts w:ascii="Consolas" w:cs="Consolas" w:eastAsia="Consolas" w:hAnsi="Consolas"/>
                <w:sz w:val="19"/>
                <w:szCs w:val="19"/>
                <w:shd w:fill="F2F2F2" w:val="clear"/>
              </w:rPr>
              <w:t xml:space="preserve">--all</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--execution</w:t>
            </w:r>
          </w:p>
        </w:tc>
        <w:tc>
          <w:tcPr>
            <w:tcW w:type="dxa" w:w="7436"/>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spread</w:t>
            </w:r>
            <w:r>
              <w:rPr>
                <w:rFonts w:ascii="Calibri" w:cs="Calibri" w:eastAsia="Calibri" w:hAnsi="Calibri"/>
              </w:rPr>
              <w:t xml:space="preserve"> (default, crosses the real book) · </w:t>
            </w:r>
            <w:r>
              <w:rPr>
                <w:rFonts w:ascii="Consolas" w:cs="Consolas" w:eastAsia="Consolas" w:hAnsi="Consolas"/>
                <w:sz w:val="19"/>
                <w:szCs w:val="19"/>
                <w:shd w:fill="F2F2F2" w:val="clear"/>
              </w:rPr>
              <w:t xml:space="preserve">paper</w:t>
            </w:r>
            <w:r>
              <w:rPr>
                <w:rFonts w:ascii="Calibri" w:cs="Calibri" w:eastAsia="Calibri" w:hAnsi="Calibri"/>
              </w:rPr>
              <w:t xml:space="preserve"> (fill-at-mid + 50 bp, Assumption 5.1) · </w:t>
            </w:r>
            <w:r>
              <w:rPr>
                <w:rFonts w:ascii="Consolas" w:cs="Consolas" w:eastAsia="Consolas" w:hAnsi="Consolas"/>
                <w:b/>
                <w:bCs/>
                <w:sz w:val="19"/>
                <w:szCs w:val="19"/>
                <w:shd w:fill="F2F2F2" w:val="clear"/>
              </w:rPr>
              <w:t xml:space="preserve">both</w:t>
            </w:r>
            <w:r>
              <w:rPr>
                <w:rFonts w:ascii="Calibri" w:cs="Calibri" w:eastAsia="Calibri" w:hAnsi="Calibri"/>
              </w:rPr>
              <w:t xml:space="preserve"> → runs each and diffs them</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--accounting</w:t>
            </w:r>
          </w:p>
        </w:tc>
        <w:tc>
          <w:tcPr>
            <w:tcW w:type="dxa" w:w="7436"/>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coin</w:t>
            </w:r>
            <w:r>
              <w:rPr>
                <w:rFonts w:ascii="Calibri" w:cs="Calibri" w:eastAsia="Calibri" w:hAnsi="Calibri"/>
              </w:rPr>
              <w:t xml:space="preserve"> (default) or </w:t>
            </w:r>
            <w:r>
              <w:rPr>
                <w:rFonts w:ascii="Consolas" w:cs="Consolas" w:eastAsia="Consolas" w:hAnsi="Consolas"/>
                <w:sz w:val="19"/>
                <w:szCs w:val="19"/>
                <w:shd w:fill="F2F2F2" w:val="clear"/>
              </w:rPr>
              <w:t xml:space="preserve">usd</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--funding</w:t>
            </w:r>
            <w:r>
              <w:rPr>
                <w:rFonts w:ascii="Calibri" w:cs="Calibri" w:eastAsia="Calibri" w:hAnsi="Calibri"/>
              </w:rPr>
              <w:t xml:space="preserve"> / </w:t>
            </w:r>
            <w:r>
              <w:rPr>
                <w:rFonts w:ascii="Consolas" w:cs="Consolas" w:eastAsia="Consolas" w:hAnsi="Consolas"/>
                <w:sz w:val="19"/>
                <w:szCs w:val="19"/>
                <w:shd w:fill="F2F2F2" w:val="clear"/>
              </w:rPr>
              <w:t xml:space="preserve">--funding-annual-rate</w:t>
            </w:r>
          </w:p>
        </w:tc>
        <w:tc>
          <w:tcPr>
            <w:tcW w:type="dxa" w:w="7436"/>
            <w:tcMar>
              <w:top w:type="dxa" w:w="60"/>
              <w:left w:type="dxa" w:w="110"/>
              <w:bottom w:type="dxa" w:w="60"/>
              <w:right w:type="dxa" w:w="110"/>
            </w:tcMar>
          </w:tcPr>
          <w:p>
            <w:pPr>
              <w:spacing w:after="20" w:before="20"/>
            </w:pPr>
            <w:r>
              <w:rPr>
                <w:rFonts w:ascii="Calibri" w:cs="Calibri" w:eastAsia="Calibri" w:hAnsi="Calibri"/>
              </w:rPr>
              <w:t xml:space="preserve">realised Deribit parquet (Eq 29), or a constant fallback; 0 = omitted</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--regime</w:t>
            </w:r>
          </w:p>
        </w:tc>
        <w:tc>
          <w:tcPr>
            <w:tcW w:type="dxa" w:w="7436"/>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bear1\|bear2\|bear3\|bull1\|bull2</w:t>
            </w:r>
            <w:r>
              <w:rPr>
                <w:rFonts w:ascii="Calibri" w:cs="Calibri" w:eastAsia="Calibri" w:hAnsi="Calibri"/>
              </w:rPr>
              <w:t xml:space="preserve"> — ⚠️ hand-drawn from the finished chart, descriptive only</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--start</w:t>
            </w:r>
            <w:r>
              <w:rPr>
                <w:rFonts w:ascii="Calibri" w:cs="Calibri" w:eastAsia="Calibri" w:hAnsi="Calibri"/>
              </w:rPr>
              <w:t xml:space="preserve"> / </w:t>
            </w:r>
            <w:r>
              <w:rPr>
                <w:rFonts w:ascii="Consolas" w:cs="Consolas" w:eastAsia="Consolas" w:hAnsi="Consolas"/>
                <w:sz w:val="19"/>
                <w:szCs w:val="19"/>
                <w:shd w:fill="F2F2F2" w:val="clear"/>
              </w:rPr>
              <w:t xml:space="preserve">--end</w:t>
            </w:r>
          </w:p>
        </w:tc>
        <w:tc>
          <w:tcPr>
            <w:tcW w:type="dxa" w:w="7436"/>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YYYY-MM-DD</w:t>
            </w:r>
            <w:r>
              <w:rPr>
                <w:rFonts w:ascii="Calibri" w:cs="Calibri" w:eastAsia="Calibri" w:hAnsi="Calibri"/>
              </w:rPr>
              <w:t xml:space="preserve"> (UTC, end exclusive)</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--hedge-band</w:t>
            </w:r>
          </w:p>
        </w:tc>
        <w:tc>
          <w:tcPr>
            <w:tcW w:type="dxa" w:w="7436"/>
            <w:tcMar>
              <w:top w:type="dxa" w:w="60"/>
              <w:left w:type="dxa" w:w="110"/>
              <w:bottom w:type="dxa" w:w="60"/>
              <w:right w:type="dxa" w:w="110"/>
            </w:tcMar>
          </w:tcPr>
          <w:p>
            <w:pPr>
              <w:spacing w:after="20" w:before="20"/>
            </w:pPr>
            <w:r>
              <w:rPr>
                <w:rFonts w:ascii="Calibri" w:cs="Calibri" w:eastAsia="Calibri" w:hAnsi="Calibri"/>
              </w:rPr>
              <w:t xml:space="preserve">no-trade band, fraction of NAV (default 0.05)</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--max-snaps 5000</w:t>
            </w:r>
          </w:p>
        </w:tc>
        <w:tc>
          <w:tcPr>
            <w:tcW w:type="dxa" w:w="7436"/>
            <w:tcMar>
              <w:top w:type="dxa" w:w="60"/>
              <w:left w:type="dxa" w:w="110"/>
              <w:bottom w:type="dxa" w:w="60"/>
              <w:right w:type="dxa" w:w="110"/>
            </w:tcMar>
          </w:tcPr>
          <w:p>
            <w:pPr>
              <w:spacing w:after="20" w:before="20"/>
            </w:pPr>
            <w:r>
              <w:rPr>
                <w:rFonts w:ascii="Calibri" w:cs="Calibri" w:eastAsia="Calibri" w:hAnsi="Calibri"/>
                <w:b/>
                <w:bCs/>
              </w:rPr>
              <w:t xml:space="preserve">smoke run — use this first</w:t>
            </w:r>
            <w:r>
              <w:rPr>
                <w:rFonts w:ascii="Calibri" w:cs="Calibri" w:eastAsia="Calibri" w:hAnsi="Calibri"/>
              </w:rPr>
              <w:t xml:space="preserve"> to check the wiring</w:t>
            </w:r>
          </w:p>
        </w:tc>
      </w:tr>
      <w:tr>
        <w:tc>
          <w:tcPr>
            <w:tcW w:type="dxa" w:w="1924"/>
            <w:tcMar>
              <w:top w:type="dxa" w:w="60"/>
              <w:left w:type="dxa" w:w="110"/>
              <w:bottom w:type="dxa" w:w="60"/>
              <w:right w:type="dxa" w:w="110"/>
            </w:tcMar>
          </w:tcPr>
          <w:p>
            <w:pPr>
              <w:spacing w:after="20" w:before="20"/>
            </w:pPr>
            <w:r>
              <w:rPr>
                <w:rFonts w:ascii="Consolas" w:cs="Consolas" w:eastAsia="Consolas" w:hAnsi="Consolas"/>
                <w:sz w:val="19"/>
                <w:szCs w:val="19"/>
                <w:shd w:fill="F2F2F2" w:val="clear"/>
              </w:rPr>
              <w:t xml:space="preserve">--csv</w:t>
            </w:r>
            <w:r>
              <w:rPr>
                <w:rFonts w:ascii="Calibri" w:cs="Calibri" w:eastAsia="Calibri" w:hAnsi="Calibri"/>
              </w:rPr>
              <w:t xml:space="preserve"> / </w:t>
            </w:r>
            <w:r>
              <w:rPr>
                <w:rFonts w:ascii="Consolas" w:cs="Consolas" w:eastAsia="Consolas" w:hAnsi="Consolas"/>
                <w:sz w:val="19"/>
                <w:szCs w:val="19"/>
                <w:shd w:fill="F2F2F2" w:val="clear"/>
              </w:rPr>
              <w:t xml:space="preserve">--dump-run NAME</w:t>
            </w:r>
          </w:p>
        </w:tc>
        <w:tc>
          <w:tcPr>
            <w:tcW w:type="dxa" w:w="7436"/>
            <w:tcMar>
              <w:top w:type="dxa" w:w="60"/>
              <w:left w:type="dxa" w:w="110"/>
              <w:bottom w:type="dxa" w:w="60"/>
              <w:right w:type="dxa" w:w="110"/>
            </w:tcMar>
          </w:tcPr>
          <w:p>
            <w:pPr>
              <w:spacing w:after="20" w:before="20"/>
            </w:pPr>
            <w:r>
              <w:rPr>
                <w:rFonts w:ascii="Calibri" w:cs="Calibri" w:eastAsia="Calibri" w:hAnsi="Calibri"/>
              </w:rPr>
              <w:t xml:space="preserve">summary table / full result dicts (NAV paths, event log)</w:t>
            </w:r>
          </w:p>
        </w:tc>
      </w:tr>
    </w:tbl>
    <w:p>
      <w:pPr>
        <w:spacing w:after="120"/>
      </w:pPr>
    </w:p>
    <w:p>
      <w:pPr>
        <w:spacing w:after="110"/>
      </w:pPr>
      <w:r>
        <w:rPr>
          <w:rFonts w:ascii="Calibri" w:cs="Calibri" w:eastAsia="Calibri" w:hAnsi="Calibri"/>
          <w:b/>
          <w:bCs/>
        </w:rPr>
        <w:t xml:space="preserve">Start with a smoke run.</w:t>
      </w:r>
      <w:r>
        <w:rPr>
          <w:rFonts w:ascii="Calibri" w:cs="Calibri" w:eastAsia="Calibri" w:hAnsi="Calibri"/>
        </w:rPr>
        <w:t xml:space="preserve"> It exercises the whole path in minutes:</w:t>
      </w:r>
    </w:p>
    <w:p>
      <w:pPr>
        <w:shd w:fill="F2F2F2" w:val="clear"/>
        <w:spacing w:after="0" w:before="100"/>
        <w:ind w:left="170" w:right="170"/>
      </w:pPr>
      <w:r>
        <w:rPr>
          <w:rFonts w:ascii="Consolas" w:cs="Consolas" w:eastAsia="Consolas" w:hAnsi="Consolas"/>
          <w:sz w:val="18"/>
          <w:szCs w:val="18"/>
        </w:rPr>
        <w:t xml:space="preserve">python volatility_surface/backtest/run_roll.py --options volatility_surface/notebooks/clean_chunks_full </w:t>
      </w:r>
    </w:p>
    <w:p>
      <w:pPr>
        <w:shd w:fill="F2F2F2" w:val="clear"/>
        <w:spacing w:after="100" w:before="0"/>
        <w:ind w:left="170" w:right="170"/>
      </w:pPr>
      <w:r>
        <w:rPr>
          <w:rFonts w:ascii="Consolas" w:cs="Consolas" w:eastAsia="Consolas" w:hAnsi="Consolas"/>
          <w:sz w:val="18"/>
          <w:szCs w:val="18"/>
        </w:rPr>
        <w:t xml:space="preserve">--perp "2 - Data/parquets/eth_perp_1min_jan-jun2025.parquet" --all --max-snaps 5000</w:t>
      </w:r>
    </w:p>
    <w:p>
      <w:pPr>
        <w:spacing w:after="110"/>
      </w:pPr>
      <w:r>
        <w:rPr>
          <w:rFonts w:ascii="Calibri" w:cs="Calibri" w:eastAsia="Calibri" w:hAnsi="Calibri"/>
          <w:b/>
          <w:bCs/>
        </w:rPr>
        <w:t xml:space="preserve">Is the premium eaten by the spread, or absent?</w:t>
      </w:r>
      <w:r>
        <w:rPr>
          <w:rFonts w:ascii="Calibri" w:cs="Calibri" w:eastAsia="Calibri" w:hAnsi="Calibri"/>
        </w:rPr>
        <w:t xml:space="preserve"> </w:t>
      </w:r>
      <w:r>
        <w:rPr>
          <w:rFonts w:ascii="Consolas" w:cs="Consolas" w:eastAsia="Consolas" w:hAnsi="Consolas"/>
          <w:sz w:val="19"/>
          <w:szCs w:val="19"/>
          <w:shd w:fill="F2F2F2" w:val="clear"/>
        </w:rPr>
        <w:t xml:space="preserve">--execution both</w:t>
      </w:r>
      <w:r>
        <w:rPr>
          <w:rFonts w:ascii="Calibri" w:cs="Calibri" w:eastAsia="Calibri" w:hAnsi="Calibri"/>
        </w:rPr>
        <w:t xml:space="preserve"> answers it in one pass:</w:t>
      </w:r>
    </w:p>
    <w:p>
      <w:pPr>
        <w:shd w:fill="F2F2F2" w:val="clear"/>
        <w:spacing w:after="0" w:before="100"/>
        <w:ind w:left="170" w:right="170"/>
      </w:pPr>
      <w:r>
        <w:rPr>
          <w:rFonts w:ascii="Consolas" w:cs="Consolas" w:eastAsia="Consolas" w:hAnsi="Consolas"/>
          <w:sz w:val="18"/>
          <w:szCs w:val="18"/>
        </w:rPr>
        <w:t xml:space="preserve">python volatility_surface/backtest/run_roll.py --options volatility_surface/notebooks/clean_chunks_full </w:t>
      </w:r>
    </w:p>
    <w:p>
      <w:pPr>
        <w:shd w:fill="F2F2F2" w:val="clear"/>
        <w:spacing w:after="100" w:before="0"/>
        <w:ind w:left="170" w:right="170"/>
      </w:pPr>
      <w:r>
        <w:rPr>
          <w:rFonts w:ascii="Consolas" w:cs="Consolas" w:eastAsia="Consolas" w:hAnsi="Consolas"/>
          <w:sz w:val="18"/>
          <w:szCs w:val="18"/>
        </w:rPr>
        <w:t xml:space="preserve">--perp "2 - Data/parquets/eth_perp_1min_jan-jun2025.parquet" --all --frequency weekly --execution both</w:t>
      </w:r>
    </w:p>
    <w:p>
      <w:pPr>
        <w:spacing w:after="110"/>
      </w:pPr>
      <w:r>
        <w:rPr>
          <w:rFonts w:ascii="Calibri" w:cs="Calibri" w:eastAsia="Calibri" w:hAnsi="Calibri"/>
          <w:b/>
          <w:bCs/>
        </w:rPr>
        <w:t xml:space="preserve">Reading results back.</w:t>
      </w:r>
      <w:r>
        <w:rPr>
          <w:rFonts w:ascii="Calibri" w:cs="Calibri" w:eastAsia="Calibri" w:hAnsi="Calibri"/>
        </w:rPr>
        <w:t xml:space="preserve"> </w:t>
      </w:r>
      <w:r>
        <w:rPr>
          <w:rFonts w:ascii="Consolas" w:cs="Consolas" w:eastAsia="Consolas" w:hAnsi="Consolas"/>
          <w:sz w:val="19"/>
          <w:szCs w:val="19"/>
          <w:shd w:fill="F2F2F2" w:val="clear"/>
        </w:rPr>
        <w:t xml:space="preserve">--dump-run</w:t>
      </w:r>
      <w:r>
        <w:rPr>
          <w:rFonts w:ascii="Calibri" w:cs="Calibri" w:eastAsia="Calibri" w:hAnsi="Calibri"/>
        </w:rPr>
        <w:t xml:space="preserve"> then </w:t>
      </w:r>
      <w:hyperlink w:history="1" r:id="rIdgwrdkaucdlrtrohdnehic">
        <w:r>
          <w:rPr>
            <w:rStyle w:val="Hyperlink"/>
            <w:rFonts w:ascii="Calibri" w:cs="Calibri" w:eastAsia="Calibri" w:hAnsi="Calibri"/>
            <w:color w:val="1155CC"/>
            <w:u w:val="single"/>
          </w:rPr>
          <w:t xml:space="preserve">results_io.py</w:t>
        </w:r>
      </w:hyperlink>
      <w:r>
        <w:rPr>
          <w:rFonts w:ascii="Calibri" w:cs="Calibri" w:eastAsia="Calibri" w:hAnsi="Calibri"/>
        </w:rPr>
        <w:t xml:space="preserve"> so notebooks read artefacts instead of recomputing an hour of backtest:</w:t>
      </w:r>
    </w:p>
    <w:p>
      <w:pPr>
        <w:shd w:fill="F2F2F2" w:val="clear"/>
        <w:spacing w:after="0" w:before="100"/>
        <w:ind w:left="170" w:right="170"/>
      </w:pPr>
      <w:r>
        <w:rPr>
          <w:rFonts w:ascii="Consolas" w:cs="Consolas" w:eastAsia="Consolas" w:hAnsi="Consolas"/>
          <w:sz w:val="18"/>
          <w:szCs w:val="18"/>
        </w:rPr>
        <w:t xml:space="preserve">from volatility_surface.backtest import results_io as RIO</w:t>
      </w:r>
    </w:p>
    <w:p>
      <w:pPr>
        <w:shd w:fill="F2F2F2" w:val="clear"/>
        <w:spacing w:after="0" w:before="0"/>
        <w:ind w:left="170" w:right="170"/>
      </w:pPr>
      <w:r>
        <w:rPr>
          <w:rFonts w:ascii="Consolas" w:cs="Consolas" w:eastAsia="Consolas" w:hAnsi="Consolas"/>
          <w:sz w:val="18"/>
          <w:szCs w:val="18"/>
        </w:rPr>
        <w:t xml:space="preserve">RIO.available()                  # what's on disk</w:t>
      </w:r>
    </w:p>
    <w:p>
      <w:pPr>
        <w:shd w:fill="F2F2F2" w:val="clear"/>
        <w:spacing w:after="0" w:before="0"/>
        <w:ind w:left="170" w:right="170"/>
      </w:pPr>
      <w:r>
        <w:rPr>
          <w:rFonts w:ascii="Consolas" w:cs="Consolas" w:eastAsia="Consolas" w:hAnsi="Consolas"/>
          <w:sz w:val="18"/>
          <w:szCs w:val="18"/>
        </w:rPr>
        <w:t xml:space="preserve">RIO.load_table("results_weekly") # the summary table</w:t>
      </w:r>
    </w:p>
    <w:p>
      <w:pPr>
        <w:shd w:fill="F2F2F2" w:val="clear"/>
        <w:spacing w:after="100" w:before="0"/>
        <w:ind w:left="170" w:right="170"/>
      </w:pPr>
      <w:r>
        <w:rPr>
          <w:rFonts w:ascii="Consolas" w:cs="Consolas" w:eastAsia="Consolas" w:hAnsi="Consolas"/>
          <w:sz w:val="18"/>
          <w:szCs w:val="18"/>
        </w:rPr>
        <w:t xml:space="preserve">RIO.load_run("weekly_band10")    # full dicts: NAV, events, params</w:t>
      </w:r>
    </w:p>
    <w:p>
      <w:pPr>
        <w:pStyle w:val="Heading3"/>
        <w:spacing w:after="110" w:before="260"/>
      </w:pPr>
      <w:r>
        <w:rPr>
          <w:rFonts w:ascii="Calibri" w:cs="Calibri" w:eastAsia="Calibri" w:hAnsi="Calibri"/>
        </w:rPr>
        <w:t xml:space="preserve">Diagnostics</w:t>
      </w:r>
    </w:p>
    <w:p>
      <w:pPr>
        <w:shd w:fill="F2F2F2" w:val="clear"/>
        <w:spacing w:after="0" w:before="100"/>
        <w:ind w:left="170" w:right="170"/>
      </w:pPr>
      <w:r>
        <w:rPr>
          <w:rFonts w:ascii="Consolas" w:cs="Consolas" w:eastAsia="Consolas" w:hAnsi="Consolas"/>
          <w:sz w:val="18"/>
          <w:szCs w:val="18"/>
        </w:rPr>
        <w:t xml:space="preserve"># volatility risk premium + predictive test (--compare-estimators, --skew for the extra tables)</w:t>
      </w:r>
    </w:p>
    <w:p>
      <w:pPr>
        <w:shd w:fill="F2F2F2" w:val="clear"/>
        <w:spacing w:after="0" w:before="0"/>
        <w:ind w:left="170" w:right="170"/>
      </w:pPr>
      <w:r>
        <w:rPr>
          <w:rFonts w:ascii="Consolas" w:cs="Consolas" w:eastAsia="Consolas" w:hAnsi="Consolas"/>
          <w:sz w:val="18"/>
          <w:szCs w:val="18"/>
        </w:rPr>
        <w:t xml:space="preserve">python volatility_surface/backtest/vrp_signal.py --options "2 - Data/parquets/eth_hourly_2024.parquet" </w:t>
      </w:r>
    </w:p>
    <w:p>
      <w:pPr>
        <w:shd w:fill="F2F2F2" w:val="clear"/>
        <w:spacing w:after="0" w:before="0"/>
        <w:ind w:left="170" w:right="170"/>
      </w:pPr>
      <w:r>
        <w:rPr>
          <w:rFonts w:ascii="Consolas" w:cs="Consolas" w:eastAsia="Consolas" w:hAnsi="Consolas"/>
          <w:sz w:val="18"/>
          <w:szCs w:val="18"/>
        </w:rPr>
        <w:t xml:space="preserve">--perp "2 - Data/parquets/eth_perp_1min_2024_2026.parquet" --frequency weekly --rv-frequency 1h</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 spot-vol correlation; --levels switches to the vol-level / discretisation-loss view</w:t>
      </w:r>
    </w:p>
    <w:p>
      <w:pPr>
        <w:shd w:fill="F2F2F2" w:val="clear"/>
        <w:spacing w:after="0" w:before="0"/>
        <w:ind w:left="170" w:right="170"/>
      </w:pPr>
      <w:r>
        <w:rPr>
          <w:rFonts w:ascii="Consolas" w:cs="Consolas" w:eastAsia="Consolas" w:hAnsi="Consolas"/>
          <w:sz w:val="18"/>
          <w:szCs w:val="18"/>
        </w:rPr>
        <w:t xml:space="preserve">python volatility_surface/backtest/spot_vol_corr.py --options "2 - Data/parquets/eth_hourly_2024.parquet" </w:t>
      </w:r>
    </w:p>
    <w:p>
      <w:pPr>
        <w:shd w:fill="F2F2F2" w:val="clear"/>
        <w:spacing w:after="0" w:before="0"/>
        <w:ind w:left="170" w:right="170"/>
      </w:pPr>
      <w:r>
        <w:rPr>
          <w:rFonts w:ascii="Consolas" w:cs="Consolas" w:eastAsia="Consolas" w:hAnsi="Consolas"/>
          <w:sz w:val="18"/>
          <w:szCs w:val="18"/>
        </w:rPr>
        <w:t xml:space="preserve">--perp "2 - Data/parquets/eth_perp_1min_2024_2026.parquet" --bar-freq 1h </w:t>
      </w:r>
    </w:p>
    <w:p>
      <w:pPr>
        <w:shd w:fill="F2F2F2" w:val="clear"/>
        <w:spacing w:after="0" w:before="0"/>
        <w:ind w:left="170" w:right="170"/>
      </w:pPr>
      <w:r>
        <w:rPr>
          <w:rFonts w:ascii="Consolas" w:cs="Consolas" w:eastAsia="Consolas" w:hAnsi="Consolas"/>
          <w:sz w:val="18"/>
          <w:szCs w:val="18"/>
        </w:rPr>
        <w:t xml:space="preserve">--estimators close,parkinson,garman_klass,rogers_satchell --out spot_vol_corr.png</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 HMM regimes — always pass --walk-forward, the default is smoothed and look-ahead contaminated</w:t>
      </w:r>
    </w:p>
    <w:p>
      <w:pPr>
        <w:shd w:fill="F2F2F2" w:val="clear"/>
        <w:spacing w:after="0" w:before="0"/>
        <w:ind w:left="170" w:right="170"/>
      </w:pPr>
      <w:r>
        <w:rPr>
          <w:rFonts w:ascii="Consolas" w:cs="Consolas" w:eastAsia="Consolas" w:hAnsi="Consolas"/>
          <w:sz w:val="18"/>
          <w:szCs w:val="18"/>
        </w:rPr>
        <w:t xml:space="preserve">python volatility_surface/backtest/regime_hmm.py --options "2 - Data/parquets/eth_hourly_2024.parquet" </w:t>
      </w:r>
    </w:p>
    <w:p>
      <w:pPr>
        <w:shd w:fill="F2F2F2" w:val="clear"/>
        <w:spacing w:after="100" w:before="0"/>
        <w:ind w:left="170" w:right="170"/>
      </w:pPr>
      <w:r>
        <w:rPr>
          <w:rFonts w:ascii="Consolas" w:cs="Consolas" w:eastAsia="Consolas" w:hAnsi="Consolas"/>
          <w:sz w:val="18"/>
          <w:szCs w:val="18"/>
        </w:rPr>
        <w:t xml:space="preserve">--perp "2 - Data/parquets/eth_perp_1min_2024_2026.parquet" --states 2 --walk-forward</w:t>
      </w:r>
    </w:p>
    <w:p>
      <w:pPr>
        <w:spacing w:after="110"/>
      </w:pPr>
      <w:r>
        <w:rPr>
          <w:rFonts w:ascii="Consolas" w:cs="Consolas" w:eastAsia="Consolas" w:hAnsi="Consolas"/>
          <w:sz w:val="19"/>
          <w:szCs w:val="19"/>
          <w:shd w:fill="F2F2F2" w:val="clear"/>
        </w:rPr>
        <w:t xml:space="preserve">--bar-freq</w:t>
      </w:r>
      <w:r>
        <w:rPr>
          <w:rFonts w:ascii="Calibri" w:cs="Calibri" w:eastAsia="Calibri" w:hAnsi="Calibri"/>
        </w:rPr>
        <w:t xml:space="preserve"> on </w:t>
      </w:r>
      <w:r>
        <w:rPr>
          <w:rFonts w:ascii="Consolas" w:cs="Consolas" w:eastAsia="Consolas" w:hAnsi="Consolas"/>
          <w:sz w:val="19"/>
          <w:szCs w:val="19"/>
          <w:shd w:fill="F2F2F2" w:val="clear"/>
        </w:rPr>
        <w:t xml:space="preserve">spot_vol_corr.py</w:t>
      </w:r>
      <w:r>
        <w:rPr>
          <w:rFonts w:ascii="Calibri" w:cs="Calibri" w:eastAsia="Calibri" w:hAnsi="Calibri"/>
        </w:rPr>
        <w:t xml:space="preserve"> changes the values significantly depending on the frequency</w:t>
      </w:r>
    </w:p>
    <w:p>
      <w:pPr>
        <w:pBdr>
          <w:left w:val="single" w:color="E0A800" w:sz="12" w:space="6"/>
        </w:pBdr>
        <w:shd w:fill="FFF8E1" w:val="clear"/>
        <w:spacing w:after="100" w:before="100"/>
        <w:ind w:left="280" w:right="170"/>
      </w:pPr>
      <w:r>
        <w:rPr>
          <w:rFonts w:ascii="Calibri" w:cs="Calibri" w:eastAsia="Calibri" w:hAnsi="Calibri"/>
        </w:rPr>
        <w:t xml:space="preserve">⚠️ </w:t>
      </w:r>
      <w:hyperlink w:history="1" r:id="rIdeep3zepovvy4wld4w42pp">
        <w:r>
          <w:rPr>
            <w:rStyle w:val="Hyperlink"/>
            <w:rFonts w:ascii="Calibri" w:cs="Calibri" w:eastAsia="Calibri" w:hAnsi="Calibri"/>
            <w:b/>
            <w:bCs/>
            <w:color w:val="1155CC"/>
            <w:u w:val="single"/>
          </w:rPr>
          <w:t xml:space="preserve">leverage.py</w:t>
        </w:r>
      </w:hyperlink>
      <w:r>
        <w:rPr>
          <w:rFonts w:ascii="Calibri" w:cs="Calibri" w:eastAsia="Calibri" w:hAnsi="Calibri"/>
          <w:b/>
          <w:bCs/>
        </w:rPr>
        <w:t xml:space="preserve"> has no CLI</w:t>
      </w:r>
      <w:r>
        <w:rPr>
          <w:rFonts w:ascii="Calibri" w:cs="Calibri" w:eastAsia="Calibri" w:hAnsi="Calibri"/>
        </w:rPr>
        <w:t xml:space="preserve">, despite the usage line in its own docstring. It imports </w:t>
      </w:r>
      <w:r>
        <w:rPr>
          <w:rFonts w:ascii="Consolas" w:cs="Consolas" w:eastAsia="Consolas" w:hAnsi="Consolas"/>
          <w:sz w:val="19"/>
          <w:szCs w:val="19"/>
          <w:shd w:fill="F2F2F2" w:val="clear"/>
        </w:rPr>
        <w:t xml:space="preserve">argparse</w:t>
      </w:r>
      <w:r>
        <w:rPr>
          <w:rFonts w:ascii="Calibri" w:cs="Calibri" w:eastAsia="Calibri" w:hAnsi="Calibri"/>
        </w:rPr>
        <w:t xml:space="preserve"> but has no </w:t>
      </w:r>
      <w:r>
        <w:rPr>
          <w:rFonts w:ascii="Consolas" w:cs="Consolas" w:eastAsia="Consolas" w:hAnsi="Consolas"/>
          <w:sz w:val="19"/>
          <w:szCs w:val="19"/>
          <w:shd w:fill="F2F2F2" w:val="clear"/>
        </w:rPr>
        <w:t xml:space="preserve">__main__</w:t>
      </w:r>
      <w:r>
        <w:rPr>
          <w:rFonts w:ascii="Calibri" w:cs="Calibri" w:eastAsia="Calibri" w:hAnsi="Calibri"/>
        </w:rPr>
        <w:t xml:space="preserve"> block — running it exits 0 and produces nothing. Import it instead (</w:t>
      </w:r>
      <w:r>
        <w:rPr>
          <w:rFonts w:ascii="Consolas" w:cs="Consolas" w:eastAsia="Consolas" w:hAnsi="Consolas"/>
          <w:sz w:val="19"/>
          <w:szCs w:val="19"/>
          <w:shd w:fill="F2F2F2" w:val="clear"/>
        </w:rPr>
        <w:t xml:space="preserve">LEV.daily_measures</w:t>
      </w:r>
      <w:r>
        <w:rPr>
          <w:rFonts w:ascii="Calibri" w:cs="Calibri" w:eastAsia="Calibri" w:hAnsi="Calibri"/>
        </w:rPr>
        <w:t xml:space="preserve">, </w:t>
      </w:r>
      <w:r>
        <w:rPr>
          <w:rFonts w:ascii="Consolas" w:cs="Consolas" w:eastAsia="Consolas" w:hAnsi="Consolas"/>
          <w:sz w:val="19"/>
          <w:szCs w:val="19"/>
          <w:shd w:fill="F2F2F2" w:val="clear"/>
        </w:rPr>
        <w:t xml:space="preserve">LEV.lhar</w:t>
      </w:r>
      <w:r>
        <w:rPr>
          <w:rFonts w:ascii="Calibri" w:cs="Calibri" w:eastAsia="Calibri" w:hAnsi="Calibri"/>
        </w:rPr>
        <w:t xml:space="preserve">, </w:t>
      </w:r>
      <w:r>
        <w:rPr>
          <w:rFonts w:ascii="Consolas" w:cs="Consolas" w:eastAsia="Consolas" w:hAnsi="Consolas"/>
          <w:sz w:val="19"/>
          <w:szCs w:val="19"/>
          <w:shd w:fill="F2F2F2" w:val="clear"/>
        </w:rPr>
        <w:t xml:space="preserve">LEV.e1_correlations</w:t>
      </w:r>
      <w:r>
        <w:rPr>
          <w:rFonts w:ascii="Calibri" w:cs="Calibri" w:eastAsia="Calibri" w:hAnsi="Calibri"/>
        </w:rPr>
        <w:t xml:space="preserve">, </w:t>
      </w:r>
      <w:r>
        <w:rPr>
          <w:rFonts w:ascii="Consolas" w:cs="Consolas" w:eastAsia="Consolas" w:hAnsi="Consolas"/>
          <w:sz w:val="19"/>
          <w:szCs w:val="19"/>
          <w:shd w:fill="F2F2F2" w:val="clear"/>
        </w:rPr>
        <w:t xml:space="preserve">LEV.mc_recovery</w:t>
      </w:r>
      <w:r>
        <w:rPr>
          <w:rFonts w:ascii="Calibri" w:cs="Calibri" w:eastAsia="Calibri" w:hAnsi="Calibri"/>
        </w:rPr>
        <w:t xml:space="preserve">), as the strategies notebook does. Adding the missing </w:t>
      </w:r>
      <w:r>
        <w:rPr>
          <w:rFonts w:ascii="Consolas" w:cs="Consolas" w:eastAsia="Consolas" w:hAnsi="Consolas"/>
          <w:sz w:val="19"/>
          <w:szCs w:val="19"/>
          <w:shd w:fill="F2F2F2" w:val="clear"/>
        </w:rPr>
        <w:t xml:space="preserve">main()</w:t>
      </w:r>
      <w:r>
        <w:rPr>
          <w:rFonts w:ascii="Calibri" w:cs="Calibri" w:eastAsia="Calibri" w:hAnsi="Calibri"/>
        </w:rPr>
        <w:t xml:space="preserve"> is a 20-minute fix worth doing.</w:t>
      </w:r>
    </w:p>
    <w:p>
      <w:pPr>
        <w:pStyle w:val="Heading3"/>
        <w:spacing w:after="110" w:before="260"/>
      </w:pPr>
      <w:r>
        <w:rPr>
          <w:rFonts w:ascii="Calibri" w:cs="Calibri" w:eastAsia="Calibri" w:hAnsi="Calibri"/>
        </w:rPr>
        <w:t xml:space="preserve">Data pipeline</w:t>
      </w:r>
    </w:p>
    <w:p>
      <w:pPr>
        <w:shd w:fill="F2F2F2" w:val="clear"/>
        <w:spacing w:after="0" w:before="100"/>
        <w:ind w:left="170" w:right="170"/>
      </w:pPr>
      <w:r>
        <w:rPr>
          <w:rFonts w:ascii="Consolas" w:cs="Consolas" w:eastAsia="Consolas" w:hAnsi="Consolas"/>
          <w:sz w:val="18"/>
          <w:szCs w:val="18"/>
        </w:rPr>
        <w:t xml:space="preserve"># raw CSV tree -&gt; one cleaned parquet (hourly grid; keeps the FIRST file of each hour, verified)</w:t>
      </w:r>
    </w:p>
    <w:p>
      <w:pPr>
        <w:shd w:fill="F2F2F2" w:val="clear"/>
        <w:spacing w:after="0" w:before="0"/>
        <w:ind w:left="170" w:right="170"/>
      </w:pPr>
      <w:r>
        <w:rPr>
          <w:rFonts w:ascii="Consolas" w:cs="Consolas" w:eastAsia="Consolas" w:hAnsi="Consolas"/>
          <w:sz w:val="18"/>
          <w:szCs w:val="18"/>
        </w:rPr>
        <w:t xml:space="preserve">python volatility_surface/utils/bulk_concat.py --root "2 - Data/eth" --out "2 - Data/parquets/eth_hourly.parquet" --interval-minutes 60 </w:t>
      </w:r>
    </w:p>
    <w:p>
      <w:pPr>
        <w:shd w:fill="F2F2F2" w:val="clear"/>
        <w:spacing w:after="0" w:before="0"/>
        <w:ind w:left="170" w:right="170"/>
      </w:pPr>
      <w:r>
        <w:rPr>
          <w:rFonts w:ascii="Consolas" w:cs="Consolas" w:eastAsia="Consolas" w:hAnsi="Consolas"/>
          <w:sz w:val="18"/>
          <w:szCs w:val="18"/>
        </w:rPr>
        <w:t xml:space="preserve">--workers 8</w:t>
      </w:r>
    </w:p>
    <w:p>
      <w:pPr>
        <w:shd w:fill="F2F2F2" w:val="clear"/>
        <w:spacing w:after="0" w:before="0"/>
        <w:ind w:left="170" w:right="170"/>
      </w:pPr>
      <w:r>
        <w:rPr>
          <w:rFonts w:ascii="Consolas" w:cs="Consolas" w:eastAsia="Consolas" w:hAnsi="Consolas"/>
          <w:sz w:val="18"/>
          <w:szCs w:val="18"/>
        </w:rPr>
        <w:t xml:space="preserve">python volatility_surface/utils/bulk_concat.py --root "2 - Data/eth" --dry-run          # count files first</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 sanity-check before trusting any backtest built on it — [WARN] look, [FAIL] stop</w:t>
      </w:r>
    </w:p>
    <w:p>
      <w:pPr>
        <w:shd w:fill="F2F2F2" w:val="clear"/>
        <w:spacing w:after="0" w:before="0"/>
        <w:ind w:left="170" w:right="170"/>
      </w:pPr>
      <w:r>
        <w:rPr>
          <w:rFonts w:ascii="Consolas" w:cs="Consolas" w:eastAsia="Consolas" w:hAnsi="Consolas"/>
          <w:sz w:val="18"/>
          <w:szCs w:val="18"/>
        </w:rPr>
        <w:t xml:space="preserve">python volatility_surface/utils/validate_dataset.py --path "2 - Data/parquets/eth_hourly.parquet"</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 pull fresh perp OHLCV / rebuild the archive parquets</w:t>
      </w:r>
    </w:p>
    <w:p>
      <w:pPr>
        <w:shd w:fill="F2F2F2" w:val="clear"/>
        <w:spacing w:after="0" w:before="0"/>
        <w:ind w:left="170" w:right="170"/>
      </w:pPr>
      <w:r>
        <w:rPr>
          <w:rFonts w:ascii="Consolas" w:cs="Consolas" w:eastAsia="Consolas" w:hAnsi="Consolas"/>
          <w:sz w:val="18"/>
          <w:szCs w:val="18"/>
        </w:rPr>
        <w:t xml:space="preserve">python volatility_surface/utils/deribit_perp.py --instrument ETH-PERPETUAL --start 2024-06-01 --resolution 1 </w:t>
      </w:r>
    </w:p>
    <w:p>
      <w:pPr>
        <w:shd w:fill="F2F2F2" w:val="clear"/>
        <w:spacing w:after="0" w:before="0"/>
        <w:ind w:left="170" w:right="170"/>
      </w:pPr>
      <w:r>
        <w:rPr>
          <w:rFonts w:ascii="Consolas" w:cs="Consolas" w:eastAsia="Consolas" w:hAnsi="Consolas"/>
          <w:sz w:val="18"/>
          <w:szCs w:val="18"/>
        </w:rPr>
        <w:t xml:space="preserve">--out "2 - Data/parquets/eth_perp_1min.parquet"</w:t>
      </w:r>
    </w:p>
    <w:p>
      <w:pPr>
        <w:shd w:fill="F2F2F2" w:val="clear"/>
        <w:spacing w:after="100" w:before="0"/>
        <w:ind w:left="170" w:right="170"/>
      </w:pPr>
      <w:r>
        <w:rPr>
          <w:rFonts w:ascii="Consolas" w:cs="Consolas" w:eastAsia="Consolas" w:hAnsi="Consolas"/>
          <w:sz w:val="18"/>
          <w:szCs w:val="18"/>
        </w:rPr>
        <w:t xml:space="preserve">python volatility_surface/utils/data_handling.py</w:t>
      </w:r>
    </w:p>
    <w:p>
      <w:pPr>
        <w:spacing w:after="110"/>
      </w:pPr>
      <w:r>
        <w:rPr>
          <w:rFonts w:ascii="Consolas" w:cs="Consolas" w:eastAsia="Consolas" w:hAnsi="Consolas"/>
          <w:sz w:val="19"/>
          <w:szCs w:val="19"/>
          <w:shd w:fill="F2F2F2" w:val="clear"/>
        </w:rPr>
        <w:t xml:space="preserve">deribit_funding.py</w:t>
      </w:r>
      <w:r>
        <w:rPr>
          <w:rFonts w:ascii="Calibri" w:cs="Calibri" w:eastAsia="Calibri" w:hAnsi="Calibri"/>
        </w:rPr>
        <w:t xml:space="preserve"> is import-only — call </w:t>
      </w:r>
      <w:r>
        <w:rPr>
          <w:rFonts w:ascii="Consolas" w:cs="Consolas" w:eastAsia="Consolas" w:hAnsi="Consolas"/>
          <w:sz w:val="19"/>
          <w:szCs w:val="19"/>
          <w:shd w:fill="F2F2F2" w:val="clear"/>
        </w:rPr>
        <w:t xml:space="preserve">fetch_funding(...)</w:t>
      </w:r>
      <w:r>
        <w:rPr>
          <w:rFonts w:ascii="Calibri" w:cs="Calibri" w:eastAsia="Calibri" w:hAnsi="Calibri"/>
        </w:rPr>
        <w:t xml:space="preserve"> and write the parquet yourself.</w:t>
      </w:r>
    </w:p>
    <w:p>
      <w:pPr>
        <w:pStyle w:val="Heading3"/>
        <w:spacing w:after="110" w:before="260"/>
      </w:pPr>
      <w:r>
        <w:rPr>
          <w:rFonts w:ascii="Calibri" w:cs="Calibri" w:eastAsia="Calibri" w:hAnsi="Calibri"/>
        </w:rPr>
        <w:t xml:space="preserve">Live system and benchmarks</w:t>
      </w:r>
    </w:p>
    <w:p>
      <w:pPr>
        <w:shd w:fill="F2F2F2" w:val="clear"/>
        <w:spacing w:after="0" w:before="100"/>
        <w:ind w:left="170" w:right="170"/>
      </w:pPr>
      <w:r>
        <w:rPr>
          <w:rFonts w:ascii="Consolas" w:cs="Consolas" w:eastAsia="Consolas" w:hAnsi="Consolas"/>
          <w:sz w:val="18"/>
          <w:szCs w:val="18"/>
        </w:rPr>
        <w:t xml:space="preserve">./run_live.sh                 # both gatherers + Streamlit screen</w:t>
      </w:r>
    </w:p>
    <w:p>
      <w:pPr>
        <w:shd w:fill="F2F2F2" w:val="clear"/>
        <w:spacing w:after="0" w:before="0"/>
        <w:ind w:left="170" w:right="170"/>
      </w:pPr>
      <w:r>
        <w:rPr>
          <w:rFonts w:ascii="Consolas" w:cs="Consolas" w:eastAsia="Consolas" w:hAnsi="Consolas"/>
          <w:sz w:val="18"/>
          <w:szCs w:val="18"/>
        </w:rPr>
        <w:t xml:space="preserve">./run_live.sh eth 1           # ETH only, 1 s polling</w:t>
      </w:r>
    </w:p>
    <w:p>
      <w:pPr>
        <w:shd w:fill="F2F2F2" w:val="clear"/>
        <w:spacing w:after="0" w:before="0"/>
        <w:ind w:left="170" w:right="170"/>
      </w:pPr>
      <w:r>
        <w:rPr>
          <w:rFonts w:ascii="Consolas" w:cs="Consolas" w:eastAsia="Consolas" w:hAnsi="Consolas"/>
          <w:sz w:val="18"/>
          <w:szCs w:val="18"/>
        </w:rPr>
        <w:t xml:space="preserve">./run_live.sh gif eth 7 30 1  # record the chain table to a GIF (needs a gatherer running)</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streamlit run volatility_surface/utils/streamlit_svi.py     # static SVI / SVI-JW explorer</w:t>
      </w:r>
    </w:p>
    <w:p>
      <w:pPr>
        <w:shd w:fill="F2F2F2" w:val="clear"/>
        <w:spacing w:after="0" w:before="0"/>
        <w:ind w:left="170" w:right="170"/>
      </w:pPr>
      <w:r>
        <w:rPr>
          <w:rFonts w:ascii="Consolas" w:cs="Consolas" w:eastAsia="Consolas" w:hAnsi="Consolas"/>
          <w:sz w:val="18"/>
          <w:szCs w:val="18"/>
        </w:rPr>
        <w:t xml:space="preserve"> </w:t>
      </w:r>
    </w:p>
    <w:p>
      <w:pPr>
        <w:shd w:fill="F2F2F2" w:val="clear"/>
        <w:spacing w:after="0" w:before="0"/>
        <w:ind w:left="170" w:right="170"/>
      </w:pPr>
      <w:r>
        <w:rPr>
          <w:rFonts w:ascii="Consolas" w:cs="Consolas" w:eastAsia="Consolas" w:hAnsi="Consolas"/>
          <w:sz w:val="18"/>
          <w:szCs w:val="18"/>
        </w:rPr>
        <w:t xml:space="preserve">python volatility_surface/utils/benchmark_objectives.py --quick        # 10 objectives on global eSSVI</w:t>
      </w:r>
    </w:p>
    <w:p>
      <w:pPr>
        <w:shd w:fill="F2F2F2" w:val="clear"/>
        <w:spacing w:after="0" w:before="0"/>
        <w:ind w:left="170" w:right="170"/>
      </w:pPr>
      <w:r>
        <w:rPr>
          <w:rFonts w:ascii="Consolas" w:cs="Consolas" w:eastAsia="Consolas" w:hAnsi="Consolas"/>
          <w:sz w:val="18"/>
          <w:szCs w:val="18"/>
        </w:rPr>
        <w:t xml:space="preserve">python volatility_surface/utils/benchmark_penalty_cal.py --n-snapshots 1   # penalty_cal sweep (~1 h at defaults)</w:t>
      </w:r>
    </w:p>
    <w:p>
      <w:pPr>
        <w:shd w:fill="F2F2F2" w:val="clear"/>
        <w:spacing w:after="100" w:before="0"/>
        <w:ind w:left="170" w:right="170"/>
      </w:pPr>
      <w:r>
        <w:rPr>
          <w:rFonts w:ascii="Consolas" w:cs="Consolas" w:eastAsia="Consolas" w:hAnsi="Consolas"/>
          <w:sz w:val="18"/>
          <w:szCs w:val="18"/>
        </w:rPr>
        <w:t xml:space="preserve">python volatility_surface/utils/make_calibration_gifs.py --currency eth    # NM vs DE slides</w:t>
      </w:r>
    </w:p>
    <w:p>
      <w:pPr>
        <w:spacing w:after="110"/>
      </w:pPr>
      <w:r>
        <w:rPr>
          <w:rFonts w:ascii="Calibri" w:cs="Calibri" w:eastAsia="Calibri" w:hAnsi="Calibri"/>
          <w:b/>
          <w:bCs/>
        </w:rPr>
        <w:t xml:space="preserve">Library-only, no CLI:</w:t>
      </w:r>
      <w:r>
        <w:rPr>
          <w:rFonts w:ascii="Calibri" w:cs="Calibri" w:eastAsia="Calibri" w:hAnsi="Calibri"/>
        </w:rPr>
        <w:t xml:space="preserve"> </w:t>
      </w:r>
      <w:r>
        <w:rPr>
          <w:rFonts w:ascii="Consolas" w:cs="Consolas" w:eastAsia="Consolas" w:hAnsi="Consolas"/>
          <w:sz w:val="19"/>
          <w:szCs w:val="19"/>
          <w:shd w:fill="F2F2F2" w:val="clear"/>
        </w:rPr>
        <w:t xml:space="preserve">roll_results.py</w:t>
      </w:r>
      <w:r>
        <w:rPr>
          <w:rFonts w:ascii="Calibri" w:cs="Calibri" w:eastAsia="Calibri" w:hAnsi="Calibri"/>
        </w:rPr>
        <w:t xml:space="preserve">, </w:t>
      </w:r>
      <w:r>
        <w:rPr>
          <w:rFonts w:ascii="Consolas" w:cs="Consolas" w:eastAsia="Consolas" w:hAnsi="Consolas"/>
          <w:sz w:val="19"/>
          <w:szCs w:val="19"/>
          <w:shd w:fill="F2F2F2" w:val="clear"/>
        </w:rPr>
        <w:t xml:space="preserve">results_io.py</w:t>
      </w:r>
      <w:r>
        <w:rPr>
          <w:rFonts w:ascii="Calibri" w:cs="Calibri" w:eastAsia="Calibri" w:hAnsi="Calibri"/>
        </w:rPr>
        <w:t xml:space="preserve">, </w:t>
      </w:r>
      <w:r>
        <w:rPr>
          <w:rFonts w:ascii="Consolas" w:cs="Consolas" w:eastAsia="Consolas" w:hAnsi="Consolas"/>
          <w:sz w:val="19"/>
          <w:szCs w:val="19"/>
          <w:shd w:fill="F2F2F2" w:val="clear"/>
        </w:rPr>
        <w:t xml:space="preserve">engine.py</w:t>
      </w:r>
      <w:r>
        <w:rPr>
          <w:rFonts w:ascii="Calibri" w:cs="Calibri" w:eastAsia="Calibri" w:hAnsi="Calibri"/>
        </w:rPr>
        <w:t xml:space="preserve"> (the red-cell backtester — call </w:t>
      </w:r>
      <w:r>
        <w:rPr>
          <w:rFonts w:ascii="Consolas" w:cs="Consolas" w:eastAsia="Consolas" w:hAnsi="Consolas"/>
          <w:sz w:val="19"/>
          <w:szCs w:val="19"/>
          <w:shd w:fill="F2F2F2" w:val="clear"/>
        </w:rPr>
        <w:t xml:space="preserve">E.run_backtest(...)</w:t>
      </w:r>
      <w:r>
        <w:rPr>
          <w:rFonts w:ascii="Calibri" w:cs="Calibri" w:eastAsia="Calibri" w:hAnsi="Calibri"/>
        </w:rPr>
        <w:t xml:space="preserve">), </w:t>
      </w:r>
      <w:r>
        <w:rPr>
          <w:rFonts w:ascii="Consolas" w:cs="Consolas" w:eastAsia="Consolas" w:hAnsi="Consolas"/>
          <w:sz w:val="19"/>
          <w:szCs w:val="19"/>
          <w:shd w:fill="F2F2F2" w:val="clear"/>
        </w:rPr>
        <w:t xml:space="preserve">leverage.py</w:t>
      </w:r>
      <w:r>
        <w:rPr>
          <w:rFonts w:ascii="Calibri" w:cs="Calibri" w:eastAsia="Calibri" w:hAnsi="Calibri"/>
        </w:rPr>
        <w:t xml:space="preserve">, </w:t>
      </w:r>
      <w:r>
        <w:rPr>
          <w:rFonts w:ascii="Consolas" w:cs="Consolas" w:eastAsia="Consolas" w:hAnsi="Consolas"/>
          <w:sz w:val="19"/>
          <w:szCs w:val="19"/>
          <w:shd w:fill="F2F2F2" w:val="clear"/>
        </w:rPr>
        <w:t xml:space="preserve">deribit_funding.py</w:t>
      </w:r>
      <w:r>
        <w:rPr>
          <w:rFonts w:ascii="Calibri" w:cs="Calibri" w:eastAsia="Calibri" w:hAnsi="Calibri"/>
        </w:rPr>
        <w:t xml:space="preserve">, and everything under </w:t>
      </w:r>
      <w:r>
        <w:rPr>
          <w:rFonts w:ascii="Consolas" w:cs="Consolas" w:eastAsia="Consolas" w:hAnsi="Consolas"/>
          <w:sz w:val="19"/>
          <w:szCs w:val="19"/>
          <w:shd w:fill="F2F2F2" w:val="clear"/>
        </w:rPr>
        <w:t xml:space="preserve">core/</w:t>
      </w:r>
      <w:r>
        <w:rPr>
          <w:rFonts w:ascii="Calibri" w:cs="Calibri" w:eastAsia="Calibri" w:hAnsi="Calibri"/>
        </w:rPr>
        <w:t xml:space="preserve">, </w:t>
      </w:r>
      <w:r>
        <w:rPr>
          <w:rFonts w:ascii="Consolas" w:cs="Consolas" w:eastAsia="Consolas" w:hAnsi="Consolas"/>
          <w:sz w:val="19"/>
          <w:szCs w:val="19"/>
          <w:shd w:fill="F2F2F2" w:val="clear"/>
        </w:rPr>
        <w:t xml:space="preserve">models/</w:t>
      </w:r>
      <w:r>
        <w:rPr>
          <w:rFonts w:ascii="Calibri" w:cs="Calibri" w:eastAsia="Calibri" w:hAnsi="Calibri"/>
        </w:rPr>
        <w:t xml:space="preserve">, </w:t>
      </w:r>
      <w:r>
        <w:rPr>
          <w:rFonts w:ascii="Consolas" w:cs="Consolas" w:eastAsia="Consolas" w:hAnsi="Consolas"/>
          <w:sz w:val="19"/>
          <w:szCs w:val="19"/>
          <w:shd w:fill="F2F2F2" w:val="clear"/>
        </w:rPr>
        <w:t xml:space="preserve">plots/</w:t>
      </w:r>
      <w:r>
        <w:rPr>
          <w:rFonts w:ascii="Calibri" w:cs="Calibri" w:eastAsia="Calibri" w:hAnsi="Calibri"/>
        </w:rPr>
        <w:t xml:space="preserve">.</w:t>
      </w:r>
    </w:p>
    <w:p>
      <w:pPr>
        <w:pBdr>
          <w:bottom w:val="single" w:color="BBBBBB" w:sz="6" w:space="1"/>
        </w:pBdr>
        <w:spacing w:after="120" w:before="120"/>
      </w:pPr>
    </w:p>
    <w:p>
      <w:pPr>
        <w:pStyle w:val="Heading2"/>
        <w:spacing w:after="110" w:before="260"/>
      </w:pPr>
      <w:r>
        <w:rPr>
          <w:rFonts w:ascii="Calibri" w:cs="Calibri" w:eastAsia="Calibri" w:hAnsi="Calibri"/>
        </w:rPr>
        <w:t xml:space="preserve">5. What the project measured</w:t>
      </w:r>
    </w:p>
    <w:p>
      <w:pPr>
        <w:spacing w:after="110"/>
      </w:pPr>
      <w:r>
        <w:rPr>
          <w:rFonts w:ascii="Calibri" w:cs="Calibri" w:eastAsia="Calibri" w:hAnsi="Calibri"/>
          <w:b/>
          <w:bCs/>
        </w:rPr>
        <w:t xml:space="preserve">Surfaces.</w:t>
      </w:r>
      <w:r>
        <w:rPr>
          <w:rFonts w:ascii="Calibri" w:cs="Calibri" w:eastAsia="Calibri" w:hAnsi="Calibri"/>
        </w:rPr>
        <w:t xml:space="preserve">  eSSVI ≈ 0.0103 VWMSE. Mingone's no-arbitrage box costs essentially nothing (31.2% vs 31.4% red cells on ETH). </w:t>
      </w:r>
      <w:r>
        <w:rPr>
          <w:rFonts w:ascii="Calibri" w:cs="Calibri" w:eastAsia="Calibri" w:hAnsi="Calibri"/>
          <w:b/>
          <w:bCs/>
        </w:rPr>
        <w:t xml:space="preserve">But eSSVI has a structural red-cell floor of ~18% (ETH) / ~28% (BTC)</w:t>
      </w:r>
      <w:r>
        <w:rPr>
          <w:rFonts w:ascii="Calibri" w:cs="Calibri" w:eastAsia="Calibri" w:hAnsi="Calibri"/>
        </w:rPr>
        <w:t xml:space="preserve"> — 3 parameters per slice cannot bend to crypto wings; RawSVI reaches ~2–5% but is not necessarily rbitrage-free. The tradeoff between the two is the no-arb cost essentially</w:t>
      </w:r>
    </w:p>
    <w:p>
      <w:pPr>
        <w:spacing w:after="110"/>
      </w:pPr>
      <w:r>
        <w:rPr>
          <w:rFonts w:ascii="Calibri" w:cs="Calibri" w:eastAsia="Calibri" w:hAnsi="Calibri"/>
          <w:b/>
          <w:bCs/>
        </w:rPr>
        <w:t xml:space="preserve">Strategies: no positive Sharpe</w:t>
      </w:r>
      <w:r>
        <w:rPr>
          <w:rFonts w:ascii="Calibri" w:cs="Calibri" w:eastAsia="Calibri" w:hAnsi="Calibri"/>
        </w:rPr>
        <w:t xml:space="preserve">, across 26 structures × ETH/BTC × weekly/monthly × coin/USD accounting. Three-part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50"/>
        <w:gridCol w:w="3610"/>
      </w:tblGrid>
      <w:tr>
        <w:trPr>
          <w:tblHeader/>
        </w:trPr>
        <w:tc>
          <w:tcPr>
            <w:tcW w:type="dxa" w:w="5750"/>
            <w:shd w:fill="E8E8E8" w:val="clear"/>
            <w:tcMar>
              <w:top w:type="dxa" w:w="60"/>
              <w:left w:type="dxa" w:w="110"/>
              <w:bottom w:type="dxa" w:w="60"/>
              <w:right w:type="dxa" w:w="110"/>
            </w:tcMar>
          </w:tcPr>
          <w:p>
            <w:pPr>
              <w:spacing w:after="20" w:before="20"/>
            </w:pPr>
            <w:r>
              <w:rPr>
                <w:rFonts w:ascii="Calibri" w:cs="Calibri" w:eastAsia="Calibri" w:hAnsi="Calibri"/>
                <w:b/>
                <w:bCs/>
              </w:rPr>
              <w:t xml:space="preserve">finding</w:t>
            </w:r>
          </w:p>
        </w:tc>
        <w:tc>
          <w:tcPr>
            <w:tcW w:type="dxa" w:w="3610"/>
            <w:shd w:fill="E8E8E8" w:val="clear"/>
            <w:tcMar>
              <w:top w:type="dxa" w:w="60"/>
              <w:left w:type="dxa" w:w="110"/>
              <w:bottom w:type="dxa" w:w="60"/>
              <w:right w:type="dxa" w:w="110"/>
            </w:tcMar>
          </w:tcPr>
          <w:p>
            <w:pPr>
              <w:spacing w:after="20" w:before="20"/>
            </w:pPr>
            <w:r>
              <w:rPr>
                <w:rFonts w:ascii="Calibri" w:cs="Calibri" w:eastAsia="Calibri" w:hAnsi="Calibri"/>
                <w:b/>
                <w:bCs/>
              </w:rPr>
              <w:t xml:space="preserve">figure</w:t>
            </w:r>
          </w:p>
        </w:tc>
      </w:tr>
      <w:tr>
        <w:tc>
          <w:tcPr>
            <w:tcW w:type="dxa" w:w="5750"/>
            <w:tcMar>
              <w:top w:type="dxa" w:w="60"/>
              <w:left w:type="dxa" w:w="110"/>
              <w:bottom w:type="dxa" w:w="60"/>
              <w:right w:type="dxa" w:w="110"/>
            </w:tcMar>
          </w:tcPr>
          <w:p>
            <w:pPr>
              <w:spacing w:after="20" w:before="20"/>
            </w:pPr>
            <w:r>
              <w:rPr>
                <w:rFonts w:ascii="Calibri" w:cs="Calibri" w:eastAsia="Calibri" w:hAnsi="Calibri"/>
                <w:b/>
                <w:bCs/>
              </w:rPr>
              <w:t xml:space="preserve">No premium to harvest</w:t>
            </w:r>
            <w:r>
              <w:rPr>
                <w:rFonts w:ascii="Calibri" w:cs="Calibri" w:eastAsia="Calibri" w:hAnsi="Calibri"/>
              </w:rPr>
              <w:t xml:space="preserve"> (ATM IV 62.9% vs RV 63.7%)</w:t>
            </w:r>
          </w:p>
        </w:tc>
        <w:tc>
          <w:tcPr>
            <w:tcW w:type="dxa" w:w="3610"/>
            <w:tcMar>
              <w:top w:type="dxa" w:w="60"/>
              <w:left w:type="dxa" w:w="110"/>
              <w:bottom w:type="dxa" w:w="60"/>
              <w:right w:type="dxa" w:w="110"/>
            </w:tcMar>
          </w:tcPr>
          <w:p>
            <w:pPr>
              <w:spacing w:after="20" w:before="20"/>
            </w:pPr>
            <w:r>
              <w:rPr>
                <w:rFonts w:ascii="Calibri" w:cs="Calibri" w:eastAsia="Calibri" w:hAnsi="Calibri"/>
                <w:b/>
                <w:bCs/>
              </w:rPr>
              <w:t xml:space="preserve">−0.82%</w:t>
            </w:r>
            <w:r>
              <w:rPr>
                <w:rFonts w:ascii="Calibri" w:cs="Calibri" w:eastAsia="Calibri" w:hAnsi="Calibri"/>
              </w:rPr>
              <w:t xml:space="preserve">, t = −0.44</w:t>
            </w:r>
          </w:p>
        </w:tc>
      </w:tr>
      <w:tr>
        <w:tc>
          <w:tcPr>
            <w:tcW w:type="dxa" w:w="5750"/>
            <w:tcMar>
              <w:top w:type="dxa" w:w="60"/>
              <w:left w:type="dxa" w:w="110"/>
              <w:bottom w:type="dxa" w:w="60"/>
              <w:right w:type="dxa" w:w="110"/>
            </w:tcMar>
          </w:tcPr>
          <w:p>
            <w:pPr>
              <w:spacing w:after="20" w:before="20"/>
            </w:pPr>
            <w:r>
              <w:rPr>
                <w:rFonts w:ascii="Calibri" w:cs="Calibri" w:eastAsia="Calibri" w:hAnsi="Calibri"/>
                <w:b/>
                <w:bCs/>
              </w:rPr>
              <w:t xml:space="preserve">Discretisation loss</w:t>
            </w:r>
            <w:r>
              <w:rPr>
                <w:rFonts w:ascii="Calibri" w:cs="Calibri" w:eastAsia="Calibri" w:hAnsi="Calibri"/>
              </w:rPr>
              <w:t xml:space="preserve"> of an hourly hedge</w:t>
            </w:r>
          </w:p>
        </w:tc>
        <w:tc>
          <w:tcPr>
            <w:tcW w:type="dxa" w:w="3610"/>
            <w:tcMar>
              <w:top w:type="dxa" w:w="60"/>
              <w:left w:type="dxa" w:w="110"/>
              <w:bottom w:type="dxa" w:w="60"/>
              <w:right w:type="dxa" w:w="110"/>
            </w:tcMar>
          </w:tcPr>
          <w:p>
            <w:pPr>
              <w:spacing w:after="20" w:before="20"/>
            </w:pPr>
            <w:r>
              <w:rPr>
                <w:rFonts w:ascii="Calibri" w:cs="Calibri" w:eastAsia="Calibri" w:hAnsi="Calibri"/>
                <w:b/>
                <w:bCs/>
              </w:rPr>
              <w:t xml:space="preserve">3–6 vol points</w:t>
            </w:r>
            <w:r>
              <w:rPr>
                <w:rFonts w:ascii="Calibri" w:cs="Calibri" w:eastAsia="Calibri" w:hAnsi="Calibri"/>
              </w:rPr>
              <w:t xml:space="preserve">, state-dependent</w:t>
            </w:r>
          </w:p>
        </w:tc>
      </w:tr>
      <w:tr>
        <w:tc>
          <w:tcPr>
            <w:tcW w:type="dxa" w:w="5750"/>
            <w:tcMar>
              <w:top w:type="dxa" w:w="60"/>
              <w:left w:type="dxa" w:w="110"/>
              <w:bottom w:type="dxa" w:w="60"/>
              <w:right w:type="dxa" w:w="110"/>
            </w:tcMar>
          </w:tcPr>
          <w:p>
            <w:pPr>
              <w:spacing w:after="20" w:before="20"/>
            </w:pPr>
            <w:r>
              <w:rPr>
                <w:rFonts w:ascii="Calibri" w:cs="Calibri" w:eastAsia="Calibri" w:hAnsi="Calibri"/>
                <w:b/>
                <w:bCs/>
              </w:rPr>
              <w:t xml:space="preserve">Residual directional beta</w:t>
            </w:r>
            <w:r>
              <w:rPr>
                <w:rFonts w:ascii="Calibri" w:cs="Calibri" w:eastAsia="Calibri" w:hAnsi="Calibri"/>
              </w:rPr>
              <w:t xml:space="preserve"> via vanna (long/short call)</w:t>
            </w:r>
          </w:p>
        </w:tc>
        <w:tc>
          <w:tcPr>
            <w:tcW w:type="dxa" w:w="3610"/>
            <w:tcMar>
              <w:top w:type="dxa" w:w="60"/>
              <w:left w:type="dxa" w:w="110"/>
              <w:bottom w:type="dxa" w:w="60"/>
              <w:right w:type="dxa" w:w="110"/>
            </w:tcMar>
          </w:tcPr>
          <w:p>
            <w:pPr>
              <w:spacing w:after="20" w:before="20"/>
            </w:pPr>
            <w:r>
              <w:rPr>
                <w:rFonts w:ascii="Calibri" w:cs="Calibri" w:eastAsia="Calibri" w:hAnsi="Calibri"/>
                <w:b/>
                <w:bCs/>
              </w:rPr>
              <w:t xml:space="preserve">±0.13</w:t>
            </w:r>
          </w:p>
        </w:tc>
      </w:tr>
      <w:tr>
        <w:tc>
          <w:tcPr>
            <w:tcW w:type="dxa" w:w="5750"/>
            <w:tcMar>
              <w:top w:type="dxa" w:w="60"/>
              <w:left w:type="dxa" w:w="110"/>
              <w:bottom w:type="dxa" w:w="60"/>
              <w:right w:type="dxa" w:w="110"/>
            </w:tcMar>
          </w:tcPr>
          <w:p>
            <w:pPr>
              <w:spacing w:after="20" w:before="20"/>
            </w:pPr>
            <w:r>
              <w:rPr>
                <w:rFonts w:ascii="Calibri" w:cs="Calibri" w:eastAsia="Calibri" w:hAnsi="Calibri"/>
                <w:b/>
                <w:bCs/>
              </w:rPr>
              <w:t xml:space="preserve">ETH spot–vol correlation</w:t>
            </w:r>
          </w:p>
        </w:tc>
        <w:tc>
          <w:tcPr>
            <w:tcW w:type="dxa" w:w="3610"/>
            <w:tcMar>
              <w:top w:type="dxa" w:w="60"/>
              <w:left w:type="dxa" w:w="110"/>
              <w:bottom w:type="dxa" w:w="60"/>
              <w:right w:type="dxa" w:w="110"/>
            </w:tcMar>
          </w:tcPr>
          <w:p>
            <w:pPr>
              <w:spacing w:after="20" w:before="20"/>
            </w:pPr>
            <w:r>
              <w:rPr>
                <w:rFonts w:ascii="Calibri" w:cs="Calibri" w:eastAsia="Calibri" w:hAnsi="Calibri"/>
                <w:b/>
                <w:bCs/>
              </w:rPr>
              <w:t xml:space="preserve">ρ ≈ −0.21</w:t>
            </w:r>
            <w:r>
              <w:rPr>
                <w:rFonts w:ascii="Calibri" w:cs="Calibri" w:eastAsia="Calibri" w:hAnsi="Calibri"/>
              </w:rPr>
              <w:t xml:space="preserve">, CI [−0.37, −0.04]</w:t>
            </w:r>
          </w:p>
        </w:tc>
      </w:tr>
      <w:tr>
        <w:tc>
          <w:tcPr>
            <w:tcW w:type="dxa" w:w="5750"/>
            <w:tcMar>
              <w:top w:type="dxa" w:w="60"/>
              <w:left w:type="dxa" w:w="110"/>
              <w:bottom w:type="dxa" w:w="60"/>
              <w:right w:type="dxa" w:w="110"/>
            </w:tcMar>
          </w:tcPr>
          <w:p>
            <w:pPr>
              <w:spacing w:after="20" w:before="20"/>
            </w:pPr>
            <w:r>
              <w:rPr>
                <w:rFonts w:ascii="Calibri" w:cs="Calibri" w:eastAsia="Calibri" w:hAnsi="Calibri"/>
              </w:rPr>
              <w:t xml:space="preserve">Option vs perp execution cost</w:t>
            </w:r>
          </w:p>
        </w:tc>
        <w:tc>
          <w:tcPr>
            <w:tcW w:type="dxa" w:w="3610"/>
            <w:tcMar>
              <w:top w:type="dxa" w:w="60"/>
              <w:left w:type="dxa" w:w="110"/>
              <w:bottom w:type="dxa" w:w="60"/>
              <w:right w:type="dxa" w:w="110"/>
            </w:tcMar>
          </w:tcPr>
          <w:p>
            <w:pPr>
              <w:spacing w:after="20" w:before="20"/>
            </w:pPr>
            <w:r>
              <w:rPr>
                <w:rFonts w:ascii="Calibri" w:cs="Calibri" w:eastAsia="Calibri" w:hAnsi="Calibri"/>
                <w:b/>
                <w:bCs/>
              </w:rPr>
              <w:t xml:space="preserve">~11% round trip</w:t>
            </w:r>
            <w:r>
              <w:rPr>
                <w:rFonts w:ascii="Calibri" w:cs="Calibri" w:eastAsia="Calibri" w:hAnsi="Calibri"/>
              </w:rPr>
              <w:t xml:space="preserve"> against 5 bp</w:t>
            </w:r>
          </w:p>
        </w:tc>
      </w:tr>
    </w:tbl>
    <w:p>
      <w:pPr>
        <w:spacing w:after="120"/>
      </w:pPr>
    </w:p>
    <w:p>
      <w:pPr>
        <w:spacing w:after="110"/>
      </w:pPr>
      <w:r>
        <w:rPr>
          <w:rFonts w:ascii="Calibri" w:cs="Calibri" w:eastAsia="Calibri" w:hAnsi="Calibri"/>
        </w:rPr>
        <w:t xml:space="preserve">In plain terms: </w:t>
      </w:r>
      <w:r>
        <w:rPr>
          <w:rFonts w:ascii="Calibri" w:cs="Calibri" w:eastAsia="Calibri" w:hAnsi="Calibri"/>
          <w:b/>
          <w:bCs/>
        </w:rPr>
        <w:t xml:space="preserve">the strategies paid a large, certain cost to express a small, uncertain edge in the most expensive available instrument.</w:t>
      </w:r>
    </w:p>
    <w:p>
      <w:pPr>
        <w:spacing w:after="110"/>
      </w:pPr>
      <w:r>
        <w:rPr>
          <w:rFonts w:ascii="Calibri" w:cs="Calibri" w:eastAsia="Calibri" w:hAnsi="Calibri"/>
          <w:b/>
          <w:bCs/>
        </w:rPr>
        <w:t xml:space="preserve">Two methodological results worth more than the backtest:</w:t>
      </w:r>
    </w:p>
    <w:p>
      <w:pPr>
        <w:pStyle w:val="ListParagraph"/>
        <w:numPr>
          <w:ilvl w:val="0"/>
          <w:numId w:val="2"/>
        </w:numPr>
        <w:spacing w:after="70"/>
      </w:pPr>
      <w:r>
        <w:rPr>
          <w:rFonts w:ascii="Calibri" w:cs="Calibri" w:eastAsia="Calibri" w:hAnsi="Calibri"/>
        </w:rPr>
        <w:t xml:space="preserve">A Heston Monte Carlo shows the correlation estimator is </w:t>
      </w:r>
      <w:r>
        <w:rPr>
          <w:rFonts w:ascii="Calibri" w:cs="Calibri" w:eastAsia="Calibri" w:hAnsi="Calibri"/>
          <w:b/>
          <w:bCs/>
        </w:rPr>
        <w:t xml:space="preserve">attenuated 2.5×</w:t>
      </w:r>
      <w:r>
        <w:rPr>
          <w:rFonts w:ascii="Calibri" w:cs="Calibri" w:eastAsia="Calibri" w:hAnsi="Calibri"/>
        </w:rPr>
        <w:t xml:space="preserve"> (divide by 0.40) — the flat plot was the correct answer to a question asked with too little precision.</w:t>
      </w:r>
    </w:p>
    <w:p>
      <w:pPr>
        <w:pStyle w:val="ListParagraph"/>
        <w:numPr>
          <w:ilvl w:val="0"/>
          <w:numId w:val="2"/>
        </w:numPr>
        <w:spacing w:after="70"/>
      </w:pPr>
      <w:r>
        <w:rPr>
          <w:rFonts w:ascii="Calibri" w:cs="Calibri" w:eastAsia="Calibri" w:hAnsi="Calibri"/>
        </w:rPr>
        <w:t xml:space="preserve">Signed variation (RS⁺−RS⁻)/RV is </w:t>
      </w:r>
      <w:r>
        <w:rPr>
          <w:rFonts w:ascii="Calibri" w:cs="Calibri" w:eastAsia="Calibri" w:hAnsi="Calibri"/>
          <w:b/>
          <w:bCs/>
        </w:rPr>
        <w:t xml:space="preserve">structurally blind</w:t>
      </w:r>
      <w:r>
        <w:rPr>
          <w:rFonts w:ascii="Calibri" w:cs="Calibri" w:eastAsia="Calibri" w:hAnsi="Calibri"/>
        </w:rPr>
        <w:t xml:space="preserve"> to a diffusive leverage effect: it measures jump asymmetry, not the correlation.</w:t>
      </w:r>
    </w:p>
    <w:p>
      <w:pPr>
        <w:pBdr>
          <w:bottom w:val="single" w:color="BBBBBB" w:sz="6" w:space="1"/>
        </w:pBdr>
        <w:spacing w:after="120" w:before="120"/>
      </w:pPr>
    </w:p>
    <w:p>
      <w:pPr>
        <w:pStyle w:val="Heading2"/>
        <w:spacing w:after="110" w:before="260"/>
      </w:pPr>
      <w:r>
        <w:rPr>
          <w:rFonts w:ascii="Calibri" w:cs="Calibri" w:eastAsia="Calibri" w:hAnsi="Calibri"/>
        </w:rPr>
        <w:t xml:space="preserve">6. Adjustments</w:t>
      </w:r>
    </w:p>
    <w:p>
      <w:pPr>
        <w:pStyle w:val="ListParagraph"/>
        <w:numPr>
          <w:ilvl w:val="0"/>
          <w:numId w:val="3"/>
        </w:numPr>
        <w:spacing w:after="70"/>
      </w:pPr>
      <w:r>
        <w:rPr>
          <w:rFonts w:ascii="Calibri" w:cs="Calibri" w:eastAsia="Calibri" w:hAnsi="Calibri"/>
        </w:rPr>
        <w:t xml:space="preserve">Hedging an inverse option with the plain Black delta is incorrect, you need the Net Delta </w:t>
      </w:r>
      <w:r>
        <w:rPr>
          <w:rFonts w:ascii="Consolas" w:cs="Consolas" w:eastAsia="Consolas" w:hAnsi="Consolas"/>
          <w:sz w:val="19"/>
          <w:szCs w:val="19"/>
          <w:shd w:fill="F2F2F2" w:val="clear"/>
        </w:rPr>
        <w:t xml:space="preserve">Δ̃ = Δ − V/S</w:t>
      </w:r>
      <w:r>
        <w:rPr>
          <w:rFonts w:ascii="Calibri" w:cs="Calibri" w:eastAsia="Calibri" w:hAnsi="Calibri"/>
        </w:rPr>
        <w:t xml:space="preserve"> (Lucic &amp; Sepp, Cor. 1). This is due to the fact that we have some exposure left to bitcoin as the premium is paid in coin. </w:t>
      </w:r>
      <w:r>
        <w:rPr>
          <w:rFonts w:ascii="Calibri" w:cs="Calibri" w:eastAsia="Calibri" w:hAnsi="Calibri"/>
          <w:b/>
          <w:bCs/>
        </w:rPr>
        <w:t xml:space="preserve">The numeraire is part of the instrument.</w:t>
      </w:r>
    </w:p>
    <w:p>
      <w:pPr>
        <w:pStyle w:val="ListParagraph"/>
        <w:numPr>
          <w:ilvl w:val="0"/>
          <w:numId w:val="3"/>
        </w:numPr>
        <w:spacing w:after="70"/>
      </w:pPr>
      <w:r>
        <w:rPr>
          <w:rFonts w:ascii="Calibri" w:cs="Calibri" w:eastAsia="Calibri" w:hAnsi="Calibri"/>
        </w:rPr>
        <w:t xml:space="preserve">A flat 50 bp on mid (the paper's Assumption 5.1) understates crypto execution by an order of magnitude. When crossing the spread for rolls we incur much larger costs than what the paper suggests.</w:t>
      </w:r>
    </w:p>
    <w:p>
      <w:pPr>
        <w:pStyle w:val="ListParagraph"/>
        <w:numPr>
          <w:ilvl w:val="0"/>
          <w:numId w:val="3"/>
        </w:numPr>
        <w:spacing w:after="70"/>
      </w:pPr>
      <w:r>
        <w:rPr>
          <w:rFonts w:ascii="Calibri" w:cs="Calibri" w:eastAsia="Calibri" w:hAnsi="Calibri"/>
        </w:rPr>
        <w:t xml:space="preserve">Columns are </w:t>
      </w:r>
      <w:r>
        <w:rPr>
          <w:rFonts w:ascii="Consolas" w:cs="Consolas" w:eastAsia="Consolas" w:hAnsi="Consolas"/>
          <w:sz w:val="19"/>
          <w:szCs w:val="19"/>
          <w:shd w:fill="F2F2F2" w:val="clear"/>
        </w:rPr>
        <w:t xml:space="preserve">bid_iv</w:t>
      </w:r>
      <w:r>
        <w:rPr>
          <w:rFonts w:ascii="Calibri" w:cs="Calibri" w:eastAsia="Calibri" w:hAnsi="Calibri"/>
        </w:rPr>
        <w:t xml:space="preserve">/</w:t>
      </w:r>
      <w:r>
        <w:rPr>
          <w:rFonts w:ascii="Consolas" w:cs="Consolas" w:eastAsia="Consolas" w:hAnsi="Consolas"/>
          <w:sz w:val="19"/>
          <w:szCs w:val="19"/>
          <w:shd w:fill="F2F2F2" w:val="clear"/>
        </w:rPr>
        <w:t xml:space="preserve">ask_iv</w:t>
      </w:r>
      <w:r>
        <w:rPr>
          <w:rFonts w:ascii="Calibri" w:cs="Calibri" w:eastAsia="Calibri" w:hAnsi="Calibri"/>
        </w:rPr>
        <w:t xml:space="preserve">, not </w:t>
      </w:r>
      <w:r>
        <w:rPr>
          <w:rFonts w:ascii="Consolas" w:cs="Consolas" w:eastAsia="Consolas" w:hAnsi="Consolas"/>
          <w:sz w:val="19"/>
          <w:szCs w:val="19"/>
          <w:shd w:fill="F2F2F2" w:val="clear"/>
        </w:rPr>
        <w:t xml:space="preserve">bid</w:t>
      </w:r>
      <w:r>
        <w:rPr>
          <w:rFonts w:ascii="Calibri" w:cs="Calibri" w:eastAsia="Calibri" w:hAnsi="Calibri"/>
        </w:rPr>
        <w:t xml:space="preserve">/</w:t>
      </w:r>
      <w:r>
        <w:rPr>
          <w:rFonts w:ascii="Consolas" w:cs="Consolas" w:eastAsia="Consolas" w:hAnsi="Consolas"/>
          <w:sz w:val="19"/>
          <w:szCs w:val="19"/>
          <w:shd w:fill="F2F2F2" w:val="clear"/>
        </w:rPr>
        <w:t xml:space="preserve">ask</w:t>
      </w:r>
      <w:r>
        <w:rPr>
          <w:rFonts w:ascii="Calibri" w:cs="Calibri" w:eastAsia="Calibri" w:hAnsi="Calibri"/>
        </w:rPr>
        <w:t xml:space="preserve">, this is for the price in coin terms of the option</w:t>
      </w:r>
    </w:p>
    <w:p>
      <w:pPr>
        <w:pBdr>
          <w:bottom w:val="single" w:color="BBBBBB" w:sz="6" w:space="1"/>
        </w:pBdr>
        <w:spacing w:after="120" w:before="120"/>
      </w:pPr>
    </w:p>
    <w:p>
      <w:pPr>
        <w:pStyle w:val="Heading2"/>
        <w:spacing w:after="110" w:before="260"/>
      </w:pPr>
      <w:r>
        <w:rPr>
          <w:rFonts w:ascii="Calibri" w:cs="Calibri" w:eastAsia="Calibri" w:hAnsi="Calibri"/>
        </w:rPr>
        <w:t xml:space="preserve">7. Possible next steps</w:t>
      </w:r>
    </w:p>
    <w:p>
      <w:pPr>
        <w:pStyle w:val="ListParagraph"/>
        <w:numPr>
          <w:ilvl w:val="0"/>
          <w:numId w:val="3"/>
        </w:numPr>
        <w:spacing w:after="70"/>
      </w:pPr>
      <w:r>
        <w:rPr>
          <w:rFonts w:ascii="Calibri" w:cs="Calibri" w:eastAsia="Calibri" w:hAnsi="Calibri"/>
          <w:b/>
          <w:bCs/>
        </w:rPr>
        <w:t xml:space="preserve">Local Stochastic Volatility Model</w:t>
      </w:r>
      <w:r>
        <w:rPr>
          <w:rFonts w:ascii="Calibri" w:cs="Calibri" w:eastAsia="Calibri" w:hAnsi="Calibri"/>
        </w:rPr>
        <w:t xml:space="preserve">: they require a parametric, non arbitrageable smooth surface for the Local Vol component and the surface we create from eSSVI (not SVI) is suitable.</w:t>
      </w:r>
    </w:p>
    <w:p>
      <w:pPr>
        <w:pStyle w:val="ListParagraph"/>
        <w:numPr>
          <w:ilvl w:val="0"/>
          <w:numId w:val="3"/>
        </w:numPr>
        <w:spacing w:after="70"/>
      </w:pPr>
      <w:r>
        <w:rPr>
          <w:rFonts w:ascii="Calibri" w:cs="Calibri" w:eastAsia="Calibri" w:hAnsi="Calibri"/>
          <w:b/>
          <w:bCs/>
        </w:rPr>
        <w:t xml:space="preserve">More strategies</w:t>
      </w:r>
      <w:r>
        <w:rPr>
          <w:rFonts w:ascii="Calibri" w:cs="Calibri" w:eastAsia="Calibri" w:hAnsi="Calibri"/>
        </w:rPr>
        <w:t xml:space="preserve"> I tried to replicate the strategies put forth by Lucic and Sepp, but didn't look much further because most strategies boiled down to directional strategies and the crypto space has perps for this </w:t>
      </w:r>
    </w:p>
    <w:p>
      <w:pPr>
        <w:spacing w:after="110"/>
      </w:pPr>
      <w:r>
        <w:rPr>
          <w:rFonts w:ascii="Calibri" w:cs="Calibri" w:eastAsia="Calibri" w:hAnsi="Calibri"/>
        </w:rPr>
        <w:t xml:space="preserve">Documented dead ends — do not retry:** hinge/band and soft-count losses for the objective function of the surface. Harvesting a vol risk premium post 2024.</w:t>
      </w:r>
    </w:p>
    <w:p>
      <w:pPr>
        <w:pBdr>
          <w:bottom w:val="single" w:color="BBBBBB" w:sz="6" w:space="1"/>
        </w:pBdr>
        <w:spacing w:after="120" w:before="12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2dwhw2qfncxcomytws71" Type="http://schemas.openxmlformats.org/officeDocument/2006/relationships/hyperlink" Target="volatility_surface/notebooks/project_outline.ipynb" TargetMode="External"/><Relationship Id="rIdog1dv8shi7hwbostk3-6i" Type="http://schemas.openxmlformats.org/officeDocument/2006/relationships/hyperlink" Target="volatility_surface/notebooks/options_strategies_summary.ipynb" TargetMode="External"/><Relationship Id="rIdc2q8u9sqb0uxt2hd1krlv" Type="http://schemas.openxmlformats.org/officeDocument/2006/relationships/hyperlink" Target="volatility_surface/utils/bulk_concat.py" TargetMode="External"/><Relationship Id="rId0xabtan8smlyhuikglf2y" Type="http://schemas.openxmlformats.org/officeDocument/2006/relationships/hyperlink" Target="volatility_surface/utils/data_handling.py" TargetMode="External"/><Relationship Id="rIdndx2uu8afzakuinoemmcn" Type="http://schemas.openxmlformats.org/officeDocument/2006/relationships/hyperlink" Target="volatility_surface/utils/bulk_concat.py" TargetMode="External"/><Relationship Id="rIdwesre2uc6yx-19rp8vhny" Type="http://schemas.openxmlformats.org/officeDocument/2006/relationships/hyperlink" Target="volatility_surface/utils/validate_dataset.py" TargetMode="External"/><Relationship Id="rIdakxktfofew6y2zfwe_a-c" Type="http://schemas.openxmlformats.org/officeDocument/2006/relationships/hyperlink" Target="volatility_surface/models/vol_models.py" TargetMode="External"/><Relationship Id="rIdhp45t5vzuplcbqdm1jxlc" Type="http://schemas.openxmlformats.org/officeDocument/2006/relationships/hyperlink" Target="volatility_surface/core/calibration/calibrator.py" TargetMode="External"/><Relationship Id="rIdbiyszfzpzccgp7cfzvhiu" Type="http://schemas.openxmlformats.org/officeDocument/2006/relationships/hyperlink" Target="volatility_surface/core/calibration/objectives.py" TargetMode="External"/><Relationship Id="rIdvbx9ltdi0uvh3cbuizq98" Type="http://schemas.openxmlformats.org/officeDocument/2006/relationships/hyperlink" Target="volatility_surface/core/pricing/pricing_models.py" TargetMode="External"/><Relationship Id="rIdib7rtegnx-harzrbxav_-" Type="http://schemas.openxmlformats.org/officeDocument/2006/relationships/hyperlink" Target="volatility_surface/utils/arbitrage_checker.py" TargetMode="External"/><Relationship Id="rIdksgwuz-z9zt4d14t-5c4h" Type="http://schemas.openxmlformats.org/officeDocument/2006/relationships/hyperlink" Target="volatility_surface/plots/vol_plots.py" TargetMode="External"/><Relationship Id="rId7y3icvvtap1t88gvkg7ro" Type="http://schemas.openxmlformats.org/officeDocument/2006/relationships/hyperlink" Target="volatility_surface/utils/live_gather.py" TargetMode="External"/><Relationship Id="rId1yclvttalwh4sckdjwvcn" Type="http://schemas.openxmlformats.org/officeDocument/2006/relationships/hyperlink" Target="volatility_surface/utils/streamlit_chain.py" TargetMode="External"/><Relationship Id="rIdggtkmz6tcbecm234vy7-v" Type="http://schemas.openxmlformats.org/officeDocument/2006/relationships/hyperlink" Target="run_live.sh" TargetMode="External"/><Relationship Id="rId4og7jrt--6kl0gcwrdzm0" Type="http://schemas.openxmlformats.org/officeDocument/2006/relationships/hyperlink" Target="volatility_surface/backtest/roll_engine.py" TargetMode="External"/><Relationship Id="rIdlcbxmarq-ldzoj6t9g1al" Type="http://schemas.openxmlformats.org/officeDocument/2006/relationships/hyperlink" Target="volatility_surface/backtest/run_roll.py" TargetMode="External"/><Relationship Id="rIdtoo7u5ckujv2rkfsjmwuy" Type="http://schemas.openxmlformats.org/officeDocument/2006/relationships/hyperlink" Target="volatility_surface/backtest/roll_results.py" TargetMode="External"/><Relationship Id="rIdop0ilbhki530ueksfzd4y" Type="http://schemas.openxmlformats.org/officeDocument/2006/relationships/hyperlink" Target="volatility_surface/backtest/engine.py" TargetMode="External"/><Relationship Id="rId50zouv1xcaqcjbuzdrxzs" Type="http://schemas.openxmlformats.org/officeDocument/2006/relationships/hyperlink" Target="volatility_surface/backtest/signal.py" TargetMode="External"/><Relationship Id="rIdygniy447tsowoqbbdytkk" Type="http://schemas.openxmlformats.org/officeDocument/2006/relationships/hyperlink" Target="volatility_surface/backtest/leverage.py" TargetMode="External"/><Relationship Id="rId5xglczwtgacgdbktb1sa2" Type="http://schemas.openxmlformats.org/officeDocument/2006/relationships/hyperlink" Target="volatility_surface/backtest/vrp_signal.py" TargetMode="External"/><Relationship Id="rIdyxno3g1yqzfbyjskuepeb" Type="http://schemas.openxmlformats.org/officeDocument/2006/relationships/hyperlink" Target="volatility_surface/backtest/spot_vol_corr.py" TargetMode="External"/><Relationship Id="rIdo6l2use_0iupakbpe4oc0" Type="http://schemas.openxmlformats.org/officeDocument/2006/relationships/hyperlink" Target="volatility_surface/backtest/regime_hmm.py" TargetMode="External"/><Relationship Id="rIdcgnxznjqi8d18jiebp6z5" Type="http://schemas.openxmlformats.org/officeDocument/2006/relationships/hyperlink" Target="results/summary.md" TargetMode="External"/><Relationship Id="rId0hz3b0o-k19xhvqqrsh8r" Type="http://schemas.openxmlformats.org/officeDocument/2006/relationships/hyperlink" Target="results/montecarlo.md" TargetMode="External"/><Relationship Id="rIdllzix9bnccqkdkl478mek" Type="http://schemas.openxmlformats.org/officeDocument/2006/relationships/hyperlink" Target="results/tables/" TargetMode="External"/><Relationship Id="rIdda4doz7iumexfrybshuow" Type="http://schemas.openxmlformats.org/officeDocument/2006/relationships/hyperlink" Target="volatility_surface/backtest/run_roll.py" TargetMode="External"/><Relationship Id="rIdwlwd5pucpbmruuxhmk48h" Type="http://schemas.openxmlformats.org/officeDocument/2006/relationships/hyperlink" Target="volatility_surface/backtest/roll_engine.py" TargetMode="External"/><Relationship Id="rId60e3dx_5lkpdnvllwipwt" Type="http://schemas.openxmlformats.org/officeDocument/2006/relationships/hyperlink" Target="volatility_surface/backtest/roll_results.py" TargetMode="External"/><Relationship Id="rIdgwrdkaucdlrtrohdnehic" Type="http://schemas.openxmlformats.org/officeDocument/2006/relationships/hyperlink" Target="volatility_surface/backtest/results_io.py" TargetMode="External"/><Relationship Id="rIdeep3zepovvy4wld4w42pp" Type="http://schemas.openxmlformats.org/officeDocument/2006/relationships/hyperlink" Target="volatility_surface/backtest/leverage.py"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 Overview</dc:title>
  <dc:creator>Natixis internship handover</dc:creator>
  <cp:lastModifiedBy>Un-named</cp:lastModifiedBy>
  <cp:revision>1</cp:revision>
  <dcterms:created xsi:type="dcterms:W3CDTF">2026-08-18T13:51:37.617Z</dcterms:created>
  <dcterms:modified xsi:type="dcterms:W3CDTF">2026-08-18T13:51:37.623Z</dcterms:modified>
</cp:coreProperties>
</file>

<file path=docProps/custom.xml><?xml version="1.0" encoding="utf-8"?>
<Properties xmlns="http://schemas.openxmlformats.org/officeDocument/2006/custom-properties" xmlns:vt="http://schemas.openxmlformats.org/officeDocument/2006/docPropsVTypes"/>
</file>