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ascii="华文中宋" w:hAnsi="华文中宋" w:eastAsia="华文中宋" w:cs="Times New Roman"/>
          <w:sz w:val="32"/>
          <w:szCs w:val="32"/>
        </w:rPr>
        <w:widowControl w:val="1"/>
        <w:snapToGrid w:val="0"/>
        <w:keepNext w:val="1"/>
      </w:pPr>
      <w:r>
        <w:rPr>
          <w:rFonts w:hint="eastAsia" w:ascii="华文中宋" w:hAnsi="华文中宋" w:eastAsia="华文中宋" w:cs="Times New Roman"/>
          <w:sz w:val="32"/>
          <w:szCs w:val="32"/>
          <w:color w:val="000000"/>
        </w:rPr>
        <w:t xml:space="preserve">隐私保护提示</w:t>
      </w:r>
    </w:p>
    <w:p>
      <w:pPr>
        <w:rPr>
          <w:rFonts w:ascii="华文仿宋" w:hAnsi="华文仿宋" w:eastAsia="华文仿宋" w:cs="Times New Roman"/>
        </w:rPr>
        <w:widowControl w:val="1"/>
        <w:snapToGrid w:val="0"/>
      </w:pPr>
      <w:r>
        <w:rPr>
          <w:rFonts w:hint="eastAsia" w:ascii="华文仿宋" w:hAnsi="华文仿宋" w:eastAsia="华文仿宋" w:cs="Times New Roman"/>
          <w:color w:val="000000"/>
        </w:rPr>
        <w:t xml:space="preserve">欢迎使用《纪元急袭》。我们重视您的隐私。本提示概括 Windows 与 Android 0.8.1 版本的信息处理方式，请同时阅读完整隐私政策。</w:t>
      </w:r>
    </w:p>
    <w:p>
      <w:pPr>
        <w:rPr>
          <w:rFonts w:ascii="华文仿宋" w:hAnsi="华文仿宋" w:eastAsia="华文仿宋" w:cs="Times New Roman"/>
        </w:rPr>
        <w:widowControl w:val="1"/>
        <w:snapToGrid w:val="0"/>
      </w:pPr>
      <w:r>
        <w:rPr>
          <w:rFonts w:hint="eastAsia" w:ascii="华文仿宋" w:hAnsi="华文仿宋" w:eastAsia="华文仿宋" w:cs="Times New Roman"/>
          <w:color w:val="000000"/>
        </w:rPr>
        <w:t xml:space="preserve">单人游戏可离线使用。本机进度、设置和单人存档不会自动上传。官方联机服务器为 https://jyqx-server.sidcloud.cn，由 SIDcloud 运营，位于新加坡。主动点击“同意并连接”后，客户端创建随机匿名身份，并传输必要网络信息、匹配、房间、构筑与对战数据，用于真人对战和断线恢复。仅进入联机页不会创建新的线上身份；已加入的对局可自动恢复。</w:t>
      </w:r>
    </w:p>
    <w:p>
      <w:pPr>
        <w:rPr>
          <w:rFonts w:ascii="华文仿宋" w:hAnsi="华文仿宋" w:eastAsia="华文仿宋" w:cs="Times New Roman"/>
        </w:rPr>
        <w:widowControl w:val="1"/>
        <w:snapToGrid w:val="0"/>
      </w:pPr>
      <w:r>
        <w:rPr>
          <w:rFonts w:hint="eastAsia" w:ascii="华文仿宋" w:hAnsi="华文仿宋" w:eastAsia="华文仿宋" w:cs="Times New Roman"/>
          <w:color w:val="000000"/>
        </w:rPr>
        <w:t xml:space="preserve">匿名身份不要求填写姓名、手机号或邮箱，也不读取硬件设备标识。身份密钥在 Windows 由 DPAPI、在 Android 由 Keystore 保护；服务器保存用于验证的密钥哈希。请勿向其他人提供身份密钥。</w:t>
      </w:r>
    </w:p>
    <w:p>
      <w:pPr>
        <w:rPr>
          <w:rFonts w:ascii="华文仿宋" w:hAnsi="华文仿宋" w:eastAsia="华文仿宋" w:cs="Times New Roman"/>
        </w:rPr>
        <w:widowControl w:val="1"/>
        <w:snapToGrid w:val="0"/>
      </w:pPr>
      <w:r>
        <w:rPr>
          <w:rFonts w:hint="eastAsia" w:ascii="华文仿宋" w:hAnsi="华文仿宋" w:eastAsia="华文仿宋" w:cs="Times New Roman"/>
          <w:color w:val="000000"/>
        </w:rPr>
        <w:t xml:space="preserve">Android 0.8.1 声明正常网络权限 INTERNET，用于您选择的联机功能；该权限不产生运行时授权弹窗。游戏没有定位、相机、麦克风、通讯录、电话或共享存储读取权限。</w:t>
      </w:r>
    </w:p>
    <w:p>
      <w:pPr>
        <w:rPr>
          <w:rFonts w:ascii="华文仿宋" w:hAnsi="华文仿宋" w:eastAsia="华文仿宋" w:cs="Times New Roman"/>
        </w:rPr>
        <w:widowControl w:val="1"/>
        <w:snapToGrid w:val="0"/>
      </w:pPr>
      <w:r>
        <w:rPr>
          <w:rFonts w:hint="eastAsia" w:ascii="华文仿宋" w:hAnsi="华文仿宋" w:eastAsia="华文仿宋" w:cs="Times New Roman"/>
          <w:color w:val="000000"/>
        </w:rPr>
        <w:t xml:space="preserve">游戏未接入广告、行为统计、支付、社交登录或单机云存档 SDK。联机对手会看到主将、时代、兵线、基地和对局结果，不会收到您的私有金币、科技值、训练队列及私有技能冷却。</w:t>
      </w:r>
    </w:p>
    <w:p>
      <w:pPr>
        <w:rPr>
          <w:rFonts w:ascii="华文仿宋" w:hAnsi="华文仿宋" w:eastAsia="华文仿宋" w:cs="Times New Roman"/>
        </w:rPr>
        <w:widowControl w:val="1"/>
        <w:snapToGrid w:val="0"/>
      </w:pPr>
      <w:r>
        <w:rPr>
          <w:rFonts w:hint="eastAsia" w:ascii="华文仿宋" w:hAnsi="华文仿宋" w:eastAsia="华文仿宋" w:cs="Times New Roman"/>
          <w:color w:val="000000"/>
        </w:rPr>
        <w:t xml:space="preserve">官方对战数据由 SIDcloud 在新加坡服务器处理。公网连接使用 HTTPS/WSS；反向代理不记录请求访问日志或含票据的 URL。选择自行部署或第三方服务器时，请先确认其运营者、所在地和隐私规则，明文 HTTP 仅供本机或私有局域网。</w:t>
      </w:r>
    </w:p>
    <w:p>
      <w:pPr>
        <w:rPr>
          <w:rFonts w:ascii="华文仿宋" w:hAnsi="华文仿宋" w:eastAsia="华文仿宋" w:cs="Times New Roman"/>
        </w:rPr>
        <w:widowControl w:val="1"/>
        <w:snapToGrid w:val="0"/>
      </w:pPr>
      <w:r>
        <w:rPr>
          <w:rFonts w:hint="eastAsia" w:ascii="华文仿宋" w:hAnsi="华文仿宋" w:eastAsia="华文仿宋" w:cs="Times New Roman"/>
          <w:color w:val="000000"/>
        </w:rPr>
        <w:t xml:space="preserve">您主动联系我们时，我们处理您提供的邮件及附件。隐私网页由 Vercel 托管，会产生必要的网页请求信息。您可以清除本机数据，并通过隐私联系邮箱请求查阅、更正或删除我们实际持有的信息。未成年人请与监护人一起阅读。</w:t>
      </w:r>
    </w:p>
    <w:p>
      <w:pPr>
        <w:adjustRightInd w:val="0"/>
        <w:snapToGrid w:val="0"/>
        <w:spacing w:before="0" w:after="156" w:afterLines="50" w:line="300" w:lineRule="auto"/>
        <w:rPr>
          <w:rFonts w:ascii="Times New Roman" w:hAnsi="Times New Roman" w:eastAsia="华文仿宋" w:cs="Times New Roman"/>
          <w:b/>
        </w:rPr>
        <w:widowControl w:val="1"/>
        <w:pageBreakBefore w:val="1"/>
      </w:pPr>
      <w:r>
        <w:rPr>
          <w:rFonts w:ascii="Times New Roman" w:hAnsi="Times New Roman" w:eastAsia="华文仿宋" w:cs="Times New Roman"/>
          <w:b/>
          <w:color w:val="000000"/>
        </w:rPr>
        <w:t xml:space="preserve">更新日期：2026年10月11日</w:t>
      </w:r>
    </w:p>
    <w:p>
      <w:pPr>
        <w:adjustRightInd w:val="0"/>
        <w:snapToGrid w:val="0"/>
        <w:spacing w:before="0" w:after="156" w:afterLines="50" w:line="300" w:lineRule="auto"/>
        <w:rPr>
          <w:rFonts w:ascii="Times New Roman" w:hAnsi="Times New Roman" w:eastAsia="华文仿宋" w:cs="Times New Roman"/>
          <w:b/>
        </w:rPr>
        <w:widowControl w:val="1"/>
      </w:pPr>
      <w:r>
        <w:rPr>
          <w:rFonts w:ascii="Times New Roman" w:hAnsi="Times New Roman" w:eastAsia="华文仿宋" w:cs="Times New Roman"/>
          <w:b/>
          <w:color w:val="000000"/>
        </w:rPr>
        <w:t xml:space="preserve">生效日期：2026年10月11日</w:t>
      </w:r>
    </w:p>
    <w:p>
      <w:pPr>
        <w:adjustRightInd w:val="0"/>
        <w:snapToGrid w:val="0"/>
        <w:spacing w:before="0" w:after="156" w:afterLines="50" w:line="300" w:lineRule="auto"/>
        <w:rPr>
          <w:rFonts w:ascii="Times New Roman" w:hAnsi="Times New Roman" w:eastAsia="华文仿宋" w:cs="Times New Roman"/>
          <w:b/>
        </w:rPr>
        <w:widowControl w:val="1"/>
      </w:pPr>
      <w:r>
        <w:rPr>
          <w:rFonts w:ascii="Times New Roman" w:hAnsi="Times New Roman" w:eastAsia="华文仿宋" w:cs="Times New Roman"/>
          <w:b/>
          <w:color w:val="000000"/>
        </w:rPr>
        <w:t xml:space="preserve">政策版本：ER-PRIVACY-2026-10-11-PUBLIC</w:t>
      </w:r>
    </w:p>
    <w:p>
      <w:pPr>
        <w:pStyle w:val="Title"/>
        <w:spacing w:before="0" w:after="156" w:afterLines="50" w:line="360" w:lineRule="auto"/>
        <w:jc w:val="center"/>
        <w:rPr>
          <w:rFonts w:ascii="Times New Roman" w:hAnsi="Times New Roman" w:eastAsia="华文仿宋" w:cs="Times New Roman"/>
          <w:b/>
          <w:bCs/>
          <w:kern w:val="44"/>
          <w:sz w:val="32"/>
        </w:rPr>
        <w:widowControl w:val="1"/>
        <w:snapToGrid w:val="0"/>
        <w:keepNext w:val="1"/>
      </w:pPr>
      <w:r>
        <w:rPr>
          <w:rFonts w:hint="eastAsia" w:ascii="Times New Roman" w:hAnsi="Times New Roman" w:eastAsia="华文仿宋" w:cs="Times New Roman"/>
          <w:b/>
          <w:bCs/>
          <w:kern w:val="44"/>
          <w:sz w:val="32"/>
          <w:lang w:eastAsia="zh-CN"/>
          <w:color w:val="000000"/>
        </w:rPr>
        <w:t xml:space="preserve">纪元急袭隐私政策</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《纪元急袭》的开发及运营主体为 SIDcloud，以下简称“我们”。本政策说明我们在提供游戏、处理主动联系请求及提供本隐私说明网页时，如何处理信息以及您如何行使权利。隐私联系邮箱：carzyg@outlook.com。</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本政策适用于截至生效日《纪元急袭》Godot 原生 Windows 与 Android 0.8.1 版本、SIDcloud 官方对战服务器及发布本政策的网页。英文名称为 Epoch Rush: Pixel Command，Android 包名为 studio.epochrush.pixelcommand。0.8.0 已加入可选真人联机，0.8.1 提供正式公共服务及明确的地区提示；0.7.x 离线版本的信息处理方式请查阅仓库历史政策。使用他人部署的服务端时，该运营者独立承担其实际信息保护责任。</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我们根据《中华人民共和国个人信息保护法》等适用法律处理个人信息。我们只处理与明确目的有关的必要信息，不能将您阅读本政策或使用离线游戏视为对一切信息处理活动的概括授权。对依法需要同意、单独同意或监护人同意的活动，我们会在相应处理开始前履行告知并取得所需同意。</w:t>
      </w:r>
    </w:p>
    <w:p>
      <w:pPr>
        <w:pStyle w:val="19"/>
        <w:adjustRightInd w:val="0"/>
        <w:snapToGrid w:val="0"/>
        <w:spacing w:after="156" w:afterLines="50" w:line="360" w:lineRule="auto"/>
        <w:ind w:firstLineChars="0"/>
        <w:rPr>
          <w:rFonts w:ascii="Times New Roman" w:hAnsi="Times New Roman" w:eastAsia="华文仿宋" w:cs="Times New Roman"/>
          <w:b/>
          <w:bCs/>
        </w:rPr>
        <w:widowControl w:val="1"/>
        <w:keepNext w:val="1"/>
        <w:pageBreakBefore w:val="1"/>
      </w:pPr>
      <w:r>
        <w:rPr>
          <w:rFonts w:hint="eastAsia" w:ascii="Times New Roman" w:hAnsi="Times New Roman" w:eastAsia="华文仿宋" w:cs="Times New Roman"/>
          <w:b/>
          <w:bCs/>
          <w:lang w:val="en-US" w:eastAsia="zh-CN"/>
          <w:color w:val="000000"/>
        </w:rPr>
        <w:t xml:space="preserve">政策目录</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一 我们如何收集和使用您的个人信息</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二 我们如何保存您的个人信息</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三 我们如何使用 Cookies 和同类技术</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四 我们如何共享 转让和公开披露您的个人信息</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五 第三方产品或服务如何处理信息</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六 我们如何保护您的个人信息</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七 您如何管理您的个人信息</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八 我们如何处理未成年人的个人信息</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九 本隐私政策如何更新</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十 如何联系我们</w:t>
      </w:r>
    </w:p>
    <w:p>
      <w:pPr>
        <w:pStyle w:val="19"/>
        <w:widowControl w:val="1"/>
        <w:adjustRightInd w:val="0"/>
        <w:snapToGrid w:val="0"/>
        <w:spacing w:before="0" w:after="156" w:afterLines="50" w:line="360" w:lineRule="auto"/>
        <w:ind w:left="0" w:firstLine="0" w:firstLineChars="0"/>
        <w:rPr>
          <w:rFonts w:ascii="Times New Roman" w:hAnsi="Times New Roman" w:eastAsia="华文仿宋" w:cs="Times New Roman"/>
          <w:b/>
          <w:bCs/>
          <w:kern w:val="0"/>
        </w:rPr>
        <w:keepNext w:val="1"/>
      </w:pPr>
      <w:r>
        <w:rPr>
          <w:rFonts w:ascii="Times New Roman" w:hAnsi="Times New Roman" w:eastAsia="华文仿宋" w:cs="Times New Roman"/>
          <w:b/>
          <w:bCs/>
          <w:kern w:val="0"/>
          <w:color w:val="000000"/>
        </w:rPr>
        <w:t xml:space="preserve">一 我们如何收集和使用您的个人信息</w:t>
      </w:r>
    </w:p>
    <w:p>
      <w:pPr>
        <w:pStyle w:val="19"/>
        <w:adjustRightInd w:val="0"/>
        <w:snapToGrid w:val="0"/>
        <w:spacing w:after="156" w:afterLines="50" w:line="360" w:lineRule="auto"/>
        <w:ind w:firstLineChars="0"/>
        <w:rPr>
          <w:rFonts w:ascii="Times New Roman" w:hAnsi="Times New Roman" w:eastAsia="华文仿宋" w:cs="Times New Roman"/>
          <w:b/>
          <w:bCs/>
        </w:rPr>
        <w:widowControl w:val="1"/>
        <w:keepNext w:val="1"/>
      </w:pPr>
      <w:r>
        <w:rPr>
          <w:rFonts w:hint="eastAsia" w:ascii="Times New Roman" w:hAnsi="Times New Roman" w:eastAsia="华文仿宋" w:cs="Times New Roman"/>
          <w:b/>
          <w:bCs/>
          <w:lang w:val="en-US" w:eastAsia="zh-CN"/>
          <w:color w:val="000000"/>
        </w:rPr>
        <w:t xml:space="preserve">1 本机游戏数据</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游戏为保存进度和继续对局，在您的设备中读写以下数据：已通关关卡、英雄解锁与熟练度、圣物与碎片、阵容、胜负次数、奖励记录；音量、音乐和音效开关、全屏和降低镜头动态设置；当前对局的双方状态、单位、资源、时代、技能、随机种子及对战时间等。对战编号由时间和本机序号形成，用于避免重复结算奖励，不是账号或跨应用设备标识。</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上述数据用于本机游戏功能，不与姓名、手机号或在线身份绑定，也不会由当前游戏自动上传。引擎还可能在本机保存版本、图形设备或驱动情况、运行错误等诊断日志，供本机运行排查使用；日志可能包含文件路径等细节，不会由当前游戏自动发送。我们无法远程读取、同步或恢复您的存档。本政策列明本机数据是为了说明实际行为，并不表示开发者已经收到这些数据。</w:t>
      </w:r>
    </w:p>
    <w:tbl>
      <w:tblPr>
        <w:tblStyle w:val="11"/>
        <w:tblW w:w="8306" w:type="dxa"/>
        <w:tblInd w:w="0" w:type="dxa"/>
        <w:tblLayout w:type="fixed"/>
        <w:tblCellMar>
          <w:top w:w="15" w:type="dxa"/>
          <w:left w:w="15" w:type="dxa"/>
          <w:bottom w:w="15" w:type="dxa"/>
          <w:right w:w="15" w:type="dxa"/>
        </w:tblCellMar>
      </w:tblPr>
      <w:tblGrid>
        <w:gridCol w:w="1350"/>
        <w:gridCol w:w="2500"/>
        <w:gridCol w:w="2900"/>
        <w:gridCol w:w="1556"/>
      </w:tblGrid>
      <w:tr>
        <w:trPr>
          <w:cantSplit/>
          <w:tblHeader/>
        </w:trPr>
        <w:tc>
          <w:tcPr>
            <w:tcW w:w="1350" w:type="dxa"/>
            <w:tcBorders>
              <w:top w:val="single" w:color="DDDDDD" w:sz="6" w:space="0"/>
              <w:left w:val="single" w:color="DDDDDD" w:sz="6" w:space="0"/>
              <w:bottom w:val="single" w:color="DDDDDD" w:sz="6" w:space="0"/>
              <w:right w:val="single" w:color="DDDDDD" w:sz="6" w:space="0"/>
            </w:tcBorders>
            <w:shd w:val="clear" w:color="auto" w:fill="FFFFFF"/>
            <w:tcMar>
              <w:top w:w="105" w:type="dxa"/>
              <w:left w:w="150" w:type="dxa"/>
              <w:bottom w:w="105" w:type="dxa"/>
              <w:right w:w="150" w:type="dxa"/>
            </w:tcMar>
            <w:vAlign w:val="center"/>
          </w:tcPr>
          <w:p>
            <w:pPr>
              <w:widowControl w:val="1"/>
              <w:spacing w:before="90" w:after="90" w:line="260" w:lineRule="auto"/>
              <w:jc w:val="center"/>
              <w:rPr>
                <w:rFonts w:ascii="Times New Roman" w:hAnsi="Times New Roman" w:eastAsia="仿宋" w:cs="Arial"/>
                <w:b/>
                <w:bCs/>
                <w:sz w:val="20"/>
                <w:szCs w:val="20"/>
              </w:rPr>
              <w:keepNext w:val="1"/>
            </w:pPr>
            <w:r>
              <w:rPr>
                <w:rFonts w:ascii="Times New Roman" w:hAnsi="Times New Roman" w:eastAsia="华文仿宋"/>
                <w:sz w:val="20"/>
                <w:szCs w:val="20"/>
                <w:color w:val="000000"/>
                <w:b/>
              </w:rPr>
              <w:t>处理场景</w:t>
            </w:r>
          </w:p>
        </w:tc>
        <w:tc>
          <w:tcPr>
            <w:tcW w:w="2500" w:type="dxa"/>
            <w:tcBorders>
              <w:top w:val="single" w:color="DDDDDD" w:sz="6" w:space="0"/>
              <w:left w:val="nil"/>
              <w:bottom w:val="single" w:color="DDDDDD" w:sz="6" w:space="0"/>
              <w:right w:val="single" w:color="DDDDDD" w:sz="6" w:space="0"/>
            </w:tcBorders>
            <w:shd w:val="clear" w:color="auto" w:fill="FFFFFF"/>
            <w:tcMar>
              <w:top w:w="105" w:type="dxa"/>
              <w:left w:w="150" w:type="dxa"/>
              <w:bottom w:w="105" w:type="dxa"/>
              <w:right w:w="150" w:type="dxa"/>
            </w:tcMar>
            <w:vAlign w:val="center"/>
          </w:tcPr>
          <w:p>
            <w:pPr>
              <w:widowControl w:val="1"/>
              <w:spacing w:before="90" w:after="90" w:line="260" w:lineRule="auto"/>
              <w:jc w:val="center"/>
              <w:rPr>
                <w:rFonts w:ascii="Times New Roman" w:hAnsi="Times New Roman" w:eastAsia="仿宋" w:cs="Arial"/>
                <w:b/>
                <w:bCs/>
                <w:sz w:val="20"/>
                <w:szCs w:val="20"/>
              </w:rPr>
              <w:keepNext w:val="1"/>
            </w:pPr>
            <w:r>
              <w:rPr>
                <w:rFonts w:ascii="Times New Roman" w:hAnsi="Times New Roman" w:eastAsia="华文仿宋"/>
                <w:sz w:val="20"/>
                <w:szCs w:val="20"/>
                <w:color w:val="000000"/>
                <w:b/>
              </w:rPr>
              <w:t>信息范围</w:t>
            </w:r>
          </w:p>
        </w:tc>
        <w:tc>
          <w:tcPr>
            <w:tcW w:w="2900" w:type="dxa"/>
            <w:tcBorders>
              <w:top w:val="single" w:color="DDDDDD" w:sz="6" w:space="0"/>
              <w:left w:val="nil"/>
              <w:bottom w:val="single" w:color="DDDDDD" w:sz="6" w:space="0"/>
              <w:right w:val="single" w:color="DDDDDD" w:sz="6" w:space="0"/>
            </w:tcBorders>
            <w:shd w:val="clear" w:color="auto" w:fill="FFFFFF"/>
            <w:tcMar>
              <w:top w:w="105" w:type="dxa"/>
              <w:left w:w="150" w:type="dxa"/>
              <w:bottom w:w="105" w:type="dxa"/>
              <w:right w:w="150" w:type="dxa"/>
            </w:tcMar>
            <w:vAlign w:val="center"/>
          </w:tcPr>
          <w:p>
            <w:pPr>
              <w:widowControl w:val="1"/>
              <w:spacing w:before="90" w:after="90" w:line="260" w:lineRule="auto"/>
              <w:jc w:val="center"/>
              <w:rPr>
                <w:rFonts w:ascii="Times New Roman" w:hAnsi="Times New Roman" w:eastAsia="仿宋" w:cs="Arial"/>
                <w:b/>
                <w:bCs/>
                <w:sz w:val="20"/>
                <w:szCs w:val="20"/>
              </w:rPr>
              <w:keepNext w:val="1"/>
            </w:pPr>
            <w:r>
              <w:rPr>
                <w:rFonts w:ascii="Times New Roman" w:hAnsi="Times New Roman" w:eastAsia="华文仿宋"/>
                <w:sz w:val="20"/>
                <w:szCs w:val="20"/>
                <w:color w:val="000000"/>
                <w:b/>
              </w:rPr>
              <w:t>用途和保存位置</w:t>
            </w:r>
          </w:p>
        </w:tc>
        <w:tc>
          <w:tcPr>
            <w:tcW w:w="1556" w:type="dxa"/>
            <w:tcBorders>
              <w:top w:val="single" w:color="DDDDDD" w:sz="6" w:space="0"/>
              <w:left w:val="nil"/>
              <w:bottom w:val="single" w:color="DDDDDD" w:sz="6" w:space="0"/>
              <w:right w:val="single" w:color="DDDDDD" w:sz="6" w:space="0"/>
            </w:tcBorders>
            <w:shd w:val="clear" w:color="auto" w:fill="FFFFFF"/>
            <w:vAlign w:val="center"/>
          </w:tcPr>
          <w:p>
            <w:pPr>
              <w:widowControl w:val="1"/>
              <w:spacing w:before="90" w:after="90" w:line="260" w:lineRule="auto"/>
              <w:jc w:val="center"/>
              <w:rPr>
                <w:rFonts w:ascii="Times New Roman" w:hAnsi="Times New Roman" w:eastAsia="仿宋" w:cs="Arial"/>
                <w:b/>
                <w:bCs/>
                <w:sz w:val="20"/>
                <w:szCs w:val="20"/>
              </w:rPr>
              <w:keepNext w:val="1"/>
            </w:pPr>
            <w:r>
              <w:rPr>
                <w:rFonts w:ascii="Times New Roman" w:hAnsi="Times New Roman" w:eastAsia="华文仿宋"/>
                <w:sz w:val="20"/>
                <w:szCs w:val="20"/>
                <w:color w:val="000000"/>
                <w:b/>
              </w:rPr>
              <w:t>是否传给我们</w:t>
            </w:r>
          </w:p>
        </w:tc>
      </w:tr>
      <w:tr>
        <w:trPr>
          <w:cantSplit/>
        </w:trPr>
        <w:tc>
          <w:tcPr>
            <w:tcW w:w="1350" w:type="dxa"/>
            <w:tcBorders>
              <w:top w:val="single" w:color="DDDDDD" w:sz="6" w:space="0"/>
              <w:left w:val="single" w:color="DDDDDD" w:sz="6" w:space="0"/>
              <w:bottom w:val="single" w:color="DDDDDD" w:sz="6" w:space="0"/>
              <w:right w:val="single" w:color="DDDDDD" w:sz="6" w:space="0"/>
            </w:tcBorders>
            <w:shd w:val="clear" w:color="auto" w:fill="FFFFFF"/>
            <w:tcMar>
              <w:top w:w="105" w:type="dxa"/>
              <w:left w:w="150" w:type="dxa"/>
              <w:bottom w:w="105" w:type="dxa"/>
              <w:right w:w="150" w:type="dxa"/>
            </w:tcMar>
            <w:vAlign w:val="center"/>
          </w:tcPr>
          <w:p>
            <w:pPr>
              <w:widowControl w:val="1"/>
              <w:spacing w:before="90" w:after="90" w:line="260" w:lineRule="auto"/>
              <w:jc w:val="left"/>
              <w:rPr>
                <w:rFonts w:ascii="Times New Roman" w:hAnsi="Times New Roman" w:eastAsia="仿宋" w:cs="Arial"/>
                <w:sz w:val="20"/>
                <w:szCs w:val="20"/>
              </w:rPr>
              <w:keepNext w:val="1"/>
            </w:pPr>
            <w:r>
              <w:rPr>
                <w:rFonts w:ascii="Times New Roman" w:hAnsi="Times New Roman" w:eastAsia="华文仿宋"/>
                <w:sz w:val="20"/>
                <w:szCs w:val="20"/>
                <w:color w:val="000000"/>
              </w:rPr>
              <w:t>本机进度</w:t>
            </w:r>
          </w:p>
        </w:tc>
        <w:tc>
          <w:tcPr>
            <w:tcW w:w="2500" w:type="dxa"/>
            <w:tcBorders>
              <w:top w:val="single" w:color="DDDDDD" w:sz="6" w:space="0"/>
              <w:left w:val="nil"/>
              <w:bottom w:val="single" w:color="DDDDDD" w:sz="6" w:space="0"/>
              <w:right w:val="single" w:color="DDDDDD" w:sz="6" w:space="0"/>
            </w:tcBorders>
            <w:shd w:val="clear" w:color="auto" w:fill="FFFFFF"/>
            <w:tcMar>
              <w:top w:w="105" w:type="dxa"/>
              <w:left w:w="150" w:type="dxa"/>
              <w:bottom w:w="105" w:type="dxa"/>
              <w:right w:w="150" w:type="dxa"/>
            </w:tcMar>
            <w:vAlign w:val="center"/>
          </w:tcPr>
          <w:p>
            <w:pPr>
              <w:pStyle w:val="23"/>
              <w:widowControl w:val="1"/>
              <w:numPr>
                <w:ilvl w:val="255"/>
                <w:numId w:val="0"/>
              </w:numPr>
              <w:spacing w:before="90" w:after="90" w:line="260" w:lineRule="auto"/>
              <w:ind w:firstLine="400" w:firstLineChars="200"/>
              <w:jc w:val="left"/>
              <w:rPr>
                <w:rFonts w:hint="default" w:ascii="Times New Roman" w:hAnsi="Times New Roman" w:eastAsia="仿宋" w:cs="Arial"/>
                <w:kern w:val="0"/>
                <w:sz w:val="20"/>
                <w:szCs w:val="20"/>
                <w:lang w:val="en-US" w:eastAsia="zh-CN"/>
              </w:rPr>
              <w:keepNext w:val="1"/>
            </w:pPr>
            <w:r>
              <w:rPr>
                <w:rFonts w:ascii="Times New Roman" w:hAnsi="Times New Roman" w:eastAsia="华文仿宋"/>
                <w:sz w:val="20"/>
                <w:szCs w:val="20"/>
                <w:color w:val="000000"/>
              </w:rPr>
              <w:t>关卡、英雄、圣物、阵容、奖励与战绩</w:t>
            </w:r>
          </w:p>
        </w:tc>
        <w:tc>
          <w:tcPr>
            <w:tcW w:w="2900" w:type="dxa"/>
            <w:tcBorders>
              <w:top w:val="single" w:color="DDDDDD" w:sz="6" w:space="0"/>
              <w:left w:val="nil"/>
              <w:bottom w:val="single" w:color="DDDDDD" w:sz="6" w:space="0"/>
              <w:right w:val="single" w:color="DDDDDD" w:sz="6" w:space="0"/>
            </w:tcBorders>
            <w:shd w:val="clear" w:color="auto" w:fill="FFFFFF"/>
            <w:tcMar>
              <w:top w:w="105" w:type="dxa"/>
              <w:left w:w="150" w:type="dxa"/>
              <w:bottom w:w="105" w:type="dxa"/>
              <w:right w:w="150" w:type="dxa"/>
            </w:tcMar>
            <w:vAlign w:val="center"/>
          </w:tcPr>
          <w:p>
            <w:pPr>
              <w:pStyle w:val="23"/>
              <w:widowControl w:val="1"/>
              <w:numPr>
                <w:ilvl w:val="255"/>
                <w:numId w:val="0"/>
              </w:numPr>
              <w:spacing w:before="90" w:after="90" w:line="260" w:lineRule="auto"/>
              <w:jc w:val="left"/>
              <w:rPr>
                <w:rFonts w:ascii="Times New Roman" w:hAnsi="Times New Roman" w:eastAsia="仿宋" w:cs="Arial"/>
                <w:sz w:val="20"/>
                <w:szCs w:val="20"/>
              </w:rPr>
              <w:keepNext w:val="1"/>
            </w:pPr>
            <w:r>
              <w:rPr>
                <w:rFonts w:ascii="Times New Roman" w:hAnsi="Times New Roman" w:eastAsia="华文仿宋"/>
                <w:sz w:val="20"/>
                <w:szCs w:val="20"/>
                <w:color w:val="000000"/>
              </w:rPr>
              <w:t>保存进度；设备本机</w:t>
            </w:r>
          </w:p>
        </w:tc>
        <w:tc>
          <w:tcPr>
            <w:tcW w:w="1556" w:type="dxa"/>
            <w:tcBorders>
              <w:top w:val="single" w:color="DDDDDD" w:sz="6" w:space="0"/>
              <w:left w:val="nil"/>
              <w:bottom w:val="single" w:color="DDDDDD" w:sz="6" w:space="0"/>
              <w:right w:val="single" w:color="DDDDDD" w:sz="6" w:space="0"/>
            </w:tcBorders>
            <w:shd w:val="clear" w:color="auto" w:fill="FFFFFF"/>
            <w:vAlign w:val="center"/>
          </w:tcPr>
          <w:p>
            <w:pPr>
              <w:widowControl w:val="1"/>
              <w:spacing w:before="90" w:after="90" w:line="260" w:lineRule="auto"/>
              <w:jc w:val="left"/>
              <w:rPr>
                <w:rFonts w:ascii="Times New Roman" w:hAnsi="Times New Roman" w:eastAsia="仿宋" w:cs="Arial"/>
                <w:sz w:val="20"/>
                <w:szCs w:val="20"/>
              </w:rPr>
              <w:keepNext w:val="1"/>
            </w:pPr>
            <w:r>
              <w:rPr>
                <w:rFonts w:ascii="Times New Roman" w:hAnsi="Times New Roman" w:eastAsia="华文仿宋"/>
                <w:sz w:val="20"/>
                <w:szCs w:val="20"/>
                <w:color w:val="000000"/>
              </w:rPr>
              <w:t>不会自动上传</w:t>
            </w:r>
          </w:p>
        </w:tc>
      </w:tr>
      <w:tr>
        <w:trPr>
          <w:cantSplit/>
        </w:trPr>
        <w:tc>
          <w:tcPr>
            <w:tcW w:w="1350" w:type="dxa"/>
            <w:tcBorders>
              <w:top w:val="single" w:color="DDDDDD" w:sz="6" w:space="0"/>
              <w:left w:val="single" w:color="DDDDDD" w:sz="6" w:space="0"/>
              <w:bottom w:val="single" w:color="DDDDDD" w:sz="6" w:space="0"/>
              <w:right w:val="single" w:color="DDDDDD" w:sz="6" w:space="0"/>
            </w:tcBorders>
            <w:shd w:val="clear" w:color="auto" w:fill="FFFFFF"/>
            <w:tcMar>
              <w:top w:w="105" w:type="dxa"/>
              <w:left w:w="150" w:type="dxa"/>
              <w:bottom w:w="105" w:type="dxa"/>
              <w:right w:w="150" w:type="dxa"/>
            </w:tcMar>
            <w:vAlign w:val="center"/>
          </w:tcPr>
          <w:p>
            <w:pPr>
              <w:widowControl w:val="1"/>
              <w:spacing w:before="90" w:after="90" w:line="260" w:lineRule="auto"/>
              <w:jc w:val="left"/>
              <w:rPr>
                <w:rFonts w:ascii="Times New Roman" w:hAnsi="Times New Roman" w:eastAsia="仿宋" w:cs="Arial"/>
                <w:sz w:val="20"/>
                <w:szCs w:val="20"/>
              </w:rPr>
              <w:keepNext w:val="1"/>
            </w:pPr>
            <w:r>
              <w:rPr>
                <w:rFonts w:ascii="Times New Roman" w:hAnsi="Times New Roman" w:eastAsia="华文仿宋"/>
                <w:sz w:val="20"/>
                <w:szCs w:val="20"/>
                <w:color w:val="000000"/>
              </w:rPr>
              <w:t>本机设置</w:t>
            </w:r>
          </w:p>
        </w:tc>
        <w:tc>
          <w:tcPr>
            <w:tcW w:w="2500" w:type="dxa"/>
            <w:tcBorders>
              <w:top w:val="single" w:color="DDDDDD" w:sz="6" w:space="0"/>
              <w:left w:val="nil"/>
              <w:bottom w:val="single" w:color="DDDDDD" w:sz="6" w:space="0"/>
              <w:right w:val="single" w:color="DDDDDD" w:sz="6" w:space="0"/>
            </w:tcBorders>
            <w:shd w:val="clear" w:color="auto" w:fill="FFFFFF"/>
            <w:tcMar>
              <w:top w:w="105" w:type="dxa"/>
              <w:left w:w="150" w:type="dxa"/>
              <w:bottom w:w="105" w:type="dxa"/>
              <w:right w:w="150" w:type="dxa"/>
            </w:tcMar>
            <w:vAlign w:val="center"/>
          </w:tcPr>
          <w:p>
            <w:pPr>
              <w:pStyle w:val="23"/>
              <w:widowControl w:val="1"/>
              <w:numPr>
                <w:ilvl w:val="255"/>
                <w:numId w:val="0"/>
              </w:numPr>
              <w:spacing w:before="90" w:after="90" w:line="260" w:lineRule="auto"/>
              <w:ind w:firstLine="400" w:firstLineChars="200"/>
              <w:jc w:val="left"/>
              <w:rPr>
                <w:rFonts w:hint="default" w:ascii="Times New Roman" w:hAnsi="Times New Roman" w:eastAsia="仿宋" w:cs="Arial"/>
                <w:kern w:val="0"/>
                <w:sz w:val="20"/>
                <w:szCs w:val="20"/>
                <w:lang w:val="en-US" w:eastAsia="zh-CN"/>
              </w:rPr>
              <w:keepNext w:val="1"/>
            </w:pPr>
            <w:r>
              <w:rPr>
                <w:rFonts w:ascii="Times New Roman" w:hAnsi="Times New Roman" w:eastAsia="华文仿宋"/>
                <w:sz w:val="20"/>
                <w:szCs w:val="20"/>
                <w:color w:val="000000"/>
              </w:rPr>
              <w:t>音量、声音开关、全屏、镜头动态偏好</w:t>
            </w:r>
          </w:p>
        </w:tc>
        <w:tc>
          <w:tcPr>
            <w:tcW w:w="2900" w:type="dxa"/>
            <w:tcBorders>
              <w:top w:val="single" w:color="DDDDDD" w:sz="6" w:space="0"/>
              <w:left w:val="nil"/>
              <w:bottom w:val="single" w:color="DDDDDD" w:sz="6" w:space="0"/>
              <w:right w:val="single" w:color="DDDDDD" w:sz="6" w:space="0"/>
            </w:tcBorders>
            <w:shd w:val="clear" w:color="auto" w:fill="FFFFFF"/>
            <w:tcMar>
              <w:top w:w="105" w:type="dxa"/>
              <w:left w:w="150" w:type="dxa"/>
              <w:bottom w:w="105" w:type="dxa"/>
              <w:right w:w="150" w:type="dxa"/>
            </w:tcMar>
            <w:vAlign w:val="center"/>
          </w:tcPr>
          <w:p>
            <w:pPr>
              <w:pStyle w:val="23"/>
              <w:widowControl w:val="1"/>
              <w:numPr>
                <w:ilvl w:val="255"/>
                <w:numId w:val="0"/>
              </w:numPr>
              <w:spacing w:before="90" w:after="90" w:line="260" w:lineRule="auto"/>
              <w:jc w:val="left"/>
              <w:rPr>
                <w:rFonts w:ascii="Times New Roman" w:hAnsi="Times New Roman" w:eastAsia="仿宋" w:cs="Arial"/>
                <w:sz w:val="20"/>
                <w:szCs w:val="20"/>
              </w:rPr>
              <w:keepNext w:val="1"/>
            </w:pPr>
            <w:r>
              <w:rPr>
                <w:rFonts w:ascii="Times New Roman" w:hAnsi="Times New Roman" w:eastAsia="华文仿宋"/>
                <w:sz w:val="20"/>
                <w:szCs w:val="20"/>
                <w:color w:val="000000"/>
              </w:rPr>
              <w:t>保留设置；设备本机</w:t>
            </w:r>
          </w:p>
        </w:tc>
        <w:tc>
          <w:tcPr>
            <w:tcW w:w="1556" w:type="dxa"/>
            <w:tcBorders>
              <w:top w:val="single" w:color="DDDDDD" w:sz="6" w:space="0"/>
              <w:left w:val="nil"/>
              <w:bottom w:val="single" w:color="DDDDDD" w:sz="6" w:space="0"/>
              <w:right w:val="single" w:color="DDDDDD" w:sz="6" w:space="0"/>
            </w:tcBorders>
            <w:shd w:val="clear" w:color="auto" w:fill="FFFFFF"/>
            <w:vAlign w:val="center"/>
          </w:tcPr>
          <w:p>
            <w:pPr>
              <w:widowControl w:val="1"/>
              <w:spacing w:before="90" w:after="90" w:line="260" w:lineRule="auto"/>
              <w:jc w:val="left"/>
              <w:rPr>
                <w:rFonts w:ascii="Times New Roman" w:hAnsi="Times New Roman" w:eastAsia="仿宋" w:cs="Arial"/>
                <w:sz w:val="20"/>
                <w:szCs w:val="20"/>
              </w:rPr>
              <w:keepNext w:val="1"/>
            </w:pPr>
            <w:r>
              <w:rPr>
                <w:rFonts w:ascii="Times New Roman" w:hAnsi="Times New Roman" w:eastAsia="华文仿宋"/>
                <w:sz w:val="20"/>
                <w:szCs w:val="20"/>
                <w:color w:val="000000"/>
              </w:rPr>
              <w:t>不会自动上传</w:t>
            </w:r>
          </w:p>
        </w:tc>
      </w:tr>
      <w:tr>
        <w:trPr>
          <w:cantSplit/>
        </w:trPr>
        <w:tc>
          <w:tcPr>
            <w:tcW w:w="1350" w:type="dxa"/>
            <w:tcBorders>
              <w:top w:val="single" w:color="DDDDDD" w:sz="6" w:space="0"/>
              <w:left w:val="single" w:color="DDDDDD" w:sz="6" w:space="0"/>
              <w:bottom w:val="single" w:color="DDDDDD" w:sz="6" w:space="0"/>
              <w:right w:val="single" w:color="DDDDDD" w:sz="6" w:space="0"/>
            </w:tcBorders>
            <w:shd w:val="clear" w:color="auto" w:fill="FFFFFF"/>
            <w:tcMar>
              <w:top w:w="105" w:type="dxa"/>
              <w:left w:w="150" w:type="dxa"/>
              <w:bottom w:w="105" w:type="dxa"/>
              <w:right w:w="150" w:type="dxa"/>
            </w:tcMar>
            <w:vAlign w:val="center"/>
          </w:tcPr>
          <w:p>
            <w:pPr>
              <w:widowControl w:val="1"/>
              <w:spacing w:before="90" w:after="90" w:line="260" w:lineRule="auto"/>
              <w:jc w:val="left"/>
              <w:rPr>
                <w:rFonts w:ascii="Times New Roman" w:hAnsi="Times New Roman" w:eastAsia="仿宋" w:cs="Arial"/>
                <w:sz w:val="20"/>
                <w:szCs w:val="20"/>
              </w:rPr>
              <w:keepNext w:val="1"/>
            </w:pPr>
            <w:r>
              <w:rPr>
                <w:rFonts w:ascii="Times New Roman" w:hAnsi="Times New Roman" w:eastAsia="华文仿宋"/>
                <w:sz w:val="20"/>
                <w:szCs w:val="20"/>
                <w:color w:val="000000"/>
              </w:rPr>
              <w:t>本机对战</w:t>
            </w:r>
          </w:p>
        </w:tc>
        <w:tc>
          <w:tcPr>
            <w:tcW w:w="2500" w:type="dxa"/>
            <w:tcBorders>
              <w:top w:val="single" w:color="DDDDDD" w:sz="6" w:space="0"/>
              <w:left w:val="nil"/>
              <w:bottom w:val="single" w:color="DDDDDD" w:sz="6" w:space="0"/>
              <w:right w:val="single" w:color="DDDDDD" w:sz="6" w:space="0"/>
            </w:tcBorders>
            <w:shd w:val="clear" w:color="auto" w:fill="FFFFFF"/>
            <w:tcMar>
              <w:top w:w="105" w:type="dxa"/>
              <w:left w:w="150" w:type="dxa"/>
              <w:bottom w:w="105" w:type="dxa"/>
              <w:right w:w="150" w:type="dxa"/>
            </w:tcMar>
            <w:vAlign w:val="center"/>
          </w:tcPr>
          <w:p>
            <w:pPr>
              <w:pStyle w:val="23"/>
              <w:widowControl w:val="1"/>
              <w:numPr>
                <w:ilvl w:val="255"/>
                <w:numId w:val="0"/>
              </w:numPr>
              <w:spacing w:before="90" w:after="90" w:line="260" w:lineRule="auto"/>
              <w:ind w:firstLine="400" w:firstLineChars="200"/>
              <w:jc w:val="left"/>
              <w:rPr>
                <w:rFonts w:hint="default" w:ascii="Times New Roman" w:hAnsi="Times New Roman" w:eastAsia="仿宋" w:cs="Arial"/>
                <w:kern w:val="0"/>
                <w:sz w:val="20"/>
                <w:szCs w:val="20"/>
                <w:lang w:val="en-US" w:eastAsia="zh-CN"/>
              </w:rPr>
              <w:keepNext w:val="1"/>
            </w:pPr>
            <w:r>
              <w:rPr>
                <w:rFonts w:ascii="Times New Roman" w:hAnsi="Times New Roman" w:eastAsia="华文仿宋"/>
                <w:sz w:val="20"/>
                <w:szCs w:val="20"/>
                <w:color w:val="000000"/>
              </w:rPr>
              <w:t>对战时间、编号、双方状态、单位与随机种子</w:t>
            </w:r>
          </w:p>
        </w:tc>
        <w:tc>
          <w:tcPr>
            <w:tcW w:w="2900" w:type="dxa"/>
            <w:tcBorders>
              <w:top w:val="single" w:color="DDDDDD" w:sz="6" w:space="0"/>
              <w:left w:val="nil"/>
              <w:bottom w:val="single" w:color="DDDDDD" w:sz="6" w:space="0"/>
              <w:right w:val="single" w:color="DDDDDD" w:sz="6" w:space="0"/>
            </w:tcBorders>
            <w:shd w:val="clear" w:color="auto" w:fill="FFFFFF"/>
            <w:tcMar>
              <w:top w:w="105" w:type="dxa"/>
              <w:left w:w="150" w:type="dxa"/>
              <w:bottom w:w="105" w:type="dxa"/>
              <w:right w:w="150" w:type="dxa"/>
            </w:tcMar>
            <w:vAlign w:val="center"/>
          </w:tcPr>
          <w:p>
            <w:pPr>
              <w:pStyle w:val="23"/>
              <w:widowControl w:val="1"/>
              <w:numPr>
                <w:ilvl w:val="255"/>
                <w:numId w:val="0"/>
              </w:numPr>
              <w:spacing w:before="90" w:after="90" w:line="260" w:lineRule="auto"/>
              <w:jc w:val="left"/>
              <w:rPr>
                <w:rFonts w:ascii="Times New Roman" w:hAnsi="Times New Roman" w:eastAsia="仿宋" w:cs="Arial"/>
                <w:sz w:val="20"/>
                <w:szCs w:val="20"/>
              </w:rPr>
              <w:keepNext w:val="1"/>
            </w:pPr>
            <w:r>
              <w:rPr>
                <w:rFonts w:ascii="Times New Roman" w:hAnsi="Times New Roman" w:eastAsia="华文仿宋"/>
                <w:sz w:val="20"/>
                <w:szCs w:val="20"/>
                <w:color w:val="000000"/>
              </w:rPr>
              <w:t>继续对局、防止重复奖励；设备本机</w:t>
            </w:r>
          </w:p>
        </w:tc>
        <w:tc>
          <w:tcPr>
            <w:tcW w:w="1556" w:type="dxa"/>
            <w:tcBorders>
              <w:top w:val="single" w:color="DDDDDD" w:sz="6" w:space="0"/>
              <w:left w:val="nil"/>
              <w:bottom w:val="single" w:color="DDDDDD" w:sz="6" w:space="0"/>
              <w:right w:val="single" w:color="DDDDDD" w:sz="6" w:space="0"/>
            </w:tcBorders>
            <w:shd w:val="clear" w:color="auto" w:fill="FFFFFF"/>
            <w:vAlign w:val="center"/>
          </w:tcPr>
          <w:p>
            <w:pPr>
              <w:widowControl w:val="1"/>
              <w:spacing w:before="90" w:after="90" w:line="260" w:lineRule="auto"/>
              <w:jc w:val="left"/>
              <w:rPr>
                <w:rFonts w:ascii="Times New Roman" w:hAnsi="Times New Roman" w:eastAsia="仿宋" w:cs="Arial"/>
                <w:sz w:val="20"/>
                <w:szCs w:val="20"/>
              </w:rPr>
              <w:keepNext w:val="1"/>
            </w:pPr>
            <w:r>
              <w:rPr>
                <w:rFonts w:ascii="Times New Roman" w:hAnsi="Times New Roman" w:eastAsia="华文仿宋"/>
                <w:sz w:val="20"/>
                <w:szCs w:val="20"/>
                <w:color w:val="000000"/>
              </w:rPr>
              <w:t>不会自动上传</w:t>
            </w:r>
          </w:p>
        </w:tc>
      </w:tr>
      <w:tr>
        <w:trPr>
          <w:cantSplit/>
        </w:trPr>
        <w:tc>
          <w:tcPr>
            <w:tcW w:w="1350" w:type="dxa"/>
            <w:tcBorders>
              <w:top w:val="single" w:color="DDDDDD" w:sz="6" w:space="0"/>
              <w:left w:val="single" w:color="DDDDDD" w:sz="6" w:space="0"/>
              <w:bottom w:val="single" w:color="DDDDDD" w:sz="6" w:space="0"/>
              <w:right w:val="single" w:color="DDDDDD" w:sz="6" w:space="0"/>
            </w:tcBorders>
            <w:shd w:val="clear" w:color="auto" w:fill="FFFFFF"/>
            <w:tcMar>
              <w:top w:w="105" w:type="dxa"/>
              <w:left w:w="150" w:type="dxa"/>
              <w:bottom w:w="105" w:type="dxa"/>
              <w:right w:w="150" w:type="dxa"/>
            </w:tcMar>
            <w:vAlign w:val="center"/>
          </w:tcPr>
          <w:p>
            <w:pPr>
              <w:widowControl w:val="1"/>
              <w:spacing w:before="90" w:after="90" w:line="260" w:lineRule="auto"/>
              <w:jc w:val="left"/>
              <w:rPr>
                <w:rFonts w:ascii="Times New Roman" w:hAnsi="Times New Roman" w:eastAsia="仿宋" w:cs="Arial"/>
                <w:sz w:val="20"/>
                <w:szCs w:val="20"/>
              </w:rPr>
              <w:keepNext w:val="1"/>
            </w:pPr>
            <w:r>
              <w:rPr>
                <w:rFonts w:ascii="Times New Roman" w:hAnsi="Times New Roman" w:eastAsia="华文仿宋"/>
                <w:sz w:val="20"/>
                <w:szCs w:val="20"/>
                <w:color w:val="000000"/>
              </w:rPr>
              <w:t>本机诊断</w:t>
            </w:r>
          </w:p>
        </w:tc>
        <w:tc>
          <w:tcPr>
            <w:tcW w:w="2500" w:type="dxa"/>
            <w:tcBorders>
              <w:top w:val="single" w:color="DDDDDD" w:sz="6" w:space="0"/>
              <w:left w:val="nil"/>
              <w:bottom w:val="single" w:color="DDDDDD" w:sz="6" w:space="0"/>
              <w:right w:val="single" w:color="DDDDDD" w:sz="6" w:space="0"/>
            </w:tcBorders>
            <w:shd w:val="clear" w:color="auto" w:fill="FFFFFF"/>
            <w:tcMar>
              <w:top w:w="105" w:type="dxa"/>
              <w:left w:w="150" w:type="dxa"/>
              <w:bottom w:w="105" w:type="dxa"/>
              <w:right w:w="150" w:type="dxa"/>
            </w:tcMar>
            <w:vAlign w:val="center"/>
          </w:tcPr>
          <w:p>
            <w:pPr>
              <w:pStyle w:val="23"/>
              <w:widowControl w:val="1"/>
              <w:numPr>
                <w:ilvl w:val="255"/>
                <w:numId w:val="0"/>
              </w:numPr>
              <w:spacing w:before="90" w:after="90" w:line="260" w:lineRule="auto"/>
              <w:ind w:firstLine="400" w:firstLineChars="200"/>
              <w:jc w:val="left"/>
              <w:rPr>
                <w:rFonts w:hint="default" w:ascii="Times New Roman" w:hAnsi="Times New Roman" w:eastAsia="仿宋" w:cs="Arial"/>
                <w:kern w:val="0"/>
                <w:sz w:val="20"/>
                <w:szCs w:val="20"/>
                <w:lang w:val="en-US" w:eastAsia="zh-CN"/>
              </w:rPr>
              <w:keepNext w:val="1"/>
            </w:pPr>
            <w:r>
              <w:rPr>
                <w:rFonts w:ascii="Times New Roman" w:hAnsi="Times New Roman" w:eastAsia="华文仿宋"/>
                <w:sz w:val="20"/>
                <w:szCs w:val="20"/>
                <w:color w:val="000000"/>
              </w:rPr>
              <w:t>引擎、显示驱动或运行错误等日志</w:t>
            </w:r>
          </w:p>
        </w:tc>
        <w:tc>
          <w:tcPr>
            <w:tcW w:w="2900" w:type="dxa"/>
            <w:tcBorders>
              <w:top w:val="single" w:color="DDDDDD" w:sz="6" w:space="0"/>
              <w:left w:val="nil"/>
              <w:bottom w:val="single" w:color="DDDDDD" w:sz="6" w:space="0"/>
              <w:right w:val="single" w:color="DDDDDD" w:sz="6" w:space="0"/>
            </w:tcBorders>
            <w:shd w:val="clear" w:color="auto" w:fill="FFFFFF"/>
            <w:tcMar>
              <w:top w:w="105" w:type="dxa"/>
              <w:left w:w="150" w:type="dxa"/>
              <w:bottom w:w="105" w:type="dxa"/>
              <w:right w:w="150" w:type="dxa"/>
            </w:tcMar>
            <w:vAlign w:val="center"/>
          </w:tcPr>
          <w:p>
            <w:pPr>
              <w:pStyle w:val="23"/>
              <w:widowControl w:val="1"/>
              <w:numPr>
                <w:ilvl w:val="255"/>
                <w:numId w:val="0"/>
              </w:numPr>
              <w:spacing w:before="90" w:after="90" w:line="260" w:lineRule="auto"/>
              <w:jc w:val="left"/>
              <w:rPr>
                <w:rFonts w:ascii="Times New Roman" w:hAnsi="Times New Roman" w:eastAsia="仿宋" w:cs="Arial"/>
                <w:sz w:val="20"/>
                <w:szCs w:val="20"/>
              </w:rPr>
              <w:keepNext w:val="1"/>
            </w:pPr>
            <w:r>
              <w:rPr>
                <w:rFonts w:ascii="Times New Roman" w:hAnsi="Times New Roman" w:eastAsia="华文仿宋"/>
                <w:sz w:val="20"/>
                <w:szCs w:val="20"/>
                <w:color w:val="000000"/>
              </w:rPr>
              <w:t>运行排查；设备本机</w:t>
            </w:r>
          </w:p>
        </w:tc>
        <w:tc>
          <w:tcPr>
            <w:tcW w:w="1556" w:type="dxa"/>
            <w:tcBorders>
              <w:top w:val="single" w:color="DDDDDD" w:sz="6" w:space="0"/>
              <w:left w:val="nil"/>
              <w:bottom w:val="single" w:color="DDDDDD" w:sz="6" w:space="0"/>
              <w:right w:val="single" w:color="DDDDDD" w:sz="6" w:space="0"/>
            </w:tcBorders>
            <w:shd w:val="clear" w:color="auto" w:fill="FFFFFF"/>
            <w:vAlign w:val="center"/>
          </w:tcPr>
          <w:p>
            <w:pPr>
              <w:widowControl w:val="1"/>
              <w:spacing w:before="90" w:after="90" w:line="260" w:lineRule="auto"/>
              <w:jc w:val="left"/>
              <w:rPr>
                <w:rFonts w:ascii="Times New Roman" w:hAnsi="Times New Roman" w:eastAsia="仿宋" w:cs="Arial"/>
                <w:sz w:val="20"/>
                <w:szCs w:val="20"/>
              </w:rPr>
              <w:keepNext w:val="1"/>
            </w:pPr>
            <w:r>
              <w:rPr>
                <w:rFonts w:ascii="Times New Roman" w:hAnsi="Times New Roman" w:eastAsia="华文仿宋"/>
                <w:sz w:val="20"/>
                <w:szCs w:val="20"/>
                <w:color w:val="000000"/>
              </w:rPr>
              <w:t>不会自动上传</w:t>
            </w:r>
          </w:p>
        </w:tc>
      </w:tr>
      <w:tr>
        <w:trPr>
          <w:cantSplit/>
        </w:trPr>
        <w:tc>
          <w:tcPr>
            <w:tcW w:w="1350" w:type="dxa"/>
            <w:tcBorders>
              <w:top w:val="single" w:color="DDDDDD" w:sz="6" w:space="0"/>
              <w:left w:val="single" w:color="DDDDDD" w:sz="6" w:space="0"/>
              <w:bottom w:val="single" w:color="DDDDDD" w:sz="6" w:space="0"/>
              <w:right w:val="single" w:color="DDDDDD" w:sz="6" w:space="0"/>
            </w:tcBorders>
            <w:shd w:val="clear" w:color="auto" w:fill="FFFFFF"/>
            <w:tcMar>
              <w:top w:w="105" w:type="dxa"/>
              <w:left w:w="150" w:type="dxa"/>
              <w:bottom w:w="105" w:type="dxa"/>
              <w:right w:w="150" w:type="dxa"/>
            </w:tcMar>
            <w:vAlign w:val="center"/>
          </w:tcPr>
          <w:p>
            <w:pPr>
              <w:widowControl w:val="1"/>
              <w:spacing w:before="90" w:after="90" w:line="260" w:lineRule="auto"/>
              <w:jc w:val="left"/>
              <w:rPr>
                <w:rFonts w:ascii="Times New Roman" w:hAnsi="Times New Roman" w:eastAsia="仿宋" w:cs="Arial"/>
                <w:sz w:val="20"/>
                <w:szCs w:val="20"/>
              </w:rPr>
              <w:keepNext w:val="1"/>
            </w:pPr>
            <w:r>
              <w:rPr>
                <w:rFonts w:ascii="Times New Roman" w:hAnsi="Times New Roman" w:eastAsia="华文仿宋"/>
                <w:sz w:val="20"/>
                <w:szCs w:val="20"/>
                <w:color w:val="000000"/>
              </w:rPr>
              <w:t>主动联机</w:t>
            </w:r>
          </w:p>
        </w:tc>
        <w:tc>
          <w:tcPr>
            <w:tcW w:w="2500" w:type="dxa"/>
            <w:tcBorders>
              <w:top w:val="single" w:color="DDDDDD" w:sz="6" w:space="0"/>
              <w:left w:val="nil"/>
              <w:bottom w:val="single" w:color="DDDDDD" w:sz="6" w:space="0"/>
              <w:right w:val="single" w:color="DDDDDD" w:sz="6" w:space="0"/>
            </w:tcBorders>
            <w:shd w:val="clear" w:color="auto" w:fill="FFFFFF"/>
            <w:tcMar>
              <w:top w:w="105" w:type="dxa"/>
              <w:left w:w="150" w:type="dxa"/>
              <w:bottom w:w="105" w:type="dxa"/>
              <w:right w:w="150" w:type="dxa"/>
            </w:tcMar>
            <w:vAlign w:val="center"/>
          </w:tcPr>
          <w:p>
            <w:pPr>
              <w:pStyle w:val="23"/>
              <w:widowControl w:val="1"/>
              <w:numPr>
                <w:ilvl w:val="255"/>
                <w:numId w:val="0"/>
              </w:numPr>
              <w:spacing w:before="90" w:after="90" w:line="260" w:lineRule="auto"/>
              <w:ind w:firstLine="400" w:firstLineChars="200"/>
              <w:jc w:val="left"/>
              <w:rPr>
                <w:rFonts w:hint="default" w:ascii="Times New Roman" w:hAnsi="Times New Roman" w:eastAsia="仿宋" w:cs="Arial"/>
                <w:kern w:val="0"/>
                <w:sz w:val="20"/>
                <w:szCs w:val="20"/>
                <w:lang w:val="en-US" w:eastAsia="zh-CN"/>
              </w:rPr>
              <w:keepNext w:val="1"/>
            </w:pPr>
            <w:r>
              <w:rPr>
                <w:rFonts w:ascii="Times New Roman" w:hAnsi="Times New Roman" w:eastAsia="华文仿宋"/>
                <w:sz w:val="20"/>
                <w:szCs w:val="20"/>
                <w:color w:val="000000"/>
              </w:rPr>
              <w:t>随机匿名身份、构筑、匹配/房间信息、指令、战局与结果</w:t>
            </w:r>
          </w:p>
        </w:tc>
        <w:tc>
          <w:tcPr>
            <w:tcW w:w="2900" w:type="dxa"/>
            <w:tcBorders>
              <w:top w:val="single" w:color="DDDDDD" w:sz="6" w:space="0"/>
              <w:left w:val="nil"/>
              <w:bottom w:val="single" w:color="DDDDDD" w:sz="6" w:space="0"/>
              <w:right w:val="single" w:color="DDDDDD" w:sz="6" w:space="0"/>
            </w:tcBorders>
            <w:shd w:val="clear" w:color="auto" w:fill="FFFFFF"/>
            <w:tcMar>
              <w:top w:w="105" w:type="dxa"/>
              <w:left w:w="150" w:type="dxa"/>
              <w:bottom w:w="105" w:type="dxa"/>
              <w:right w:w="150" w:type="dxa"/>
            </w:tcMar>
            <w:vAlign w:val="center"/>
          </w:tcPr>
          <w:p>
            <w:pPr>
              <w:pStyle w:val="23"/>
              <w:widowControl w:val="1"/>
              <w:numPr>
                <w:ilvl w:val="255"/>
                <w:numId w:val="0"/>
              </w:numPr>
              <w:spacing w:before="90" w:after="90" w:line="260" w:lineRule="auto"/>
              <w:jc w:val="left"/>
              <w:rPr>
                <w:rFonts w:ascii="Times New Roman" w:hAnsi="Times New Roman" w:eastAsia="仿宋" w:cs="Arial"/>
                <w:sz w:val="20"/>
                <w:szCs w:val="20"/>
              </w:rPr>
              <w:keepNext w:val="1"/>
            </w:pPr>
            <w:r>
              <w:rPr>
                <w:rFonts w:ascii="Times New Roman" w:hAnsi="Times New Roman" w:eastAsia="华文仿宋"/>
                <w:sz w:val="20"/>
                <w:szCs w:val="20"/>
                <w:color w:val="000000"/>
              </w:rPr>
              <w:t>匹配、对战裁判与原局恢复；所选服务端</w:t>
            </w:r>
          </w:p>
        </w:tc>
        <w:tc>
          <w:tcPr>
            <w:tcW w:w="1556" w:type="dxa"/>
            <w:tcBorders>
              <w:top w:val="single" w:color="DDDDDD" w:sz="6" w:space="0"/>
              <w:left w:val="nil"/>
              <w:bottom w:val="single" w:color="DDDDDD" w:sz="6" w:space="0"/>
              <w:right w:val="single" w:color="DDDDDD" w:sz="6" w:space="0"/>
            </w:tcBorders>
            <w:shd w:val="clear" w:color="auto" w:fill="FFFFFF"/>
            <w:vAlign w:val="center"/>
          </w:tcPr>
          <w:p>
            <w:pPr>
              <w:widowControl w:val="1"/>
              <w:spacing w:before="90" w:after="90" w:line="260" w:lineRule="auto"/>
              <w:jc w:val="left"/>
              <w:rPr>
                <w:rFonts w:ascii="Times New Roman" w:hAnsi="Times New Roman" w:eastAsia="仿宋" w:cs="Arial"/>
                <w:sz w:val="20"/>
                <w:szCs w:val="20"/>
              </w:rPr>
              <w:keepNext w:val="1"/>
            </w:pPr>
            <w:r>
              <w:rPr>
                <w:rFonts w:ascii="Times New Roman" w:hAnsi="Times New Roman" w:eastAsia="华文仿宋"/>
                <w:sz w:val="20"/>
                <w:szCs w:val="20"/>
                <w:color w:val="000000"/>
              </w:rPr>
              <w:t>选择连接后传输给所选服务器</w:t>
            </w:r>
          </w:p>
        </w:tc>
      </w:tr>
      <w:tr>
        <w:trPr>
          <w:cantSplit/>
        </w:trPr>
        <w:tc>
          <w:tcPr>
            <w:tcW w:w="1350" w:type="dxa"/>
            <w:tcBorders>
              <w:top w:val="single" w:color="DDDDDD" w:sz="6" w:space="0"/>
              <w:left w:val="single" w:color="DDDDDD" w:sz="6" w:space="0"/>
              <w:bottom w:val="single" w:color="DDDDDD" w:sz="6" w:space="0"/>
              <w:right w:val="single" w:color="DDDDDD" w:sz="6" w:space="0"/>
            </w:tcBorders>
            <w:shd w:val="clear" w:color="auto" w:fill="FFFFFF"/>
            <w:tcMar>
              <w:top w:w="105" w:type="dxa"/>
              <w:left w:w="150" w:type="dxa"/>
              <w:bottom w:w="105" w:type="dxa"/>
              <w:right w:w="150" w:type="dxa"/>
            </w:tcMar>
            <w:vAlign w:val="center"/>
          </w:tcPr>
          <w:p>
            <w:pPr>
              <w:widowControl w:val="1"/>
              <w:spacing w:before="90" w:after="90" w:line="260" w:lineRule="auto"/>
              <w:jc w:val="left"/>
              <w:rPr>
                <w:rFonts w:ascii="Times New Roman" w:hAnsi="Times New Roman" w:eastAsia="仿宋" w:cs="Arial"/>
                <w:sz w:val="20"/>
                <w:szCs w:val="20"/>
              </w:rPr>
              <w:keepNext w:val="1"/>
            </w:pPr>
            <w:r>
              <w:rPr>
                <w:rFonts w:ascii="Times New Roman" w:hAnsi="Times New Roman" w:eastAsia="华文仿宋"/>
                <w:sz w:val="20"/>
                <w:szCs w:val="20"/>
                <w:color w:val="000000"/>
              </w:rPr>
              <w:t>主动联系</w:t>
            </w:r>
          </w:p>
        </w:tc>
        <w:tc>
          <w:tcPr>
            <w:tcW w:w="2500" w:type="dxa"/>
            <w:tcBorders>
              <w:top w:val="single" w:color="DDDDDD" w:sz="6" w:space="0"/>
              <w:left w:val="nil"/>
              <w:bottom w:val="single" w:color="DDDDDD" w:sz="6" w:space="0"/>
              <w:right w:val="single" w:color="DDDDDD" w:sz="6" w:space="0"/>
            </w:tcBorders>
            <w:shd w:val="clear" w:color="auto" w:fill="FFFFFF"/>
            <w:tcMar>
              <w:top w:w="105" w:type="dxa"/>
              <w:left w:w="150" w:type="dxa"/>
              <w:bottom w:w="105" w:type="dxa"/>
              <w:right w:w="150" w:type="dxa"/>
            </w:tcMar>
            <w:vAlign w:val="center"/>
          </w:tcPr>
          <w:p>
            <w:pPr>
              <w:pStyle w:val="23"/>
              <w:widowControl w:val="1"/>
              <w:numPr>
                <w:ilvl w:val="255"/>
                <w:numId w:val="0"/>
              </w:numPr>
              <w:spacing w:before="90" w:after="90" w:line="260" w:lineRule="auto"/>
              <w:ind w:firstLine="400" w:firstLineChars="200"/>
              <w:jc w:val="left"/>
              <w:rPr>
                <w:rFonts w:hint="default" w:ascii="Times New Roman" w:hAnsi="Times New Roman" w:eastAsia="仿宋" w:cs="Arial"/>
                <w:kern w:val="0"/>
                <w:sz w:val="20"/>
                <w:szCs w:val="20"/>
                <w:lang w:val="en-US" w:eastAsia="zh-CN"/>
              </w:rPr>
              <w:keepNext w:val="1"/>
            </w:pPr>
            <w:r>
              <w:rPr>
                <w:rFonts w:ascii="Times New Roman" w:hAnsi="Times New Roman" w:eastAsia="华文仿宋"/>
                <w:sz w:val="20"/>
                <w:szCs w:val="20"/>
                <w:color w:val="000000"/>
              </w:rPr>
              <w:t>邮件地址、咨询内容、您主动发送的附件</w:t>
            </w:r>
          </w:p>
        </w:tc>
        <w:tc>
          <w:tcPr>
            <w:tcW w:w="2900" w:type="dxa"/>
            <w:tcBorders>
              <w:top w:val="single" w:color="DDDDDD" w:sz="6" w:space="0"/>
              <w:left w:val="nil"/>
              <w:bottom w:val="single" w:color="DDDDDD" w:sz="6" w:space="0"/>
              <w:right w:val="single" w:color="DDDDDD" w:sz="6" w:space="0"/>
            </w:tcBorders>
            <w:shd w:val="clear" w:color="auto" w:fill="FFFFFF"/>
            <w:tcMar>
              <w:top w:w="105" w:type="dxa"/>
              <w:left w:w="150" w:type="dxa"/>
              <w:bottom w:w="105" w:type="dxa"/>
              <w:right w:w="150" w:type="dxa"/>
            </w:tcMar>
            <w:vAlign w:val="center"/>
          </w:tcPr>
          <w:p>
            <w:pPr>
              <w:pStyle w:val="23"/>
              <w:widowControl w:val="1"/>
              <w:numPr>
                <w:ilvl w:val="255"/>
                <w:numId w:val="0"/>
              </w:numPr>
              <w:spacing w:before="90" w:after="90" w:line="260" w:lineRule="auto"/>
              <w:jc w:val="left"/>
              <w:rPr>
                <w:rFonts w:ascii="Times New Roman" w:hAnsi="Times New Roman" w:eastAsia="仿宋" w:cs="Arial"/>
                <w:sz w:val="20"/>
                <w:szCs w:val="20"/>
              </w:rPr>
              <w:keepNext w:val="1"/>
            </w:pPr>
            <w:r>
              <w:rPr>
                <w:rFonts w:ascii="Times New Roman" w:hAnsi="Times New Roman" w:eastAsia="华文仿宋"/>
                <w:sz w:val="20"/>
                <w:szCs w:val="20"/>
                <w:color w:val="000000"/>
              </w:rPr>
              <w:t>答复、排查问题和处理隐私请求；联系渠道</w:t>
            </w:r>
          </w:p>
        </w:tc>
        <w:tc>
          <w:tcPr>
            <w:tcW w:w="1556" w:type="dxa"/>
            <w:tcBorders>
              <w:top w:val="single" w:color="DDDDDD" w:sz="6" w:space="0"/>
              <w:left w:val="nil"/>
              <w:bottom w:val="single" w:color="DDDDDD" w:sz="6" w:space="0"/>
              <w:right w:val="single" w:color="DDDDDD" w:sz="6" w:space="0"/>
            </w:tcBorders>
            <w:shd w:val="clear" w:color="auto" w:fill="FFFFFF"/>
            <w:vAlign w:val="center"/>
          </w:tcPr>
          <w:p>
            <w:pPr>
              <w:widowControl w:val="1"/>
              <w:spacing w:before="90" w:after="90" w:line="260" w:lineRule="auto"/>
              <w:jc w:val="left"/>
              <w:rPr>
                <w:rFonts w:ascii="Times New Roman" w:hAnsi="Times New Roman" w:eastAsia="仿宋" w:cs="Arial"/>
                <w:sz w:val="20"/>
                <w:szCs w:val="20"/>
              </w:rPr>
              <w:keepNext w:val="1"/>
            </w:pPr>
            <w:r>
              <w:rPr>
                <w:rFonts w:ascii="Times New Roman" w:hAnsi="Times New Roman" w:eastAsia="华文仿宋"/>
                <w:sz w:val="20"/>
                <w:szCs w:val="20"/>
                <w:color w:val="000000"/>
              </w:rPr>
              <w:t>仅在您主动发送时</w:t>
            </w:r>
          </w:p>
        </w:tc>
      </w:tr>
      <w:tr>
        <w:trPr>
          <w:cantSplit/>
        </w:trPr>
        <w:tc>
          <w:tcPr>
            <w:tcW w:w="1350" w:type="dxa"/>
            <w:tcBorders>
              <w:top w:val="single" w:color="DDDDDD" w:sz="6" w:space="0"/>
              <w:left w:val="single" w:color="DDDDDD" w:sz="6" w:space="0"/>
              <w:bottom w:val="single" w:color="DDDDDD" w:sz="6" w:space="0"/>
              <w:right w:val="single" w:color="DDDDDD" w:sz="6" w:space="0"/>
            </w:tcBorders>
            <w:shd w:val="clear" w:color="auto" w:fill="FFFFFF"/>
            <w:tcMar>
              <w:top w:w="105" w:type="dxa"/>
              <w:left w:w="150" w:type="dxa"/>
              <w:bottom w:w="105" w:type="dxa"/>
              <w:right w:w="150" w:type="dxa"/>
            </w:tcMar>
            <w:vAlign w:val="center"/>
          </w:tcPr>
          <w:p>
            <w:pPr>
              <w:widowControl w:val="1"/>
              <w:spacing w:before="90" w:after="90" w:line="260" w:lineRule="auto"/>
              <w:jc w:val="left"/>
              <w:rPr>
                <w:rFonts w:ascii="Times New Roman" w:hAnsi="Times New Roman" w:eastAsia="仿宋" w:cs="Arial"/>
                <w:sz w:val="20"/>
                <w:szCs w:val="20"/>
              </w:rPr>
            </w:pPr>
            <w:r>
              <w:rPr>
                <w:rFonts w:ascii="Times New Roman" w:hAnsi="Times New Roman" w:eastAsia="华文仿宋"/>
                <w:sz w:val="20"/>
                <w:szCs w:val="20"/>
                <w:color w:val="000000"/>
              </w:rPr>
              <w:t>阅读网页</w:t>
            </w:r>
          </w:p>
        </w:tc>
        <w:tc>
          <w:tcPr>
            <w:tcW w:w="2500" w:type="dxa"/>
            <w:tcBorders>
              <w:top w:val="single" w:color="DDDDDD" w:sz="6" w:space="0"/>
              <w:left w:val="nil"/>
              <w:bottom w:val="single" w:color="DDDDDD" w:sz="6" w:space="0"/>
              <w:right w:val="single" w:color="DDDDDD" w:sz="6" w:space="0"/>
            </w:tcBorders>
            <w:shd w:val="clear" w:color="auto" w:fill="FFFFFF"/>
            <w:tcMar>
              <w:top w:w="105" w:type="dxa"/>
              <w:left w:w="150" w:type="dxa"/>
              <w:bottom w:w="105" w:type="dxa"/>
              <w:right w:w="150" w:type="dxa"/>
            </w:tcMar>
            <w:vAlign w:val="center"/>
          </w:tcPr>
          <w:p>
            <w:pPr>
              <w:pStyle w:val="23"/>
              <w:widowControl w:val="1"/>
              <w:numPr>
                <w:ilvl w:val="255"/>
                <w:numId w:val="0"/>
              </w:numPr>
              <w:spacing w:before="90" w:after="90" w:line="260" w:lineRule="auto"/>
              <w:ind w:firstLine="400" w:firstLineChars="200"/>
              <w:jc w:val="left"/>
              <w:rPr>
                <w:rFonts w:hint="default" w:ascii="Times New Roman" w:hAnsi="Times New Roman" w:eastAsia="仿宋" w:cs="Arial"/>
                <w:kern w:val="0"/>
                <w:sz w:val="20"/>
                <w:szCs w:val="20"/>
                <w:lang w:val="en-US" w:eastAsia="zh-CN"/>
              </w:rPr>
            </w:pPr>
            <w:r>
              <w:rPr>
                <w:rFonts w:ascii="Times New Roman" w:hAnsi="Times New Roman" w:eastAsia="华文仿宋"/>
                <w:sz w:val="20"/>
                <w:szCs w:val="20"/>
                <w:color w:val="000000"/>
              </w:rPr>
              <w:t>IP、请求地址和时间、请求头、由 IP 推断的大致地域等技术信息</w:t>
            </w:r>
          </w:p>
        </w:tc>
        <w:tc>
          <w:tcPr>
            <w:tcW w:w="2900" w:type="dxa"/>
            <w:tcBorders>
              <w:top w:val="single" w:color="DDDDDD" w:sz="6" w:space="0"/>
              <w:left w:val="nil"/>
              <w:bottom w:val="single" w:color="DDDDDD" w:sz="6" w:space="0"/>
              <w:right w:val="single" w:color="DDDDDD" w:sz="6" w:space="0"/>
            </w:tcBorders>
            <w:shd w:val="clear" w:color="auto" w:fill="FFFFFF"/>
            <w:tcMar>
              <w:top w:w="105" w:type="dxa"/>
              <w:left w:w="150" w:type="dxa"/>
              <w:bottom w:w="105" w:type="dxa"/>
              <w:right w:w="150" w:type="dxa"/>
            </w:tcMar>
            <w:vAlign w:val="center"/>
          </w:tcPr>
          <w:p>
            <w:pPr>
              <w:pStyle w:val="23"/>
              <w:widowControl w:val="1"/>
              <w:numPr>
                <w:ilvl w:val="255"/>
                <w:numId w:val="0"/>
              </w:numPr>
              <w:spacing w:before="90" w:after="90" w:line="260" w:lineRule="auto"/>
              <w:jc w:val="left"/>
              <w:rPr>
                <w:rFonts w:ascii="Times New Roman" w:hAnsi="Times New Roman" w:eastAsia="仿宋" w:cs="Arial"/>
                <w:sz w:val="20"/>
                <w:szCs w:val="20"/>
              </w:rPr>
            </w:pPr>
            <w:r>
              <w:rPr>
                <w:rFonts w:ascii="Times New Roman" w:hAnsi="Times New Roman" w:eastAsia="华文仿宋"/>
                <w:sz w:val="20"/>
                <w:szCs w:val="20"/>
                <w:color w:val="000000"/>
              </w:rPr>
              <w:t>网页交付、故障和安全防护；Vercel</w:t>
            </w:r>
          </w:p>
        </w:tc>
        <w:tc>
          <w:tcPr>
            <w:tcW w:w="1556" w:type="dxa"/>
            <w:tcBorders>
              <w:top w:val="single" w:color="DDDDDD" w:sz="6" w:space="0"/>
              <w:left w:val="nil"/>
              <w:bottom w:val="single" w:color="DDDDDD" w:sz="6" w:space="0"/>
              <w:right w:val="single" w:color="DDDDDD" w:sz="6" w:space="0"/>
            </w:tcBorders>
            <w:shd w:val="clear" w:color="auto" w:fill="FFFFFF"/>
            <w:vAlign w:val="center"/>
          </w:tcPr>
          <w:p>
            <w:pPr>
              <w:widowControl w:val="1"/>
              <w:spacing w:before="90" w:after="90" w:line="260" w:lineRule="auto"/>
              <w:jc w:val="left"/>
              <w:rPr>
                <w:rFonts w:ascii="Times New Roman" w:hAnsi="Times New Roman" w:eastAsia="仿宋" w:cs="Arial"/>
                <w:sz w:val="20"/>
                <w:szCs w:val="20"/>
              </w:rPr>
            </w:pPr>
            <w:r>
              <w:rPr>
                <w:rFonts w:ascii="Times New Roman" w:hAnsi="Times New Roman" w:eastAsia="华文仿宋"/>
                <w:sz w:val="20"/>
                <w:szCs w:val="20"/>
                <w:color w:val="000000"/>
              </w:rPr>
              <w:t>由网站托管服务处理</w:t>
            </w:r>
          </w:p>
        </w:tc>
      </w:tr>
    </w:tbl>
    <w:p>
      <w:pPr>
        <w:pStyle w:val="19"/>
        <w:adjustRightInd w:val="0"/>
        <w:snapToGrid w:val="0"/>
        <w:spacing w:after="156" w:afterLines="50" w:line="360" w:lineRule="auto"/>
        <w:ind w:firstLineChars="0"/>
        <w:rPr>
          <w:rFonts w:ascii="Times New Roman" w:hAnsi="Times New Roman" w:eastAsia="华文仿宋" w:cs="Times New Roman"/>
          <w:b/>
          <w:bCs/>
        </w:rPr>
        <w:widowControl w:val="1"/>
        <w:keepNext w:val="1"/>
      </w:pPr>
      <w:r>
        <w:rPr>
          <w:rFonts w:hint="eastAsia" w:ascii="Times New Roman" w:hAnsi="Times New Roman" w:eastAsia="华文仿宋" w:cs="Times New Roman"/>
          <w:b/>
          <w:bCs/>
          <w:lang w:val="en-US" w:eastAsia="zh-CN"/>
          <w:color w:val="000000"/>
        </w:rPr>
        <w:t xml:space="preserve">2 可选联机与断线恢复</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您在联机菜单填写服务器地址并选择连接、创建房间或自由匹配时，客户端生成随机安装身份密钥并向该服务器验证，取得匿名玩家编号和短期访问令牌。密钥不是 IMEI、MAC、广告标识符或跨应用设备指纹；不同服务器分别保存身份凭据。首次连接会处理这些信息，您可选择只玩单机而不连接。已连接过的地址会保存在本机；存在尚未结束的在线对局时，重新启动应用会自动联系该服务器恢复原局。</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联机服务处理匿名玩家编号、房间码、席位、准备状态、英雄与技能/遗物/天赋构筑、匹配等待时间、对局编号、指令与序号、模拟时间、战斗状态检查点及结果。服务器裁判需要处理双方完整对战状态以核算资源、攻击与时代升级；发送给对手的订阅会过滤您的私有资源、队列和私有冷却。在线比赛的对手可见必要的匿名编号、公开构筑、时代、场上单位、基地与胜负；本版没有文字聊天、通讯录、好友关系或真实姓名展示。</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网络通信会使所选服务器及必要网络基础设施接触来源 IP、连接时间和必要协议数据。随本项目提供的网关对来源地址的限流标识只在内存短期保存，默认应用日志不输出身份密钥、访问令牌或完整指令正文；自行配置的代理访问日志、监控、备份或其他服务由实际运营者说明。Windows 和 Android 单机进度与单机存档不因选择联机而上传，线上比赛也不上传您的本机历史战绩。</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联机只向您选择的服务器发送必要数据，不提供游戏内注册表单或单机云存档。联机菜单提供本政策链接及匿名身份用途说明。公网地址须为 HTTPS 并通过 WSS 传输战局；本机或私有局域网 HTTP 连接未额外加密，请仅在您信任的网络使用。结束对局后可停止联机使用；切换或清除服务器地址不等于删除该服务器已经保存的数据。</w:t>
      </w:r>
    </w:p>
    <w:p>
      <w:pPr>
        <w:pStyle w:val="19"/>
        <w:adjustRightInd w:val="0"/>
        <w:snapToGrid w:val="0"/>
        <w:spacing w:after="156" w:afterLines="50" w:line="360" w:lineRule="auto"/>
        <w:ind w:firstLineChars="0"/>
        <w:rPr>
          <w:rFonts w:ascii="Times New Roman" w:hAnsi="Times New Roman" w:eastAsia="华文仿宋" w:cs="Times New Roman"/>
          <w:b/>
          <w:bCs/>
        </w:rPr>
        <w:widowControl w:val="1"/>
        <w:keepNext w:val="1"/>
      </w:pPr>
      <w:r>
        <w:rPr>
          <w:rFonts w:hint="eastAsia" w:ascii="Times New Roman" w:hAnsi="Times New Roman" w:eastAsia="华文仿宋" w:cs="Times New Roman"/>
          <w:b/>
          <w:bCs/>
          <w:lang w:val="en-US" w:eastAsia="zh-CN"/>
          <w:color w:val="000000"/>
        </w:rPr>
        <w:t xml:space="preserve">3 主动联系与问题反馈</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您通过隐私联系邮箱发送问题时，我们会接收您的邮件地址、联系内容及您主动发送的截图、日志或存档附件，并仅用于回复、问题排查或落实您的权利。提供附件并非游玩游戏的条件。请先删去附件中的姓名、账号、其他应用内容、设备用户名和路径等与问题无关的信息；不要发送身份证件、支付信息或密码。</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我们不会自动获取整份存档或设备诊断日志。如排查需要进一步信息，我们会先说明用途和范围，您可以拒绝提供，拒绝不会影响离线游玩。您也可以仅咨询而不发送附件。</w:t>
      </w:r>
    </w:p>
    <w:p>
      <w:pPr>
        <w:pStyle w:val="19"/>
        <w:adjustRightInd w:val="0"/>
        <w:snapToGrid w:val="0"/>
        <w:spacing w:after="156" w:afterLines="50" w:line="360" w:lineRule="auto"/>
        <w:ind w:firstLineChars="0"/>
        <w:rPr>
          <w:rFonts w:ascii="Times New Roman" w:hAnsi="Times New Roman" w:eastAsia="华文仿宋" w:cs="Times New Roman"/>
          <w:b/>
          <w:bCs/>
        </w:rPr>
        <w:widowControl w:val="1"/>
        <w:keepNext w:val="1"/>
      </w:pPr>
      <w:r>
        <w:rPr>
          <w:rFonts w:hint="eastAsia" w:ascii="Times New Roman" w:hAnsi="Times New Roman" w:eastAsia="华文仿宋" w:cs="Times New Roman"/>
          <w:b/>
          <w:bCs/>
          <w:lang w:val="en-US" w:eastAsia="zh-CN"/>
          <w:color w:val="000000"/>
        </w:rPr>
        <w:t xml:space="preserve">4 隐私网页的网络请求</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您使用浏览器访问本政策网页时，浏览器会向 Vercel 托管服务发出请求。为传输页面和防范攻击，服务会处理 IP 地址、请求时间、请求 URL、浏览器发送的请求头及系统配置等技术信息，并可能依据 IP 推断城市或国家等大致地域；这不是游戏获取 GPS 精确定位。页面未启用 Vercel Web Analytics、Speed Insights、广告追踪或其他访问统计脚本，也不提供收集信息的在线表单。</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只在您打开网页时发生上述网络处理；离线启动游戏不等同于访问网页。请勿把个人信息写入网页 URL 查询参数。网站访问技术信息不会与您的游戏进度、阵容或战绩关联。</w:t>
      </w:r>
    </w:p>
    <w:p>
      <w:pPr>
        <w:pStyle w:val="19"/>
        <w:adjustRightInd w:val="0"/>
        <w:snapToGrid w:val="0"/>
        <w:spacing w:after="156" w:afterLines="50" w:line="360" w:lineRule="auto"/>
        <w:ind w:firstLineChars="0"/>
        <w:rPr>
          <w:rFonts w:ascii="Times New Roman" w:hAnsi="Times New Roman" w:eastAsia="华文仿宋" w:cs="Times New Roman"/>
          <w:b/>
          <w:bCs/>
        </w:rPr>
        <w:widowControl w:val="1"/>
        <w:keepNext w:val="1"/>
      </w:pPr>
      <w:r>
        <w:rPr>
          <w:rFonts w:hint="eastAsia" w:ascii="Times New Roman" w:hAnsi="Times New Roman" w:eastAsia="华文仿宋" w:cs="Times New Roman"/>
          <w:b/>
          <w:bCs/>
          <w:lang w:val="en-US" w:eastAsia="zh-CN"/>
          <w:color w:val="000000"/>
        </w:rPr>
        <w:t xml:space="preserve">5 权限及当前未开展的处理</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Android 0.8.1 发布包声明 INTERNET 网络权限，仅用于您选择的联机服务器通信；这是系统正常权限，没有运行时授权弹窗。未声明定位、相机、麦克风、通讯录、电话状态或共享存储读取权限。应用只在自己的私有目录读写文件，并通过 Android Keystore 保护匿名身份密钥。Windows 版使用原生网络与本机文件能力，以及当前 Windows 用户的 DPAPI 保护身份密钥。</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本版联机使用随机匿名身份，不要求姓名、手机号、邮箱、身份证件、社交账号或实名认证信息；不采集联系人、照片、录音、精确位置、IMEI、IMSI、MAC、OAID 或广告标识符。游戏没有充值支付、广告、个性化营销、行为统计、自动上传崩溃日志或单机云存档服务。</w:t>
      </w:r>
    </w:p>
    <w:p>
      <w:pPr>
        <w:pStyle w:val="19"/>
        <w:adjustRightInd w:val="0"/>
        <w:snapToGrid w:val="0"/>
        <w:spacing w:after="156" w:afterLines="50" w:line="360" w:lineRule="auto"/>
        <w:ind w:firstLineChars="0"/>
        <w:rPr>
          <w:rFonts w:ascii="Times New Roman" w:hAnsi="Times New Roman" w:eastAsia="华文仿宋" w:cs="Times New Roman"/>
          <w:b/>
          <w:bCs/>
        </w:rPr>
        <w:widowControl w:val="1"/>
        <w:keepNext w:val="1"/>
      </w:pPr>
      <w:r>
        <w:rPr>
          <w:rFonts w:hint="eastAsia" w:ascii="Times New Roman" w:hAnsi="Times New Roman" w:eastAsia="华文仿宋" w:cs="Times New Roman"/>
          <w:b/>
          <w:bCs/>
          <w:lang w:val="en-US" w:eastAsia="zh-CN"/>
          <w:color w:val="000000"/>
        </w:rPr>
        <w:t xml:space="preserve">6 使用依据与目的限制</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本机文件用于离线进度、设置与本机恢复；您主动选择联机时的必要信息用于匿名身份验证、匹配、服务端裁判、反重复指令和原局恢复；自愿发送的联系信息用于处理对应咨询或权利请求；网页技术信息用于交付与安全维护。我们不将这些信息用于广告画像、出售、自动化定价或 AI 模型训练。另作使用时会履行适用的告知与同意义务，无需同意的处理仅限法律明确规定的范围。</w:t>
      </w:r>
    </w:p>
    <w:p>
      <w:pPr>
        <w:pStyle w:val="19"/>
        <w:widowControl w:val="1"/>
        <w:adjustRightInd w:val="0"/>
        <w:snapToGrid w:val="0"/>
        <w:spacing w:before="0" w:after="156" w:afterLines="50" w:line="360" w:lineRule="auto"/>
        <w:ind w:left="0" w:firstLine="0" w:firstLineChars="0"/>
        <w:rPr>
          <w:rFonts w:ascii="Times New Roman" w:hAnsi="Times New Roman" w:eastAsia="华文仿宋" w:cs="Times New Roman"/>
          <w:b/>
          <w:bCs/>
          <w:kern w:val="0"/>
        </w:rPr>
        <w:keepNext w:val="1"/>
      </w:pPr>
      <w:r>
        <w:rPr>
          <w:rFonts w:ascii="Times New Roman" w:hAnsi="Times New Roman" w:eastAsia="华文仿宋" w:cs="Times New Roman"/>
          <w:b/>
          <w:bCs/>
          <w:kern w:val="0"/>
          <w:color w:val="000000"/>
        </w:rPr>
        <w:t xml:space="preserve">二 我们如何保存您的个人信息</w:t>
      </w:r>
    </w:p>
    <w:p>
      <w:pPr>
        <w:pStyle w:val="19"/>
        <w:adjustRightInd w:val="0"/>
        <w:snapToGrid w:val="0"/>
        <w:spacing w:after="156" w:afterLines="50" w:line="360" w:lineRule="auto"/>
        <w:ind w:firstLineChars="0"/>
        <w:rPr>
          <w:rFonts w:ascii="Times New Roman" w:hAnsi="Times New Roman" w:eastAsia="华文仿宋" w:cs="Times New Roman"/>
          <w:b/>
          <w:bCs/>
        </w:rPr>
        <w:widowControl w:val="1"/>
        <w:keepNext w:val="1"/>
      </w:pPr>
      <w:r>
        <w:rPr>
          <w:rFonts w:hint="eastAsia" w:ascii="Times New Roman" w:hAnsi="Times New Roman" w:eastAsia="华文仿宋" w:cs="Times New Roman"/>
          <w:b/>
          <w:bCs/>
          <w:lang w:val="en-US" w:eastAsia="zh-CN"/>
          <w:color w:val="000000"/>
        </w:rPr>
        <w:t xml:space="preserve">1 本机存储与期限</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本机进度和设置保存在 Godot 的应用数据目录中，主要文件为 profile.json、settings.json 和 match.json。写入时可能产生 .bak 备份及 .tmp 临时文件，供恢复写入或存档读取使用；它们也保存在本机，不是云备份。进度和设置会保留到您清除这些文件或应用数据；当前对局结束并完成结算后，对局存档及其备份、临时文件由游戏清除。引擎本机日志及轮替副本位于该目录的 logs 子目录，可与应用数据一起删除。</w:t>
      </w:r>
    </w:p>
    <w:p>
      <w:pPr>
        <w:pStyle w:val="19"/>
        <w:adjustRightInd w:val="0"/>
        <w:snapToGrid w:val="0"/>
        <w:spacing w:after="156" w:afterLines="50" w:line="360" w:lineRule="auto"/>
        <w:ind w:firstLineChars="0"/>
        <w:rPr>
          <w:rFonts w:ascii="Times New Roman" w:hAnsi="Times New Roman" w:eastAsia="华文仿宋" w:cs="Times New Roman"/>
          <w:b/>
          <w:bCs/>
        </w:rPr>
        <w:widowControl w:val="1"/>
        <w:keepNext w:val="1"/>
      </w:pPr>
      <w:r>
        <w:rPr>
          <w:rFonts w:hint="eastAsia" w:ascii="Times New Roman" w:hAnsi="Times New Roman" w:eastAsia="华文仿宋" w:cs="Times New Roman"/>
          <w:b/>
          <w:bCs/>
          <w:lang w:val="en-US" w:eastAsia="zh-CN"/>
          <w:color w:val="000000"/>
        </w:rPr>
        <w:t xml:space="preserve">2 联机身份与服务端保存</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客户端将服务器地址、联机构筑、当前在线对局编号及尚未确认指令序号保存在本机 online-session.json。Windows 匿名身份密钥存入 DPAPI 保护文件；Android 存入 Keystore 密钥保护的加密应用偏好。短期访问令牌只在客户端内存保存。清除应用数据、卸载或删除受保护凭据后，可能无法再证明原匿名身份，也无法取回原席位；本版没有跨设备找回或账号绑定功能。</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随本项目交付的服务端默认保存期限：访问令牌有效 15 分钟、一次性 WebSocket 票据有效 30 秒，过期后由定时任务清理；请求幂等记录保留 24 小时；已结束对局的指令、检查点、结果与关联房间最长保留 30 天；无活动关联且 90 天未使用的匿名身份进入定时清理。活动对局的数据保留到结束，以完成裁判与故障恢复。清理按分钟批次执行，并非到期瞬间物理擦除；法律另有要求时依法处理。</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官方联机服务器 https://jyqx-server.sidcloud.cn 位于新加坡，由 SIDcloud 运营；在线必要数据因此会传输至新加坡。单机进度仍留在本机。数据库使用独立账号和独立库；每日生成仅管理员可访问的本机备份，定时清理超过七天的备份，按每日任务执行可能保留至八天。服务诊断日志按大小和日期滚动，保留七份归档；不记录身份密钥、访问令牌或原始对战请求。代理访问日志关闭。自行部署或第三方服务器的位置、备份和日志规则由其运营者另行告知。隐私网页的 Vercel 托管地点与游戏服务器所在地是不同事项。</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Android 当前发布包的 allowBackup 为 false，未启用标准 Android 自动备份。本机目录保护依赖操作系统和设备安全，本机 JSON 存档没有另外加密。您自行复制、同步或交给设备厂商备份工具的副本，由您及所使用工具的规则决定；开发者不能远程删除这些副本。Windows 删除可执行文件或安装目录通常不会同时清除用户数据目录。</w:t>
      </w:r>
    </w:p>
    <w:p>
      <w:pPr>
        <w:pStyle w:val="19"/>
        <w:adjustRightInd w:val="0"/>
        <w:snapToGrid w:val="0"/>
        <w:spacing w:after="156" w:afterLines="50" w:line="360" w:lineRule="auto"/>
        <w:ind w:firstLineChars="0"/>
        <w:rPr>
          <w:rFonts w:ascii="Times New Roman" w:hAnsi="Times New Roman" w:eastAsia="华文仿宋" w:cs="Times New Roman"/>
          <w:b/>
          <w:bCs/>
        </w:rPr>
        <w:widowControl w:val="1"/>
        <w:keepNext w:val="1"/>
      </w:pPr>
      <w:r>
        <w:rPr>
          <w:rFonts w:hint="eastAsia" w:ascii="Times New Roman" w:hAnsi="Times New Roman" w:eastAsia="华文仿宋" w:cs="Times New Roman"/>
          <w:b/>
          <w:bCs/>
          <w:lang w:val="en-US" w:eastAsia="zh-CN"/>
          <w:color w:val="000000"/>
        </w:rPr>
        <w:t xml:space="preserve">3 主动联系信息的保存</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我们仅在解决咨询、处理故障或隐私请求所必需的最短期间保留您主动提供的信息。用途完成、不再必要或依法应删除时，我们将删除或对必要记录作匿名化处理，不将附件长期积累为玩家资料库。法律明确要求保留的记录，仅在法定期限内保存并限制其他使用。</w:t>
      </w:r>
    </w:p>
    <w:p>
      <w:pPr>
        <w:pStyle w:val="19"/>
        <w:adjustRightInd w:val="0"/>
        <w:snapToGrid w:val="0"/>
        <w:spacing w:after="156" w:afterLines="50" w:line="360" w:lineRule="auto"/>
        <w:ind w:firstLineChars="0"/>
        <w:rPr>
          <w:rFonts w:ascii="Times New Roman" w:hAnsi="Times New Roman" w:eastAsia="华文仿宋" w:cs="Times New Roman"/>
          <w:b/>
          <w:bCs/>
        </w:rPr>
        <w:widowControl w:val="1"/>
        <w:keepNext w:val="1"/>
      </w:pPr>
      <w:r>
        <w:rPr>
          <w:rFonts w:hint="eastAsia" w:ascii="Times New Roman" w:hAnsi="Times New Roman" w:eastAsia="华文仿宋" w:cs="Times New Roman"/>
          <w:b/>
          <w:bCs/>
          <w:lang w:val="en-US" w:eastAsia="zh-CN"/>
          <w:color w:val="000000"/>
        </w:rPr>
        <w:t xml:space="preserve">4 网页托管地点与第三方保存</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游戏存档留在您的设备；网站托管采用 Vercel 的全球基础设施，因此网站访问技术信息可能在美国或其他国家、地区处理或保存，不能承诺本网页相关信息全部保存在中国境内。Vercel 对相关技术和安全信息的保存规则以其公开隐私说明及适用服务条款为准；我们不在网页另建用户数据库，也不设置额外的访问日志采集服务。您可以通过第十节的联系方式请求我们说明或协助处理相关访问数据权利请求。</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邮箱及您主动使用的下载平台也可能使用不同地区的基础设施，具体受所用服务的条款约束。我们不会因为发布本隐私网页而将您的游戏存档传至境外；如以后确需由我们开展新增的个人信息跨境提供，会依法履行相应告知、单独同意及其他适用义务。</w:t>
      </w:r>
    </w:p>
    <w:p>
      <w:pPr>
        <w:pStyle w:val="19"/>
        <w:widowControl w:val="1"/>
        <w:adjustRightInd w:val="0"/>
        <w:snapToGrid w:val="0"/>
        <w:spacing w:before="0" w:after="156" w:afterLines="50" w:line="360" w:lineRule="auto"/>
        <w:ind w:left="0" w:firstLine="0" w:firstLineChars="0"/>
        <w:rPr>
          <w:rFonts w:ascii="Times New Roman" w:hAnsi="Times New Roman" w:eastAsia="华文仿宋" w:cs="Times New Roman"/>
          <w:b/>
          <w:bCs/>
          <w:kern w:val="0"/>
        </w:rPr>
        <w:keepNext w:val="1"/>
      </w:pPr>
      <w:r>
        <w:rPr>
          <w:rFonts w:ascii="Times New Roman" w:hAnsi="Times New Roman" w:eastAsia="华文仿宋" w:cs="Times New Roman"/>
          <w:b/>
          <w:bCs/>
          <w:kern w:val="0"/>
          <w:color w:val="000000"/>
        </w:rPr>
        <w:t xml:space="preserve">三 我们如何使用 Cookies 和同类技术</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当前原生游戏不使用浏览器 Cookies。游戏的 JSON 本机存档不是广告 Cookie，也不会跨应用跟踪您。</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本政策网页未设置营销或分析 Cookie，未使用网页 localStorage、设备指纹、跟踪像素或第三方统计脚本。网页没有登录功能；浏览器为显示网页而进行的正常缓存不属于我们的玩家档案。必要网络安全机制是否设置技术性标识及其处理方式，以托管服务实际行为和 Vercel 隐私说明为准。</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您可以在浏览器中清除网页缓存、Cookies 或限制相关技术，这不会删除原生游戏的存档。若您主动打开外部网站，其 Cookies 设置由该网站处理，可在浏览器及对应网站的隐私设置中管理。</w:t>
      </w:r>
    </w:p>
    <w:p>
      <w:pPr>
        <w:pStyle w:val="19"/>
        <w:widowControl w:val="1"/>
        <w:adjustRightInd w:val="0"/>
        <w:snapToGrid w:val="0"/>
        <w:spacing w:before="0" w:after="156" w:afterLines="50" w:line="360" w:lineRule="auto"/>
        <w:ind w:left="0" w:firstLine="0" w:firstLineChars="0"/>
        <w:rPr>
          <w:rFonts w:ascii="Times New Roman" w:hAnsi="Times New Roman" w:eastAsia="华文仿宋" w:cs="Times New Roman"/>
          <w:b/>
          <w:bCs/>
          <w:kern w:val="0"/>
        </w:rPr>
        <w:keepNext w:val="1"/>
      </w:pPr>
      <w:r>
        <w:rPr>
          <w:rFonts w:ascii="Times New Roman" w:hAnsi="Times New Roman" w:eastAsia="华文仿宋" w:cs="Times New Roman"/>
          <w:b/>
          <w:bCs/>
          <w:kern w:val="0"/>
          <w:color w:val="000000"/>
        </w:rPr>
        <w:t xml:space="preserve">四 我们如何共享 转让和公开披露您的个人信息</w:t>
      </w:r>
    </w:p>
    <w:p>
      <w:pPr>
        <w:pStyle w:val="19"/>
        <w:adjustRightInd w:val="0"/>
        <w:snapToGrid w:val="0"/>
        <w:spacing w:after="156" w:afterLines="50" w:line="360" w:lineRule="auto"/>
        <w:ind w:firstLineChars="0"/>
        <w:rPr>
          <w:rFonts w:ascii="Times New Roman" w:hAnsi="Times New Roman" w:eastAsia="华文仿宋" w:cs="Times New Roman"/>
          <w:b/>
          <w:bCs/>
        </w:rPr>
        <w:widowControl w:val="1"/>
        <w:keepNext w:val="1"/>
      </w:pPr>
      <w:r>
        <w:rPr>
          <w:rFonts w:hint="eastAsia" w:ascii="Times New Roman" w:hAnsi="Times New Roman" w:eastAsia="华文仿宋" w:cs="Times New Roman"/>
          <w:b/>
          <w:bCs/>
          <w:lang w:val="en-US" w:eastAsia="zh-CN"/>
          <w:color w:val="000000"/>
        </w:rPr>
        <w:t xml:space="preserve">1 委托与共享</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本机进度不共享给广告商或统计平台。您选择联机时，所选服务器运营者处理对战所需数据，对手接收匿名身份与公开战局信息，不接收私有资源、队列或身份密钥。服务器运营者与网页托管提供者是不同角色；Vercel 为隐私网页传输与安全处理必要技术信息，相关邮箱服务商仅在您选择联系时传递与保存邮件。</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我们不出售、出租或以广告交换方式提供您的个人信息。除依法履行必要义务外，如需向独立第三方提供我们持有的个人信息，会先告知接收方、目的、方式和信息种类，并依法取得所需单独同意。委托处理将按适用法律限定目的、期限、范围及保护要求，不允许受托方超出约定使用。</w:t>
      </w:r>
    </w:p>
    <w:p>
      <w:pPr>
        <w:pStyle w:val="19"/>
        <w:adjustRightInd w:val="0"/>
        <w:snapToGrid w:val="0"/>
        <w:spacing w:after="156" w:afterLines="50" w:line="360" w:lineRule="auto"/>
        <w:ind w:firstLineChars="0"/>
        <w:rPr>
          <w:rFonts w:ascii="Times New Roman" w:hAnsi="Times New Roman" w:eastAsia="华文仿宋" w:cs="Times New Roman"/>
          <w:b/>
          <w:bCs/>
        </w:rPr>
        <w:widowControl w:val="1"/>
        <w:keepNext w:val="1"/>
      </w:pPr>
      <w:r>
        <w:rPr>
          <w:rFonts w:hint="eastAsia" w:ascii="Times New Roman" w:hAnsi="Times New Roman" w:eastAsia="华文仿宋" w:cs="Times New Roman"/>
          <w:b/>
          <w:bCs/>
          <w:lang w:val="en-US" w:eastAsia="zh-CN"/>
          <w:color w:val="000000"/>
        </w:rPr>
        <w:t xml:space="preserve">2 转让与公开披露</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如开发运营主体变更，并确需转移我们实际持有的个人信息，我们会依法告知接收方名称和联系方式，要求其继续履行个人信息保护义务；改变原处理目的或方式时，应依法重新取得同意。本机存档不会仅因项目转让自动上传给新主体。</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我们不会将您的咨询邮件、私密附件或联系方式公开为宣传材料。公开披露个人信息将仅在取得适用同意或法律明确要求的范围内进行；依法提供信息时会核实要求及必要范围，并依法保护您的相关权利。</w:t>
      </w:r>
    </w:p>
    <w:p>
      <w:pPr>
        <w:pStyle w:val="19"/>
        <w:widowControl w:val="1"/>
        <w:adjustRightInd w:val="0"/>
        <w:snapToGrid w:val="0"/>
        <w:spacing w:before="0" w:after="156" w:afterLines="50" w:line="360" w:lineRule="auto"/>
        <w:ind w:left="0" w:firstLine="0" w:firstLineChars="0"/>
        <w:rPr>
          <w:rFonts w:ascii="Times New Roman" w:hAnsi="Times New Roman" w:eastAsia="华文仿宋" w:cs="Times New Roman"/>
          <w:b/>
          <w:bCs/>
          <w:kern w:val="0"/>
        </w:rPr>
        <w:keepNext w:val="1"/>
      </w:pPr>
      <w:r>
        <w:rPr>
          <w:rFonts w:ascii="Times New Roman" w:hAnsi="Times New Roman" w:eastAsia="华文仿宋" w:cs="Times New Roman"/>
          <w:b/>
          <w:bCs/>
          <w:kern w:val="0"/>
          <w:color w:val="000000"/>
        </w:rPr>
        <w:t xml:space="preserve">五 第三方产品或服务如何处理信息</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当前原生游戏未接入用于收集玩家个人信息的第三方广告、分析、支付、社交登录或推送 SDK。Godot 引擎及随游戏打包的字体、音频和美术资源用于本机运行，不是自动上传玩家信息的服务。用于开发阶段的素材生成工具未作为玩家数据服务集成进当前游戏。</w:t>
      </w:r>
    </w:p>
    <w:tbl>
      <w:tblPr>
        <w:tblStyle w:val="11"/>
        <w:tblW w:w="8306" w:type="dxa"/>
        <w:tblInd w:w="0" w:type="dxa"/>
        <w:tblBorders>
          <w:top w:val="single" w:color="auto" w:sz="0" w:space="0"/>
          <w:left w:val="single" w:color="auto" w:sz="0" w:space="0"/>
          <w:bottom w:val="single" w:color="auto" w:sz="0" w:space="0"/>
          <w:right w:val="single" w:color="auto" w:sz="0" w:space="0"/>
          <w:insideH w:val="single" w:color="auto" w:sz="0" w:space="0"/>
          <w:insideV w:val="single" w:color="auto" w:sz="0" w:space="0"/>
        </w:tblBorders>
        <w:tblLayout w:type="fixed"/>
        <w:tblCellMar>
          <w:top w:w="0" w:type="dxa"/>
          <w:left w:w="10" w:type="dxa"/>
          <w:bottom w:w="0" w:type="dxa"/>
          <w:right w:w="10" w:type="dxa"/>
        </w:tblCellMar>
      </w:tblPr>
      <w:tblGrid>
        <w:gridCol w:w="1300"/>
        <w:gridCol w:w="1350"/>
        <w:gridCol w:w="3650"/>
        <w:gridCol w:w="2006"/>
      </w:tblGrid>
      <w:tr>
        <w:trPr>
          <w:cantSplit/>
          <w:tblHeader/>
        </w:trPr>
        <w:tc>
          <w:tcPr>
            <w:tcW w:w="1300" w:type="dxa"/>
            <w:vAlign w:val="center"/>
          </w:tcPr>
          <w:p>
            <w:pPr>
              <w:spacing w:before="90" w:after="90" w:line="260" w:lineRule="auto"/>
              <w:jc w:val="center"/>
              <w:rPr>
                <w:rFonts w:ascii="Times New Roman" w:hAnsi="Times New Roman" w:eastAsia="华文仿宋" w:cs="华文仿宋"/>
                <w:b/>
                <w:sz w:val="18"/>
                <w:szCs w:val="18"/>
              </w:rPr>
              <w:widowControl w:val="1"/>
              <w:keepNext w:val="1"/>
            </w:pPr>
            <w:r>
              <w:rPr>
                <w:rFonts w:ascii="Times New Roman" w:hAnsi="Times New Roman" w:eastAsia="华文仿宋"/>
                <w:sz w:val="20"/>
                <w:szCs w:val="20"/>
                <w:color w:val="000000"/>
                <w:b/>
              </w:rPr>
              <w:t>服务提供者</w:t>
            </w:r>
          </w:p>
        </w:tc>
        <w:tc>
          <w:tcPr>
            <w:tcW w:w="1350" w:type="dxa"/>
            <w:vAlign w:val="center"/>
          </w:tcPr>
          <w:p>
            <w:pPr>
              <w:spacing w:before="90" w:after="90" w:line="260" w:lineRule="auto"/>
              <w:jc w:val="center"/>
              <w:rPr>
                <w:rFonts w:ascii="Times New Roman" w:hAnsi="Times New Roman" w:eastAsia="华文仿宋" w:cs="华文仿宋"/>
                <w:b/>
                <w:sz w:val="18"/>
                <w:szCs w:val="18"/>
              </w:rPr>
              <w:widowControl w:val="1"/>
              <w:keepNext w:val="1"/>
            </w:pPr>
            <w:r>
              <w:rPr>
                <w:rFonts w:ascii="Times New Roman" w:hAnsi="Times New Roman" w:eastAsia="华文仿宋"/>
                <w:sz w:val="20"/>
                <w:szCs w:val="20"/>
                <w:color w:val="000000"/>
                <w:b/>
              </w:rPr>
              <w:t>适用场景</w:t>
            </w:r>
          </w:p>
        </w:tc>
        <w:tc>
          <w:tcPr>
            <w:tcW w:w="3650" w:type="dxa"/>
          </w:tcPr>
          <w:p>
            <w:pPr>
              <w:spacing w:before="90" w:after="90" w:line="260" w:lineRule="auto"/>
              <w:jc w:val="center"/>
              <w:rPr>
                <w:rFonts w:ascii="Times New Roman" w:hAnsi="Times New Roman" w:eastAsia="华文仿宋" w:cs="华文仿宋"/>
                <w:b/>
                <w:sz w:val="18"/>
                <w:szCs w:val="18"/>
              </w:rPr>
              <w:widowControl w:val="1"/>
              <w:keepNext w:val="1"/>
            </w:pPr>
            <w:r>
              <w:rPr>
                <w:rFonts w:ascii="Times New Roman" w:hAnsi="Times New Roman" w:eastAsia="华文仿宋"/>
                <w:sz w:val="20"/>
                <w:szCs w:val="20"/>
                <w:color w:val="000000"/>
                <w:b/>
              </w:rPr>
              <w:t>可能处理的信息和用途</w:t>
            </w:r>
          </w:p>
        </w:tc>
        <w:tc>
          <w:tcPr>
            <w:tcW w:w="2006" w:type="dxa"/>
          </w:tcPr>
          <w:p>
            <w:pPr>
              <w:spacing w:before="90" w:after="90" w:line="260" w:lineRule="auto"/>
              <w:jc w:val="center"/>
              <w:rPr>
                <w:rFonts w:ascii="Times New Roman" w:hAnsi="Times New Roman" w:eastAsia="华文仿宋" w:cs="华文仿宋"/>
                <w:b/>
                <w:sz w:val="18"/>
                <w:szCs w:val="18"/>
              </w:rPr>
              <w:widowControl w:val="1"/>
              <w:keepNext w:val="1"/>
            </w:pPr>
            <w:r>
              <w:rPr>
                <w:rFonts w:ascii="Times New Roman" w:hAnsi="Times New Roman" w:eastAsia="华文仿宋"/>
                <w:sz w:val="20"/>
                <w:szCs w:val="20"/>
                <w:color w:val="000000"/>
                <w:b/>
              </w:rPr>
              <w:t>隐私说明</w:t>
            </w:r>
          </w:p>
        </w:tc>
      </w:tr>
      <w:tr>
        <w:trPr>
          <w:cantSplit/>
        </w:trPr>
        <w:tc>
          <w:tcPr>
            <w:tcW w:w="1300" w:type="dxa"/>
            <w:tcMar>
              <w:top w:w="57" w:type="dxa"/>
              <w:left w:w="57" w:type="dxa"/>
              <w:bottom w:w="57" w:type="dxa"/>
              <w:right w:w="57" w:type="dxa"/>
            </w:tcMar>
            <w:vAlign w:val="center"/>
          </w:tcPr>
          <w:p>
            <w:pPr>
              <w:spacing w:before="90" w:after="90" w:line="260" w:lineRule="auto"/>
              <w:jc w:val="left"/>
              <w:rPr>
                <w:rFonts w:ascii="Times New Roman" w:hAnsi="Times New Roman" w:eastAsia="华文仿宋" w:cs="华文仿宋"/>
                <w:sz w:val="18"/>
                <w:szCs w:val="18"/>
              </w:rPr>
              <w:widowControl w:val="1"/>
              <w:keepNext w:val="1"/>
            </w:pPr>
            <w:r>
              <w:rPr>
                <w:rFonts w:ascii="Times New Roman" w:hAnsi="Times New Roman" w:eastAsia="华文仿宋"/>
                <w:sz w:val="20"/>
                <w:szCs w:val="20"/>
                <w:color w:val="000000"/>
              </w:rPr>
              <w:t>Vercel Inc.</w:t>
            </w:r>
          </w:p>
        </w:tc>
        <w:tc>
          <w:tcPr>
            <w:tcW w:w="1350" w:type="dxa"/>
            <w:tcMar>
              <w:top w:w="57" w:type="dxa"/>
              <w:left w:w="57" w:type="dxa"/>
              <w:bottom w:w="57" w:type="dxa"/>
              <w:right w:w="57" w:type="dxa"/>
            </w:tcMar>
            <w:vAlign w:val="center"/>
          </w:tcPr>
          <w:p>
            <w:pPr>
              <w:spacing w:before="90" w:after="90" w:line="260" w:lineRule="auto"/>
              <w:jc w:val="left"/>
              <w:rPr>
                <w:rFonts w:ascii="Times New Roman" w:hAnsi="Times New Roman" w:eastAsia="华文仿宋" w:cs="华文仿宋"/>
                <w:sz w:val="18"/>
                <w:szCs w:val="18"/>
              </w:rPr>
              <w:widowControl w:val="1"/>
              <w:keepNext w:val="1"/>
            </w:pPr>
            <w:r>
              <w:rPr>
                <w:rFonts w:ascii="Times New Roman" w:hAnsi="Times New Roman" w:eastAsia="华文仿宋"/>
                <w:sz w:val="20"/>
                <w:szCs w:val="20"/>
                <w:color w:val="000000"/>
              </w:rPr>
              <w:t>浏览本隐私网页</w:t>
            </w:r>
          </w:p>
        </w:tc>
        <w:tc>
          <w:tcPr>
            <w:tcW w:w="3650" w:type="dxa"/>
            <w:tcMar>
              <w:top w:w="57" w:type="dxa"/>
              <w:left w:w="57" w:type="dxa"/>
              <w:bottom w:w="57" w:type="dxa"/>
              <w:right w:w="57" w:type="dxa"/>
            </w:tcMar>
            <w:vAlign w:val="center"/>
          </w:tcPr>
          <w:p>
            <w:pPr>
              <w:spacing w:before="90" w:after="90" w:line="260" w:lineRule="auto"/>
              <w:rPr>
                <w:rFonts w:hint="eastAsia" w:ascii="Times New Roman" w:hAnsi="Times New Roman" w:eastAsia="华文仿宋" w:cs="华文仿宋"/>
                <w:sz w:val="18"/>
                <w:szCs w:val="18"/>
                <w:lang w:eastAsia="zh-CN"/>
              </w:rPr>
              <w:jc w:val="left"/>
              <w:widowControl w:val="1"/>
              <w:keepNext w:val="1"/>
            </w:pPr>
            <w:r>
              <w:rPr>
                <w:rFonts w:ascii="Times New Roman" w:hAnsi="Times New Roman" w:eastAsia="华文仿宋"/>
                <w:sz w:val="20"/>
                <w:szCs w:val="20"/>
                <w:color w:val="000000"/>
              </w:rPr>
              <w:t>IP、请求及系统配置等技术信息；交付页面和安全防护。不会接收游戏自动上传的存档。</w:t>
            </w:r>
          </w:p>
        </w:tc>
        <w:tc>
          <w:tcPr>
            <w:tcW w:w="2006" w:type="dxa"/>
            <w:tcMar>
              <w:top w:w="57" w:type="dxa"/>
              <w:left w:w="57" w:type="dxa"/>
              <w:bottom w:w="57" w:type="dxa"/>
              <w:right w:w="57" w:type="dxa"/>
            </w:tcMar>
            <w:vAlign w:val="center"/>
          </w:tcPr>
          <w:p>
            <w:pPr>
              <w:spacing w:before="90" w:after="90" w:line="260" w:lineRule="auto"/>
              <w:jc w:val="left"/>
              <w:rPr>
                <w:rFonts w:hint="eastAsia" w:ascii="Times New Roman" w:hAnsi="Times New Roman" w:eastAsia="华文仿宋" w:cs="华文仿宋"/>
                <w:sz w:val="18"/>
                <w:szCs w:val="18"/>
                <w:lang w:eastAsia="zh-CN"/>
              </w:rPr>
              <w:widowControl w:val="1"/>
              <w:keepNext w:val="1"/>
            </w:pPr>
            <w:r>
              <w:rPr>
                <w:rFonts w:ascii="Times New Roman" w:hAnsi="Times New Roman" w:eastAsia="华文仿宋"/>
                <w:sz w:val="20"/>
                <w:szCs w:val="20"/>
                <w:color w:val="000000"/>
              </w:rPr>
              <w:t>Vercel 隐私说明</w:t>
              <w:br/>
              <w:t>链接见本节正文</w:t>
            </w:r>
          </w:p>
        </w:tc>
      </w:tr>
      <w:tr>
        <w:trPr>
          <w:cantSplit/>
        </w:trPr>
        <w:tc>
          <w:tcPr>
            <w:tcW w:w="1300" w:type="dxa"/>
            <w:tcMar>
              <w:top w:w="57" w:type="dxa"/>
              <w:left w:w="57" w:type="dxa"/>
              <w:bottom w:w="57" w:type="dxa"/>
              <w:right w:w="57" w:type="dxa"/>
            </w:tcMar>
            <w:vAlign w:val="center"/>
          </w:tcPr>
          <w:p>
            <w:pPr>
              <w:spacing w:before="90" w:after="90" w:line="260" w:lineRule="auto"/>
              <w:jc w:val="left"/>
              <w:rPr>
                <w:rFonts w:ascii="Times New Roman" w:hAnsi="Times New Roman" w:eastAsia="华文仿宋" w:cs="华文仿宋"/>
                <w:sz w:val="18"/>
                <w:szCs w:val="18"/>
              </w:rPr>
              <w:widowControl w:val="1"/>
            </w:pPr>
            <w:r>
              <w:rPr>
                <w:rFonts w:ascii="Times New Roman" w:hAnsi="Times New Roman" w:eastAsia="华文仿宋"/>
                <w:sz w:val="20"/>
                <w:szCs w:val="20"/>
                <w:color w:val="000000"/>
              </w:rPr>
              <w:t>微软 Outlook.com</w:t>
            </w:r>
          </w:p>
        </w:tc>
        <w:tc>
          <w:tcPr>
            <w:tcW w:w="1350" w:type="dxa"/>
            <w:tcMar>
              <w:top w:w="57" w:type="dxa"/>
              <w:left w:w="57" w:type="dxa"/>
              <w:bottom w:w="57" w:type="dxa"/>
              <w:right w:w="57" w:type="dxa"/>
            </w:tcMar>
            <w:vAlign w:val="center"/>
          </w:tcPr>
          <w:p>
            <w:pPr>
              <w:spacing w:before="90" w:after="90" w:line="260" w:lineRule="auto"/>
              <w:jc w:val="left"/>
              <w:rPr>
                <w:rFonts w:ascii="Times New Roman" w:hAnsi="Times New Roman" w:eastAsia="华文仿宋" w:cs="华文仿宋"/>
                <w:sz w:val="18"/>
                <w:szCs w:val="18"/>
              </w:rPr>
              <w:widowControl w:val="1"/>
            </w:pPr>
            <w:r>
              <w:rPr>
                <w:rFonts w:ascii="Times New Roman" w:hAnsi="Times New Roman" w:eastAsia="华文仿宋"/>
                <w:sz w:val="20"/>
                <w:szCs w:val="20"/>
                <w:color w:val="000000"/>
              </w:rPr>
              <w:t>向我们发送联系邮件</w:t>
            </w:r>
          </w:p>
        </w:tc>
        <w:tc>
          <w:tcPr>
            <w:tcW w:w="3650" w:type="dxa"/>
            <w:tcMar>
              <w:top w:w="57" w:type="dxa"/>
              <w:left w:w="57" w:type="dxa"/>
              <w:bottom w:w="57" w:type="dxa"/>
              <w:right w:w="57" w:type="dxa"/>
            </w:tcMar>
            <w:vAlign w:val="center"/>
          </w:tcPr>
          <w:p>
            <w:pPr>
              <w:spacing w:before="90" w:after="90" w:line="260" w:lineRule="auto"/>
              <w:rPr>
                <w:rFonts w:hint="eastAsia" w:ascii="Times New Roman" w:hAnsi="Times New Roman" w:eastAsia="华文仿宋" w:cs="华文仿宋"/>
                <w:sz w:val="18"/>
                <w:szCs w:val="18"/>
                <w:lang w:eastAsia="zh-CN"/>
              </w:rPr>
              <w:jc w:val="left"/>
              <w:widowControl w:val="1"/>
            </w:pPr>
            <w:r>
              <w:rPr>
                <w:rFonts w:ascii="Times New Roman" w:hAnsi="Times New Roman" w:eastAsia="华文仿宋"/>
                <w:sz w:val="20"/>
                <w:szCs w:val="20"/>
                <w:color w:val="000000"/>
              </w:rPr>
              <w:t>发件及收件地址、邮件正文和附件；传递、保存邮件。仅限主动提供的内容。</w:t>
            </w:r>
          </w:p>
        </w:tc>
        <w:tc>
          <w:tcPr>
            <w:tcW w:w="2006" w:type="dxa"/>
            <w:tcMar>
              <w:top w:w="57" w:type="dxa"/>
              <w:left w:w="57" w:type="dxa"/>
              <w:bottom w:w="57" w:type="dxa"/>
              <w:right w:w="57" w:type="dxa"/>
            </w:tcMar>
            <w:vAlign w:val="center"/>
          </w:tcPr>
          <w:p>
            <w:pPr>
              <w:spacing w:before="90" w:after="90" w:line="260" w:lineRule="auto"/>
              <w:jc w:val="left"/>
              <w:rPr>
                <w:rFonts w:hint="eastAsia" w:ascii="Times New Roman" w:hAnsi="Times New Roman" w:eastAsia="华文仿宋" w:cs="华文仿宋"/>
                <w:sz w:val="18"/>
                <w:szCs w:val="18"/>
                <w:lang w:eastAsia="zh-CN"/>
              </w:rPr>
              <w:widowControl w:val="1"/>
            </w:pPr>
            <w:r>
              <w:rPr>
                <w:rFonts w:ascii="Times New Roman" w:hAnsi="Times New Roman" w:eastAsia="华文仿宋"/>
                <w:sz w:val="20"/>
                <w:szCs w:val="20"/>
                <w:color w:val="000000"/>
              </w:rPr>
              <w:t>微软隐私声明</w:t>
              <w:br/>
              <w:t>链接见本节正文</w:t>
            </w:r>
          </w:p>
        </w:tc>
      </w:tr>
    </w:tbl>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Vercel 隐私说明：https://vercel.com/legal/privacy-notice</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微软隐私声明：https://www.microsoft.com/zh-cn/privacy/privacystatement</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我们的联系邮箱使用微软 Outlook.com 服务；微软按其隐私声明处理邮件传输、保存及必要安全信息。您自己选用的发件邮箱服务也可能处理相应邮件信息，请查阅实际使用服务的政策。您可以仅发送咨询文字，不必提供存档或其他附件。</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Vercel 的隐私联络邮箱为 privacy@vercel.com。有关本网站访问的信息权利请求，您可以先联系我们，也可以按 Vercel 隐私说明与其联系。Vercel 的公共隐私说明覆盖其多种产品，并不表示本页面启用了其中列举的全部分析、广告或 Cookies 功能。</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如您通过 GitHub 或其他应用商店下载游戏，下载平台会按自己的规则处理平台账号、下载访问和支付等平台行为；这与游戏本身的数据处理不同。本政策不代表这些平台的隐私说明，您应查阅实际使用平台的相关政策。打开外部链接是您的选择，页面不会自动嵌入或加载这些网站的内容。</w:t>
      </w:r>
    </w:p>
    <w:p>
      <w:pPr>
        <w:pStyle w:val="19"/>
        <w:widowControl w:val="1"/>
        <w:adjustRightInd w:val="0"/>
        <w:snapToGrid w:val="0"/>
        <w:spacing w:before="0" w:after="156" w:afterLines="50" w:line="360" w:lineRule="auto"/>
        <w:ind w:left="0" w:firstLine="0" w:firstLineChars="0"/>
        <w:rPr>
          <w:rFonts w:ascii="Times New Roman" w:hAnsi="Times New Roman" w:eastAsia="华文仿宋" w:cs="Times New Roman"/>
          <w:b/>
          <w:bCs/>
          <w:kern w:val="0"/>
        </w:rPr>
        <w:keepNext w:val="1"/>
      </w:pPr>
      <w:r>
        <w:rPr>
          <w:rFonts w:ascii="Times New Roman" w:hAnsi="Times New Roman" w:eastAsia="华文仿宋" w:cs="Times New Roman"/>
          <w:b/>
          <w:bCs/>
          <w:kern w:val="0"/>
          <w:color w:val="000000"/>
        </w:rPr>
        <w:t xml:space="preserve">六 我们如何保护您的个人信息</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我们通过限制采集范围、本机保存离线进度、公网 HTTPS/WSS、匿名密钥系统保护、服务器凭据哈希与短期令牌、双席位身份核验、私有战局过滤和唯一结算等措施降低风险。本项目默认日志不记录身份密钥或访问令牌。数据库持久提交及检查点用于服务故障恢复；单台服务主机或磁盘损坏的恢复仍依赖运营者备份与部署，不能保证任何故障下都不丢失数据。</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本机存档采用普通 JSON 文件，没有额外加密；设备、操作系统或您授予其他程序的文件访问权限可能影响其安全。请妥善保管设备，使用系统密码和可信备份工具；发送截图或存档前检查其中是否包含个人信息。自动本机备份只辅助存档读取，不能保证所有设备故障或误删后均可恢复。</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发生或可能发生涉及我们处理信息的泄露、篡改或丢失时，我们会及时采取补救措施，依法向相关部门报告并履行通知义务，说明涉及信息、影响、已采取措施及您可采取的保护方式。我们会使用已可用的联系渠道通知；无法逐一联系时依法采用公告等合理方式。本政策不免除我们依法应承担的责任。</w:t>
      </w:r>
    </w:p>
    <w:p>
      <w:pPr>
        <w:pStyle w:val="19"/>
        <w:widowControl w:val="1"/>
        <w:adjustRightInd w:val="0"/>
        <w:snapToGrid w:val="0"/>
        <w:spacing w:before="0" w:after="156" w:afterLines="50" w:line="360" w:lineRule="auto"/>
        <w:ind w:left="0" w:firstLine="0" w:firstLineChars="0"/>
        <w:rPr>
          <w:rFonts w:ascii="Times New Roman" w:hAnsi="Times New Roman" w:eastAsia="华文仿宋" w:cs="Times New Roman"/>
          <w:b/>
          <w:bCs/>
          <w:kern w:val="0"/>
        </w:rPr>
        <w:keepNext w:val="1"/>
      </w:pPr>
      <w:r>
        <w:rPr>
          <w:rFonts w:ascii="Times New Roman" w:hAnsi="Times New Roman" w:eastAsia="华文仿宋" w:cs="Times New Roman"/>
          <w:b/>
          <w:bCs/>
          <w:kern w:val="0"/>
          <w:color w:val="000000"/>
        </w:rPr>
        <w:t xml:space="preserve">七 您如何管理您的个人信息</w:t>
      </w:r>
    </w:p>
    <w:p>
      <w:pPr>
        <w:pStyle w:val="19"/>
        <w:adjustRightInd w:val="0"/>
        <w:snapToGrid w:val="0"/>
        <w:spacing w:after="156" w:afterLines="50" w:line="360" w:lineRule="auto"/>
        <w:ind w:firstLineChars="0"/>
        <w:rPr>
          <w:rFonts w:ascii="Times New Roman" w:hAnsi="Times New Roman" w:eastAsia="华文仿宋" w:cs="Times New Roman"/>
          <w:b/>
          <w:bCs/>
        </w:rPr>
        <w:widowControl w:val="1"/>
        <w:keepNext w:val="1"/>
      </w:pPr>
      <w:r>
        <w:rPr>
          <w:rFonts w:hint="eastAsia" w:ascii="Times New Roman" w:hAnsi="Times New Roman" w:eastAsia="华文仿宋" w:cs="Times New Roman"/>
          <w:b/>
          <w:bCs/>
          <w:lang w:val="en-US" w:eastAsia="zh-CN"/>
          <w:color w:val="000000"/>
        </w:rPr>
        <w:t xml:space="preserve">1 查阅 复制 更正和说明</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您可以在游戏中查看战役进度、英雄、圣物、构筑与设置，联机时查看当前房间、席位和对战结果，并调整可修改内容。对于我们实际持有的联系信息或由我们运营服务处理的联机信息，可以请求查阅、复制、更正、补充或解释。当前版本没有游戏内数据导出、账号绑定、云存档或自助删除服务器身份按钮。</w:t>
      </w:r>
    </w:p>
    <w:p>
      <w:pPr>
        <w:pStyle w:val="19"/>
        <w:adjustRightInd w:val="0"/>
        <w:snapToGrid w:val="0"/>
        <w:spacing w:after="156" w:afterLines="50" w:line="360" w:lineRule="auto"/>
        <w:ind w:firstLineChars="0"/>
        <w:rPr>
          <w:rFonts w:ascii="Times New Roman" w:hAnsi="Times New Roman" w:eastAsia="华文仿宋" w:cs="Times New Roman"/>
          <w:b/>
          <w:bCs/>
        </w:rPr>
        <w:widowControl w:val="1"/>
        <w:keepNext w:val="1"/>
      </w:pPr>
      <w:r>
        <w:rPr>
          <w:rFonts w:hint="eastAsia" w:ascii="Times New Roman" w:hAnsi="Times New Roman" w:eastAsia="华文仿宋" w:cs="Times New Roman"/>
          <w:b/>
          <w:bCs/>
          <w:lang w:val="en-US" w:eastAsia="zh-CN"/>
          <w:color w:val="000000"/>
        </w:rPr>
        <w:t xml:space="preserve">2 清除本机数据</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Android：在系统设置中打开“应用”或“应用管理”，选择“纪元急袭”，在“存储”或“存储与缓存”中选择“清除数据／清除存储空间”。不同设备名称略有差异；“清除缓存”通常不会清除游戏进度。卸载通常会移除应用私有目录，但您自行建立的副本、设备迁移数据或其他备份仍需另行删除。</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Windows：先退出游戏，在文件资源管理器地址栏输入 %APPDATA%\Godot\app_userdata\Epoch Rush- Pixel Command，删除本游戏用户数据目录可一并清除单机进度、设置、日志、联机构筑、会话信息及 Windows 受保护身份文件。仅删除 EXE 或安装目录不会自动清除用户数据。也可只删除 profile.json、settings.json、match.json 及备份来清除单机进度，保留联机身份。路径随当前标准配置而定，变更系统账户或便携配置时可联系我们核对。</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清除本机数据会重置进度与设置，并可能使您失去匿名身份、原在线席位和恢复能力。我们没有单机云存档可恢复进度；删除本机文件不会自动删除服务器记录。如需删除我们实际持有的联机数据，请联系隐私邮箱；使用他人服务器时联系其运营者。请同时管理自行备份的副本。</w:t>
      </w:r>
    </w:p>
    <w:p>
      <w:pPr>
        <w:pStyle w:val="19"/>
        <w:adjustRightInd w:val="0"/>
        <w:snapToGrid w:val="0"/>
        <w:spacing w:after="156" w:afterLines="50" w:line="360" w:lineRule="auto"/>
        <w:ind w:firstLineChars="0"/>
        <w:rPr>
          <w:rFonts w:ascii="Times New Roman" w:hAnsi="Times New Roman" w:eastAsia="华文仿宋" w:cs="Times New Roman"/>
          <w:b/>
          <w:bCs/>
        </w:rPr>
        <w:widowControl w:val="1"/>
        <w:keepNext w:val="1"/>
      </w:pPr>
      <w:r>
        <w:rPr>
          <w:rFonts w:hint="eastAsia" w:ascii="Times New Roman" w:hAnsi="Times New Roman" w:eastAsia="华文仿宋" w:cs="Times New Roman"/>
          <w:b/>
          <w:bCs/>
          <w:lang w:val="en-US" w:eastAsia="zh-CN"/>
          <w:color w:val="000000"/>
        </w:rPr>
        <w:t xml:space="preserve">3 删除信息与停止联机使用</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您可以停止联机使用，并通过隐私联系邮箱请求删除我们持有的联机身份、对战记录、主动提供的邮件或附件，或撤回基于同意进行的处理。撤回不影响此前依法开展的处理，也不影响不需要该信息的离线游戏。删除活动对局中的身份可能影响双方比赛，应先结束或核实当前活动；需依法保留或暂时难以删除的部分，我们会说明依据并依法限制处理。</w:t>
      </w:r>
    </w:p>
    <w:p>
      <w:pPr>
        <w:pStyle w:val="19"/>
        <w:adjustRightInd w:val="0"/>
        <w:snapToGrid w:val="0"/>
        <w:spacing w:after="156" w:afterLines="50" w:line="360" w:lineRule="auto"/>
        <w:ind w:firstLineChars="0"/>
        <w:rPr>
          <w:rFonts w:ascii="Times New Roman" w:hAnsi="Times New Roman" w:eastAsia="华文仿宋" w:cs="Times New Roman"/>
          <w:b/>
          <w:bCs/>
        </w:rPr>
        <w:widowControl w:val="1"/>
        <w:keepNext w:val="1"/>
      </w:pPr>
      <w:r>
        <w:rPr>
          <w:rFonts w:hint="eastAsia" w:ascii="Times New Roman" w:hAnsi="Times New Roman" w:eastAsia="华文仿宋" w:cs="Times New Roman"/>
          <w:b/>
          <w:bCs/>
          <w:lang w:val="en-US" w:eastAsia="zh-CN"/>
          <w:color w:val="000000"/>
        </w:rPr>
        <w:t xml:space="preserve">4 请求程序与答复</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发送邮件至 carzyg@outlook.com，说明要行使的权利、所用服务器地址及必要的匿名玩家/对局编号，或联系邮件的大致时间。不要发送身份密钥、访问令牌、系统密码或身份证件；我们会根据请求采用相称的最少信息核验。我们无法替不受我们控制的服务器直接删除数据，会说明应联系的实际运营者。监护人请求可能需要必要的关系说明，请避免无关证件内容。</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我们会及时处理合理请求，一般在十五个工作日内答复；如依法或因核实范围需要更长时间，会向您说明原因和进度。合理请求不收费；如依法无法执行全部或部分请求，将说明理由及可用的救济渠道。您也可以依法向个人信息保护相关主管部门投诉、举报或寻求司法救济。</w:t>
      </w:r>
    </w:p>
    <w:p>
      <w:pPr>
        <w:pStyle w:val="19"/>
        <w:widowControl w:val="1"/>
        <w:adjustRightInd w:val="0"/>
        <w:snapToGrid w:val="0"/>
        <w:spacing w:before="0" w:after="156" w:afterLines="50" w:line="360" w:lineRule="auto"/>
        <w:ind w:left="0" w:firstLine="0" w:firstLineChars="0"/>
        <w:rPr>
          <w:rFonts w:ascii="Times New Roman" w:hAnsi="Times New Roman" w:eastAsia="华文仿宋" w:cs="Times New Roman"/>
          <w:b/>
          <w:bCs/>
          <w:kern w:val="0"/>
        </w:rPr>
        <w:keepNext w:val="1"/>
      </w:pPr>
      <w:r>
        <w:rPr>
          <w:rFonts w:ascii="Times New Roman" w:hAnsi="Times New Roman" w:eastAsia="华文仿宋" w:cs="Times New Roman"/>
          <w:b/>
          <w:bCs/>
          <w:kern w:val="0"/>
          <w:color w:val="000000"/>
        </w:rPr>
        <w:t xml:space="preserve">八 我们如何处理未成年人的个人信息</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未成年人请在监护人指导下阅读本政策并合理安排游戏时间。本版不采集年龄、实名或身份画像，也不向未成年人展示个性化广告；随机匿名联机身份仍可能关联网络与对战活动。监护人应评估所选服务器的运营者和隐私规则，未满十四周岁儿童使用涉及个人信息的在线服务应由监护人依适用规则处理相关同意。</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未满十四周岁儿童的个人信息属于敏感个人信息。请由父母或其他监护人代表儿童提出需要提供个人信息的联系、反馈或权利请求，优先使用监护人的联系方式，不必告知儿童真实姓名、学校、身份证号或精确住址。仅在具备明确目的和充分必要性、履行专项告知并取得监护人同意后，才会处理确需涉及的儿童个人信息，不将其用于营销、公开展示或与请求无关的其他用途。</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若我们发现未经所需监护人同意而收到儿童个人信息，会停止非必要处理并尽快删除或依法采取其他保护措施。监护人可通过隐私联系邮箱请求了解、更正或删除相关信息。将来如新增专门处理儿童个人信息的在线功能，将在启用前制定并公布专门处理规则，不能以本政策替代相应要求。</w:t>
      </w:r>
    </w:p>
    <w:p>
      <w:pPr>
        <w:pStyle w:val="19"/>
        <w:widowControl w:val="1"/>
        <w:adjustRightInd w:val="0"/>
        <w:snapToGrid w:val="0"/>
        <w:spacing w:before="0" w:after="156" w:afterLines="50" w:line="360" w:lineRule="auto"/>
        <w:ind w:left="0" w:firstLine="0" w:firstLineChars="0"/>
        <w:rPr>
          <w:rFonts w:ascii="Times New Roman" w:hAnsi="Times New Roman" w:eastAsia="华文仿宋" w:cs="Times New Roman"/>
          <w:b/>
          <w:bCs/>
          <w:kern w:val="0"/>
        </w:rPr>
        <w:keepNext w:val="1"/>
      </w:pPr>
      <w:r>
        <w:rPr>
          <w:rFonts w:ascii="Times New Roman" w:hAnsi="Times New Roman" w:eastAsia="华文仿宋" w:cs="Times New Roman"/>
          <w:b/>
          <w:bCs/>
          <w:kern w:val="0"/>
          <w:color w:val="000000"/>
        </w:rPr>
        <w:t xml:space="preserve">九 本隐私政策如何更新</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本次政策版本为 ER-PRIVACY-2026-10-11-PUBLIC，更新和生效日期均为 2026 年 10 月 11 日，对应游戏 0.8.1。本次补充 SIDcloud 官方服务器地址、新加坡存储地区、明确连接选择以及实际备份和日志规则。既有随机匿名身份和 Android INTERNET 权限继续用于可选联机；旧离线客户端不会因网页更新自动增加功能或权限。</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如未来增加联网账号、广告、统计、支付、云存档、敏感权限或个人信息跨境处理等，或处理目的、方式、种类及主要接收方发生重要变化，我们会在相应处理开始前通过政策网页、版本发布说明及适用的产品提示进行显著告知，并依法取得必要的重新同意、单独同意或监护人同意。仅更新网页不能使旧的离线客户端自动获得新权限，也不代表您已经同意新增处理。</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未经合法依据，我们不会通过修改政策削减您依法享有的个人信息权利。若联系方式发生变化，会更新本政策并维持合理的请求衔接方式。</w:t>
      </w:r>
    </w:p>
    <w:p>
      <w:pPr>
        <w:pStyle w:val="19"/>
        <w:widowControl w:val="1"/>
        <w:adjustRightInd w:val="0"/>
        <w:snapToGrid w:val="0"/>
        <w:spacing w:before="0" w:after="156" w:afterLines="50" w:line="360" w:lineRule="auto"/>
        <w:ind w:left="0" w:firstLine="0" w:firstLineChars="0"/>
        <w:rPr>
          <w:rFonts w:ascii="Times New Roman" w:hAnsi="Times New Roman" w:eastAsia="华文仿宋" w:cs="Times New Roman"/>
          <w:b/>
          <w:bCs/>
          <w:kern w:val="0"/>
        </w:rPr>
        <w:keepNext w:val="1"/>
      </w:pPr>
      <w:r>
        <w:rPr>
          <w:rFonts w:ascii="Times New Roman" w:hAnsi="Times New Roman" w:eastAsia="华文仿宋" w:cs="Times New Roman"/>
          <w:b/>
          <w:bCs/>
          <w:kern w:val="0"/>
          <w:color w:val="000000"/>
        </w:rPr>
        <w:t xml:space="preserve">十 如何联系我们</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开发及运营主体：SIDcloud。</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隐私联系邮箱：carzyg@outlook.com。该邮箱用于隐私问题、个人信息权利请求和监护人联系。建议邮件主题使用“纪元急袭 隐私请求”，并仅提供处理该请求所需的内容。答复方式、期限和救济渠道请见第七节第四项。</w:t>
      </w:r>
    </w:p>
    <w:sectPr>
      <w:footerReference r:id="rId4"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华文中宋">
    <w:panose1 w:val="02010600040101010101"/>
    <w:charset w:val="86"/>
    <w:family w:val="auto"/>
    <w:pitch w:val="default"/>
    <w:sig w:usb0="00000287" w:usb1="080F0000" w:usb2="00000000" w:usb3="00000000" w:csb0="0004009F" w:csb1="DFD70000"/>
  </w:font>
  <w:font w:name="华文仿宋">
    <w:panose1 w:val="02010600040101010101"/>
    <w:charset w:val="86"/>
    <w:family w:val="auto"/>
    <w:pitch w:val="default"/>
    <w:sig w:usb0="00000287" w:usb1="080F0000" w:usb2="00000000" w:usb3="00000000" w:csb0="0004009F" w:csb1="DFD70000"/>
  </w:font>
  <w:font w:name="PingFangSC-Medium">
    <w:altName w:val="宋体"/>
    <w:panose1 w:val="020B0600000000000000"/>
    <w:charset w:val="86"/>
    <w:family w:val="swiss"/>
    <w:pitch w:val="default"/>
    <w:sig w:usb0="00000000" w:usb1="00000000" w:usb2="00000017"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050406837"/>
    </w:sdtPr>
    <w:sdtContent>
      <w:p>
        <w:pPr>
          <w:pStyle w:val="7"/>
          <w:jc w:val="center"/>
        </w:pPr>
        <w:r>
          <w:rPr>
            <w:rFonts w:ascii="Times New Roman" w:hAnsi="Times New Roman" w:cs="Times New Roman"/>
          </w:rPr>
          <w:fldChar w:fldCharType="begin"/>
        </w:r>
        <w:r>
          <w:rPr>
            <w:rFonts w:ascii="Times New Roman" w:hAnsi="Times New Roman" w:cs="Times New Roman"/>
          </w:rPr>
          <w:instrText xml:space="preserve">PAGE   \* MERGEFORMAT</w:instrText>
        </w:r>
        <w:r>
          <w:rPr>
            <w:rFonts w:ascii="Times New Roman" w:hAnsi="Times New Roman" w:cs="Times New Roman"/>
          </w:rPr>
          <w:fldChar w:fldCharType="separate"/>
        </w:r>
        <w:r>
          <w:rPr>
            <w:rFonts w:ascii="Times New Roman" w:hAnsi="Times New Roman" w:cs="Times New Roman"/>
            <w:lang w:val="zh-CN"/>
          </w:rPr>
          <w:t>1</w:t>
        </w:r>
        <w:r>
          <w:rPr>
            <w:rFonts w:ascii="Times New Roman" w:hAnsi="Times New Roman" w:cs="Times New Roman"/>
          </w:rPr>
          <w:fldChar w:fldCharType="end"/>
        </w:r>
      </w:p>
    </w:sdtContent>
  </w:sdt>
  <w:p>
    <w:pPr>
      <w:pStyle w:val="7"/>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08F0D8"/>
    <w:multiLevelType w:val="singleLevel"/>
    <w:tmpl w:val="9F08F0D8"/>
    <w:lvl w:ilvl="0" w:tentative="0">
      <w:start w:val="1"/>
      <w:numFmt w:val="decimal"/>
      <w:lvlText w:val="(%1)"/>
      <w:lvlJc w:val="left"/>
      <w:pPr>
        <w:ind w:left="425" w:hanging="425"/>
      </w:pPr>
      <w:rPr>
        <w:rFonts w:hint="default"/>
      </w:rPr>
    </w:lvl>
  </w:abstractNum>
  <w:abstractNum w:abstractNumId="1">
    <w:nsid w:val="A57B311E"/>
    <w:multiLevelType w:val="singleLevel"/>
    <w:tmpl w:val="A57B311E"/>
    <w:lvl w:ilvl="0" w:tentative="0">
      <w:start w:val="1"/>
      <w:numFmt w:val="decimal"/>
      <w:lvlText w:val="%1."/>
      <w:lvlJc w:val="left"/>
      <w:pPr>
        <w:ind w:left="425" w:hanging="425"/>
      </w:pPr>
      <w:rPr>
        <w:rFonts w:hint="default"/>
      </w:rPr>
    </w:lvl>
  </w:abstractNum>
  <w:abstractNum w:abstractNumId="2">
    <w:nsid w:val="A5A2C2A3"/>
    <w:multiLevelType w:val="singleLevel"/>
    <w:tmpl w:val="A5A2C2A3"/>
    <w:lvl w:ilvl="0" w:tentative="0">
      <w:start w:val="1"/>
      <w:numFmt w:val="decimal"/>
      <w:lvlText w:val="(%1)"/>
      <w:lvlJc w:val="left"/>
      <w:pPr>
        <w:ind w:left="425" w:hanging="425"/>
      </w:pPr>
      <w:rPr>
        <w:rFonts w:hint="default"/>
      </w:rPr>
    </w:lvl>
  </w:abstractNum>
  <w:abstractNum w:abstractNumId="3">
    <w:nsid w:val="BC455CA0"/>
    <w:multiLevelType w:val="singleLevel"/>
    <w:tmpl w:val="BC455CA0"/>
    <w:lvl w:ilvl="0" w:tentative="0">
      <w:start w:val="1"/>
      <w:numFmt w:val="decimal"/>
      <w:lvlText w:val="(%1)"/>
      <w:lvlJc w:val="left"/>
      <w:pPr>
        <w:ind w:left="425" w:hanging="425"/>
      </w:pPr>
      <w:rPr>
        <w:rFonts w:hint="default"/>
      </w:rPr>
    </w:lvl>
  </w:abstractNum>
  <w:abstractNum w:abstractNumId="4">
    <w:nsid w:val="BC89900C"/>
    <w:multiLevelType w:val="singleLevel"/>
    <w:tmpl w:val="BC89900C"/>
    <w:lvl w:ilvl="0" w:tentative="0">
      <w:start w:val="1"/>
      <w:numFmt w:val="decimal"/>
      <w:lvlText w:val="%1."/>
      <w:lvlJc w:val="left"/>
      <w:pPr>
        <w:ind w:left="425" w:hanging="425"/>
      </w:pPr>
      <w:rPr>
        <w:rFonts w:hint="default"/>
      </w:rPr>
    </w:lvl>
  </w:abstractNum>
  <w:abstractNum w:abstractNumId="5">
    <w:nsid w:val="C7D23485"/>
    <w:multiLevelType w:val="singleLevel"/>
    <w:tmpl w:val="C7D23485"/>
    <w:lvl w:ilvl="0" w:tentative="0">
      <w:start w:val="1"/>
      <w:numFmt w:val="decimal"/>
      <w:lvlText w:val="(%1)"/>
      <w:lvlJc w:val="left"/>
      <w:pPr>
        <w:ind w:left="425" w:hanging="425"/>
      </w:pPr>
      <w:rPr>
        <w:rFonts w:hint="default"/>
      </w:rPr>
    </w:lvl>
  </w:abstractNum>
  <w:abstractNum w:abstractNumId="6">
    <w:nsid w:val="C9723551"/>
    <w:multiLevelType w:val="singleLevel"/>
    <w:tmpl w:val="C9723551"/>
    <w:lvl w:ilvl="0" w:tentative="0">
      <w:start w:val="1"/>
      <w:numFmt w:val="decimal"/>
      <w:lvlText w:val="(%1)"/>
      <w:lvlJc w:val="left"/>
      <w:pPr>
        <w:ind w:left="425" w:hanging="425"/>
      </w:pPr>
      <w:rPr>
        <w:rFonts w:hint="default"/>
      </w:rPr>
    </w:lvl>
  </w:abstractNum>
  <w:abstractNum w:abstractNumId="7">
    <w:nsid w:val="C9FDAD47"/>
    <w:multiLevelType w:val="singleLevel"/>
    <w:tmpl w:val="C9FDAD47"/>
    <w:lvl w:ilvl="0" w:tentative="0">
      <w:start w:val="1"/>
      <w:numFmt w:val="decimal"/>
      <w:lvlText w:val="%1."/>
      <w:lvlJc w:val="left"/>
      <w:pPr>
        <w:ind w:left="425" w:hanging="425"/>
      </w:pPr>
      <w:rPr>
        <w:rFonts w:hint="default"/>
      </w:rPr>
    </w:lvl>
  </w:abstractNum>
  <w:abstractNum w:abstractNumId="8">
    <w:nsid w:val="E973B26C"/>
    <w:multiLevelType w:val="singleLevel"/>
    <w:tmpl w:val="E973B26C"/>
    <w:lvl w:ilvl="0" w:tentative="0">
      <w:start w:val="1"/>
      <w:numFmt w:val="decimal"/>
      <w:lvlText w:val="(%1)"/>
      <w:lvlJc w:val="left"/>
      <w:pPr>
        <w:ind w:left="425" w:hanging="425"/>
      </w:pPr>
      <w:rPr>
        <w:rFonts w:hint="default"/>
      </w:rPr>
    </w:lvl>
  </w:abstractNum>
  <w:abstractNum w:abstractNumId="9">
    <w:nsid w:val="EC438C17"/>
    <w:multiLevelType w:val="singleLevel"/>
    <w:tmpl w:val="EC438C17"/>
    <w:lvl w:ilvl="0" w:tentative="0">
      <w:start w:val="1"/>
      <w:numFmt w:val="bullet"/>
      <w:lvlText w:val=""/>
      <w:lvlJc w:val="left"/>
      <w:pPr>
        <w:tabs>
          <w:tab w:val="left" w:pos="420"/>
        </w:tabs>
        <w:ind w:left="840" w:hanging="420"/>
      </w:pPr>
      <w:rPr>
        <w:rFonts w:hint="default" w:ascii="Wingdings" w:hAnsi="Wingdings"/>
      </w:rPr>
    </w:lvl>
  </w:abstractNum>
  <w:abstractNum w:abstractNumId="10">
    <w:nsid w:val="FCBB0E6E"/>
    <w:multiLevelType w:val="singleLevel"/>
    <w:tmpl w:val="FCBB0E6E"/>
    <w:lvl w:ilvl="0" w:tentative="0">
      <w:start w:val="1"/>
      <w:numFmt w:val="decimal"/>
      <w:lvlText w:val="%1."/>
      <w:lvlJc w:val="left"/>
      <w:pPr>
        <w:ind w:left="425" w:hanging="425"/>
      </w:pPr>
      <w:rPr>
        <w:rFonts w:hint="default"/>
      </w:rPr>
    </w:lvl>
  </w:abstractNum>
  <w:abstractNum w:abstractNumId="11">
    <w:nsid w:val="00EF6DCC"/>
    <w:multiLevelType w:val="multilevel"/>
    <w:tmpl w:val="00EF6DCC"/>
    <w:lvl w:ilvl="0" w:tentative="0">
      <w:start w:val="1"/>
      <w:numFmt w:val="chineseCountingThousand"/>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7A6DF6A"/>
    <w:multiLevelType w:val="singleLevel"/>
    <w:tmpl w:val="17A6DF6A"/>
    <w:lvl w:ilvl="0" w:tentative="0">
      <w:start w:val="1"/>
      <w:numFmt w:val="decimal"/>
      <w:lvlText w:val="%1."/>
      <w:lvlJc w:val="left"/>
      <w:pPr>
        <w:ind w:left="425" w:hanging="425"/>
      </w:pPr>
      <w:rPr>
        <w:rFonts w:hint="default"/>
      </w:rPr>
    </w:lvl>
  </w:abstractNum>
  <w:abstractNum w:abstractNumId="13">
    <w:nsid w:val="25AC6645"/>
    <w:multiLevelType w:val="multilevel"/>
    <w:tmpl w:val="25AC6645"/>
    <w:lvl w:ilvl="0" w:tentative="0">
      <w:start w:val="1"/>
      <w:numFmt w:val="chineseCountingThousand"/>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4">
    <w:nsid w:val="2C6B9E15"/>
    <w:multiLevelType w:val="singleLevel"/>
    <w:tmpl w:val="2C6B9E15"/>
    <w:lvl w:ilvl="0" w:tentative="0">
      <w:start w:val="1"/>
      <w:numFmt w:val="decimal"/>
      <w:lvlText w:val="%1."/>
      <w:lvlJc w:val="left"/>
      <w:pPr>
        <w:ind w:left="425" w:hanging="425"/>
      </w:pPr>
      <w:rPr>
        <w:rFonts w:hint="default"/>
      </w:rPr>
    </w:lvl>
  </w:abstractNum>
  <w:abstractNum w:abstractNumId="15">
    <w:nsid w:val="3CDBE438"/>
    <w:multiLevelType w:val="singleLevel"/>
    <w:tmpl w:val="3CDBE438"/>
    <w:lvl w:ilvl="0" w:tentative="0">
      <w:start w:val="2"/>
      <w:numFmt w:val="chineseCounting"/>
      <w:suff w:val="nothing"/>
      <w:lvlText w:val="（%1）"/>
      <w:lvlJc w:val="left"/>
      <w:rPr>
        <w:rFonts w:hint="eastAsia"/>
      </w:rPr>
    </w:lvl>
  </w:abstractNum>
  <w:abstractNum w:abstractNumId="16">
    <w:nsid w:val="4D946050"/>
    <w:multiLevelType w:val="singleLevel"/>
    <w:tmpl w:val="4D946050"/>
    <w:lvl w:ilvl="0" w:tentative="0">
      <w:start w:val="1"/>
      <w:numFmt w:val="decimal"/>
      <w:lvlText w:val="%1."/>
      <w:lvlJc w:val="left"/>
      <w:pPr>
        <w:ind w:left="425" w:hanging="425"/>
      </w:pPr>
      <w:rPr>
        <w:rFonts w:hint="default"/>
      </w:rPr>
    </w:lvl>
  </w:abstractNum>
  <w:abstractNum w:abstractNumId="17">
    <w:nsid w:val="691F1C9C"/>
    <w:multiLevelType w:val="multilevel"/>
    <w:tmpl w:val="691F1C9C"/>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8">
    <w:nsid w:val="78D8B0CC"/>
    <w:multiLevelType w:val="singleLevel"/>
    <w:tmpl w:val="78D8B0CC"/>
    <w:lvl w:ilvl="0" w:tentative="0">
      <w:start w:val="1"/>
      <w:numFmt w:val="decimal"/>
      <w:lvlText w:val="(%1)"/>
      <w:lvlJc w:val="left"/>
      <w:pPr>
        <w:ind w:left="425" w:hanging="425"/>
      </w:pPr>
      <w:rPr>
        <w:rFonts w:hint="default"/>
      </w:rPr>
    </w:lvl>
  </w:abstractNum>
  <w:num w:numId="1">
    <w:abstractNumId w:val="4"/>
  </w:num>
  <w:num w:numId="2">
    <w:abstractNumId w:val="11"/>
  </w:num>
  <w:num w:numId="3">
    <w:abstractNumId w:val="13"/>
  </w:num>
  <w:num w:numId="4">
    <w:abstractNumId w:val="17"/>
  </w:num>
  <w:num w:numId="5">
    <w:abstractNumId w:val="15"/>
  </w:num>
  <w:num w:numId="6">
    <w:abstractNumId w:val="16"/>
  </w:num>
  <w:num w:numId="7">
    <w:abstractNumId w:val="8"/>
  </w:num>
  <w:num w:numId="8">
    <w:abstractNumId w:val="1"/>
  </w:num>
  <w:num w:numId="9">
    <w:abstractNumId w:val="2"/>
  </w:num>
  <w:num w:numId="10">
    <w:abstractNumId w:val="7"/>
  </w:num>
  <w:num w:numId="11">
    <w:abstractNumId w:val="3"/>
  </w:num>
  <w:num w:numId="12">
    <w:abstractNumId w:val="9"/>
  </w:num>
  <w:num w:numId="13">
    <w:abstractNumId w:val="10"/>
  </w:num>
  <w:num w:numId="14">
    <w:abstractNumId w:val="5"/>
  </w:num>
  <w:num w:numId="15">
    <w:abstractNumId w:val="0"/>
  </w:num>
  <w:num w:numId="16">
    <w:abstractNumId w:val="12"/>
  </w:num>
  <w:num w:numId="17">
    <w:abstractNumId w:val="14"/>
  </w:num>
  <w:num w:numId="18">
    <w:abstractNumId w:val="18"/>
  </w:num>
  <w:num w:numId="1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cumentProtection w:enforcement="0"/>
  <w:defaultTabStop w:val="420"/>
  <w:drawingGridVerticalSpacing w:val="156"/>
  <w:noPunctuationKerning w:val="1"/>
  <w:characterSpacingControl w:val="compressPunctuation"/>
  <w:footnotePr>
    <w:footnote w:id="0"/>
    <w:footnote w:id="1"/>
  </w:foot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143B3"/>
    <w:rsid w:val="0001456E"/>
    <w:rsid w:val="00043BEB"/>
    <w:rsid w:val="000C346C"/>
    <w:rsid w:val="000D1E79"/>
    <w:rsid w:val="001228FC"/>
    <w:rsid w:val="00172A27"/>
    <w:rsid w:val="001D4A52"/>
    <w:rsid w:val="001E5108"/>
    <w:rsid w:val="0022072C"/>
    <w:rsid w:val="00255496"/>
    <w:rsid w:val="00256086"/>
    <w:rsid w:val="00261F78"/>
    <w:rsid w:val="002C454D"/>
    <w:rsid w:val="002F374F"/>
    <w:rsid w:val="00302AD9"/>
    <w:rsid w:val="00360C9B"/>
    <w:rsid w:val="0038756C"/>
    <w:rsid w:val="003B18B3"/>
    <w:rsid w:val="003C1968"/>
    <w:rsid w:val="003D1A49"/>
    <w:rsid w:val="003E239D"/>
    <w:rsid w:val="00407903"/>
    <w:rsid w:val="004224FB"/>
    <w:rsid w:val="00427FCE"/>
    <w:rsid w:val="004E0D79"/>
    <w:rsid w:val="004E6706"/>
    <w:rsid w:val="004F0325"/>
    <w:rsid w:val="00502905"/>
    <w:rsid w:val="005035CB"/>
    <w:rsid w:val="0052215A"/>
    <w:rsid w:val="00537172"/>
    <w:rsid w:val="005525AC"/>
    <w:rsid w:val="00574A2F"/>
    <w:rsid w:val="005E63D8"/>
    <w:rsid w:val="005F03BE"/>
    <w:rsid w:val="005F3C63"/>
    <w:rsid w:val="00645297"/>
    <w:rsid w:val="006839C2"/>
    <w:rsid w:val="006A65D5"/>
    <w:rsid w:val="00702BFB"/>
    <w:rsid w:val="007030D5"/>
    <w:rsid w:val="0076351B"/>
    <w:rsid w:val="007776E6"/>
    <w:rsid w:val="007878C9"/>
    <w:rsid w:val="007F6FF0"/>
    <w:rsid w:val="008065A1"/>
    <w:rsid w:val="008178F0"/>
    <w:rsid w:val="00875B1C"/>
    <w:rsid w:val="00881CA2"/>
    <w:rsid w:val="008C0802"/>
    <w:rsid w:val="008D79AB"/>
    <w:rsid w:val="008E5660"/>
    <w:rsid w:val="008E725E"/>
    <w:rsid w:val="008F318C"/>
    <w:rsid w:val="00921DB9"/>
    <w:rsid w:val="00935E45"/>
    <w:rsid w:val="0094183F"/>
    <w:rsid w:val="009B62BB"/>
    <w:rsid w:val="009C2D5A"/>
    <w:rsid w:val="009C3D11"/>
    <w:rsid w:val="00A107B3"/>
    <w:rsid w:val="00A114C0"/>
    <w:rsid w:val="00A207A4"/>
    <w:rsid w:val="00A75299"/>
    <w:rsid w:val="00AD3FF0"/>
    <w:rsid w:val="00AF4E21"/>
    <w:rsid w:val="00B07BE0"/>
    <w:rsid w:val="00B22679"/>
    <w:rsid w:val="00B910F2"/>
    <w:rsid w:val="00BE1D9A"/>
    <w:rsid w:val="00C64FC0"/>
    <w:rsid w:val="00CA1F09"/>
    <w:rsid w:val="00CB5078"/>
    <w:rsid w:val="00D1516F"/>
    <w:rsid w:val="00D24FA0"/>
    <w:rsid w:val="00D6073F"/>
    <w:rsid w:val="00D741FF"/>
    <w:rsid w:val="00DA7526"/>
    <w:rsid w:val="00DD01C9"/>
    <w:rsid w:val="00E01B89"/>
    <w:rsid w:val="00E23A66"/>
    <w:rsid w:val="00E9457A"/>
    <w:rsid w:val="00F34578"/>
    <w:rsid w:val="00F72540"/>
    <w:rsid w:val="00FA1887"/>
    <w:rsid w:val="00FC3E35"/>
    <w:rsid w:val="00FD098A"/>
    <w:rsid w:val="00FD2482"/>
    <w:rsid w:val="00FF4A3E"/>
    <w:rsid w:val="013536C0"/>
    <w:rsid w:val="033E7EB3"/>
    <w:rsid w:val="04002C17"/>
    <w:rsid w:val="054D2392"/>
    <w:rsid w:val="06D01855"/>
    <w:rsid w:val="06E74604"/>
    <w:rsid w:val="07256E35"/>
    <w:rsid w:val="077D12F3"/>
    <w:rsid w:val="079C4CDE"/>
    <w:rsid w:val="09513D92"/>
    <w:rsid w:val="096F7FC5"/>
    <w:rsid w:val="09996FE1"/>
    <w:rsid w:val="0A265CE4"/>
    <w:rsid w:val="0F154378"/>
    <w:rsid w:val="100C65E2"/>
    <w:rsid w:val="120D0D1D"/>
    <w:rsid w:val="12EA603C"/>
    <w:rsid w:val="1308482C"/>
    <w:rsid w:val="13550719"/>
    <w:rsid w:val="14BF7915"/>
    <w:rsid w:val="152876B6"/>
    <w:rsid w:val="17896852"/>
    <w:rsid w:val="18E3400D"/>
    <w:rsid w:val="1999735C"/>
    <w:rsid w:val="1A835E17"/>
    <w:rsid w:val="1D7D26D9"/>
    <w:rsid w:val="1DB51AE6"/>
    <w:rsid w:val="1E7534D5"/>
    <w:rsid w:val="20916937"/>
    <w:rsid w:val="20973671"/>
    <w:rsid w:val="2152745D"/>
    <w:rsid w:val="21A26F03"/>
    <w:rsid w:val="21DE0EED"/>
    <w:rsid w:val="22983FC4"/>
    <w:rsid w:val="22A65243"/>
    <w:rsid w:val="23A47018"/>
    <w:rsid w:val="242B0D83"/>
    <w:rsid w:val="24995742"/>
    <w:rsid w:val="24D84684"/>
    <w:rsid w:val="252E64E0"/>
    <w:rsid w:val="25730700"/>
    <w:rsid w:val="25C3390D"/>
    <w:rsid w:val="26187020"/>
    <w:rsid w:val="27E6785C"/>
    <w:rsid w:val="29382F67"/>
    <w:rsid w:val="2A770891"/>
    <w:rsid w:val="2B5F7FBE"/>
    <w:rsid w:val="2B775A1F"/>
    <w:rsid w:val="2B825355"/>
    <w:rsid w:val="2BFF4DF2"/>
    <w:rsid w:val="2C523151"/>
    <w:rsid w:val="2CB17E97"/>
    <w:rsid w:val="2DC077C4"/>
    <w:rsid w:val="2DED7D54"/>
    <w:rsid w:val="2F640283"/>
    <w:rsid w:val="325252E6"/>
    <w:rsid w:val="3353224D"/>
    <w:rsid w:val="3401333B"/>
    <w:rsid w:val="34472636"/>
    <w:rsid w:val="36996FDA"/>
    <w:rsid w:val="380D668B"/>
    <w:rsid w:val="38967CC3"/>
    <w:rsid w:val="38DB5770"/>
    <w:rsid w:val="3A6F20C4"/>
    <w:rsid w:val="3BEF08A1"/>
    <w:rsid w:val="3D7953F5"/>
    <w:rsid w:val="3DCC70FA"/>
    <w:rsid w:val="3DD614AE"/>
    <w:rsid w:val="3DD62718"/>
    <w:rsid w:val="3F043EE6"/>
    <w:rsid w:val="3F99423B"/>
    <w:rsid w:val="40452E43"/>
    <w:rsid w:val="414E4F5F"/>
    <w:rsid w:val="41556275"/>
    <w:rsid w:val="42215527"/>
    <w:rsid w:val="42A30A49"/>
    <w:rsid w:val="42A96343"/>
    <w:rsid w:val="436031D6"/>
    <w:rsid w:val="43B12A47"/>
    <w:rsid w:val="43CB6390"/>
    <w:rsid w:val="44BA0F6F"/>
    <w:rsid w:val="45830DA0"/>
    <w:rsid w:val="45DE10BB"/>
    <w:rsid w:val="464E55CC"/>
    <w:rsid w:val="46AC273C"/>
    <w:rsid w:val="47E21F2F"/>
    <w:rsid w:val="49B61DA9"/>
    <w:rsid w:val="4C010386"/>
    <w:rsid w:val="4C985E25"/>
    <w:rsid w:val="4D0E4A9E"/>
    <w:rsid w:val="4EE15570"/>
    <w:rsid w:val="52F24EA1"/>
    <w:rsid w:val="535E0C34"/>
    <w:rsid w:val="54854B6A"/>
    <w:rsid w:val="554628BF"/>
    <w:rsid w:val="55C83E39"/>
    <w:rsid w:val="563D7E8C"/>
    <w:rsid w:val="57EC7436"/>
    <w:rsid w:val="584D6789"/>
    <w:rsid w:val="58F32C50"/>
    <w:rsid w:val="59495DF8"/>
    <w:rsid w:val="59825029"/>
    <w:rsid w:val="599967E1"/>
    <w:rsid w:val="5A0B3BA0"/>
    <w:rsid w:val="5A3753B3"/>
    <w:rsid w:val="5A634E2C"/>
    <w:rsid w:val="5B1947D0"/>
    <w:rsid w:val="5C9A2D3D"/>
    <w:rsid w:val="5D26053E"/>
    <w:rsid w:val="5D6978B1"/>
    <w:rsid w:val="5E123355"/>
    <w:rsid w:val="5E4905B0"/>
    <w:rsid w:val="5F0F5630"/>
    <w:rsid w:val="5F162078"/>
    <w:rsid w:val="6027525F"/>
    <w:rsid w:val="60E21287"/>
    <w:rsid w:val="615B41C6"/>
    <w:rsid w:val="625E2319"/>
    <w:rsid w:val="62A60B6C"/>
    <w:rsid w:val="62E72F7A"/>
    <w:rsid w:val="63C2306F"/>
    <w:rsid w:val="651D2C05"/>
    <w:rsid w:val="65781B91"/>
    <w:rsid w:val="65920909"/>
    <w:rsid w:val="65DF1DA2"/>
    <w:rsid w:val="662E3D7D"/>
    <w:rsid w:val="667C5D22"/>
    <w:rsid w:val="683A461F"/>
    <w:rsid w:val="6B777156"/>
    <w:rsid w:val="6C5B4B9D"/>
    <w:rsid w:val="6DAF190C"/>
    <w:rsid w:val="6DC71016"/>
    <w:rsid w:val="7244114C"/>
    <w:rsid w:val="72646A26"/>
    <w:rsid w:val="746A1A66"/>
    <w:rsid w:val="74CE531F"/>
    <w:rsid w:val="7609058C"/>
    <w:rsid w:val="77A10B85"/>
    <w:rsid w:val="77BD2A68"/>
    <w:rsid w:val="7816657A"/>
    <w:rsid w:val="78672209"/>
    <w:rsid w:val="78EC2F52"/>
    <w:rsid w:val="78FB7655"/>
    <w:rsid w:val="79B713AA"/>
    <w:rsid w:val="7AD32157"/>
    <w:rsid w:val="7B266A0C"/>
    <w:rsid w:val="7BF64571"/>
    <w:rsid w:val="7C2F0F49"/>
    <w:rsid w:val="7C9E6136"/>
    <w:rsid w:val="7FA6166E"/>
  </w:rsids>
  <m:mathPr>
    <m:mathFont m:val="Cambria Math"/>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99"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99"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before="120" w:after="120"/>
      <w:jc w:val="both"/>
    </w:pPr>
    <w:rPr>
      <w:rFonts w:asciiTheme="minorHAnsi" w:hAnsiTheme="minorHAnsi" w:eastAsiaTheme="minorEastAsia" w:cstheme="minorBidi"/>
      <w:kern w:val="2"/>
      <w:sz w:val="24"/>
      <w:szCs w:val="24"/>
      <w:lang w:val="en-US" w:eastAsia="zh-CN" w:bidi="ar-SA"/>
    </w:rPr>
  </w:style>
  <w:style w:type="paragraph" w:styleId="2">
    <w:name w:val="heading 2"/>
    <w:basedOn w:val="1"/>
    <w:next w:val="1"/>
    <w:semiHidden/>
    <w:unhideWhenUsed/>
    <w:qFormat/>
    <w:uiPriority w:val="0"/>
    <w:pPr>
      <w:spacing w:before="0" w:beforeAutospacing="1" w:after="0" w:afterAutospacing="1"/>
      <w:jc w:val="left"/>
      <w:outlineLvl w:val="1"/>
    </w:pPr>
    <w:rPr>
      <w:rFonts w:hint="eastAsia" w:ascii="宋体" w:hAnsi="宋体" w:eastAsia="宋体" w:cs="Times New Roman"/>
      <w:b/>
      <w:kern w:val="0"/>
      <w:sz w:val="36"/>
      <w:szCs w:val="36"/>
    </w:rPr>
  </w:style>
  <w:style w:type="paragraph" w:styleId="3">
    <w:name w:val="heading 3"/>
    <w:basedOn w:val="1"/>
    <w:next w:val="1"/>
    <w:semiHidden/>
    <w:unhideWhenUsed/>
    <w:qFormat/>
    <w:uiPriority w:val="0"/>
    <w:pPr>
      <w:spacing w:before="0" w:beforeAutospacing="1" w:after="0" w:afterAutospacing="1"/>
      <w:jc w:val="left"/>
      <w:outlineLvl w:val="2"/>
    </w:pPr>
    <w:rPr>
      <w:rFonts w:hint="eastAsia" w:ascii="宋体" w:hAnsi="宋体" w:eastAsia="宋体" w:cs="Times New Roman"/>
      <w:b/>
      <w:kern w:val="0"/>
      <w:sz w:val="27"/>
      <w:szCs w:val="27"/>
    </w:rPr>
  </w:style>
  <w:style w:type="paragraph" w:styleId="4">
    <w:name w:val="heading 4"/>
    <w:basedOn w:val="1"/>
    <w:next w:val="1"/>
    <w:unhideWhenUsed/>
    <w:qFormat/>
    <w:uiPriority w:val="0"/>
    <w:pPr>
      <w:spacing w:beforeAutospacing="1" w:afterAutospacing="1"/>
      <w:jc w:val="left"/>
      <w:outlineLvl w:val="3"/>
    </w:pPr>
    <w:rPr>
      <w:rFonts w:hint="eastAsia" w:ascii="宋体" w:hAnsi="宋体" w:eastAsia="宋体" w:cs="Times New Roman"/>
      <w:b/>
      <w:kern w:val="0"/>
    </w:rPr>
  </w:style>
  <w:style w:type="character" w:default="1" w:styleId="12">
    <w:name w:val="Default Paragraph Font"/>
    <w:semiHidden/>
    <w:unhideWhenUsed/>
    <w:qFormat/>
    <w:uiPriority w:val="1"/>
  </w:style>
  <w:style w:type="table" w:default="1" w:styleId="11">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link w:val="21"/>
    <w:qFormat/>
    <w:uiPriority w:val="99"/>
    <w:pPr>
      <w:jc w:val="left"/>
    </w:pPr>
  </w:style>
  <w:style w:type="paragraph" w:styleId="6">
    <w:name w:val="Balloon Text"/>
    <w:basedOn w:val="1"/>
    <w:link w:val="20"/>
    <w:qFormat/>
    <w:uiPriority w:val="0"/>
    <w:pPr>
      <w:spacing w:before="0" w:after="0"/>
    </w:pPr>
    <w:rPr>
      <w:rFonts w:ascii="宋体" w:eastAsia="宋体"/>
      <w:sz w:val="18"/>
      <w:szCs w:val="18"/>
    </w:rPr>
  </w:style>
  <w:style w:type="paragraph" w:styleId="7">
    <w:name w:val="footer"/>
    <w:basedOn w:val="1"/>
    <w:qFormat/>
    <w:uiPriority w:val="99"/>
    <w:pPr>
      <w:tabs>
        <w:tab w:val="center" w:pos="4153"/>
        <w:tab w:val="right" w:pos="8306"/>
      </w:tabs>
      <w:snapToGrid w:val="0"/>
      <w:jc w:val="left"/>
    </w:pPr>
    <w:rPr>
      <w:sz w:val="18"/>
      <w:szCs w:val="18"/>
    </w:rPr>
  </w:style>
  <w:style w:type="paragraph" w:styleId="8">
    <w:name w:val="header"/>
    <w:basedOn w:val="1"/>
    <w:link w:val="24"/>
    <w:qFormat/>
    <w:uiPriority w:val="0"/>
    <w:pPr>
      <w:pBdr>
        <w:bottom w:val="single" w:color="auto" w:sz="6" w:space="1"/>
      </w:pBdr>
      <w:tabs>
        <w:tab w:val="center" w:pos="4153"/>
        <w:tab w:val="right" w:pos="8306"/>
      </w:tabs>
      <w:snapToGrid w:val="0"/>
      <w:jc w:val="center"/>
    </w:pPr>
    <w:rPr>
      <w:sz w:val="18"/>
      <w:szCs w:val="18"/>
    </w:rPr>
  </w:style>
  <w:style w:type="paragraph" w:styleId="9">
    <w:name w:val="Normal (Web)"/>
    <w:basedOn w:val="1"/>
    <w:qFormat/>
    <w:uiPriority w:val="0"/>
    <w:pPr>
      <w:spacing w:before="0" w:beforeAutospacing="1" w:after="0" w:afterAutospacing="1"/>
      <w:jc w:val="left"/>
    </w:pPr>
    <w:rPr>
      <w:rFonts w:cs="Times New Roman"/>
      <w:kern w:val="0"/>
    </w:rPr>
  </w:style>
  <w:style w:type="paragraph" w:styleId="10">
    <w:name w:val="annotation subject"/>
    <w:basedOn w:val="5"/>
    <w:next w:val="5"/>
    <w:link w:val="22"/>
    <w:qFormat/>
    <w:uiPriority w:val="0"/>
    <w:rPr>
      <w:b/>
      <w:bCs/>
    </w:rPr>
  </w:style>
  <w:style w:type="character" w:styleId="13">
    <w:name w:val="Strong"/>
    <w:basedOn w:val="12"/>
    <w:qFormat/>
    <w:uiPriority w:val="22"/>
    <w:rPr>
      <w:b/>
    </w:rPr>
  </w:style>
  <w:style w:type="character" w:styleId="14">
    <w:name w:val="FollowedHyperlink"/>
    <w:basedOn w:val="12"/>
    <w:qFormat/>
    <w:uiPriority w:val="0"/>
    <w:rPr>
      <w:color w:val="800080"/>
      <w:u w:val="single"/>
    </w:rPr>
  </w:style>
  <w:style w:type="character" w:styleId="15">
    <w:name w:val="Hyperlink"/>
    <w:basedOn w:val="12"/>
    <w:qFormat/>
    <w:uiPriority w:val="0"/>
    <w:rPr>
      <w:color w:val="0000FF"/>
      <w:u w:val="single"/>
    </w:rPr>
  </w:style>
  <w:style w:type="character" w:styleId="16">
    <w:name w:val="annotation reference"/>
    <w:basedOn w:val="12"/>
    <w:qFormat/>
    <w:uiPriority w:val="99"/>
    <w:rPr>
      <w:sz w:val="21"/>
      <w:szCs w:val="21"/>
    </w:rPr>
  </w:style>
  <w:style w:type="paragraph" w:customStyle="1" w:styleId="17">
    <w:name w:val="【模板】标题二"/>
    <w:basedOn w:val="1"/>
    <w:qFormat/>
    <w:uiPriority w:val="0"/>
    <w:pPr>
      <w:spacing w:before="50" w:beforeLines="50" w:after="50" w:afterLines="50" w:line="360" w:lineRule="auto"/>
    </w:pPr>
    <w:rPr>
      <w:rFonts w:eastAsia="仿宋"/>
      <w:b/>
      <w:sz w:val="28"/>
    </w:rPr>
  </w:style>
  <w:style w:type="paragraph" w:customStyle="1" w:styleId="18">
    <w:name w:val="【模板】正文"/>
    <w:basedOn w:val="17"/>
    <w:qFormat/>
    <w:uiPriority w:val="0"/>
    <w:rPr>
      <w:b w:val="0"/>
      <w:sz w:val="24"/>
    </w:rPr>
  </w:style>
  <w:style w:type="paragraph" w:styleId="19">
    <w:name w:val="List Paragraph"/>
    <w:basedOn w:val="1"/>
    <w:qFormat/>
    <w:uiPriority w:val="34"/>
    <w:pPr>
      <w:ind w:firstLine="420" w:firstLineChars="200"/>
    </w:pPr>
  </w:style>
  <w:style w:type="character" w:customStyle="1" w:styleId="20">
    <w:name w:val="批注框文本 字符"/>
    <w:basedOn w:val="12"/>
    <w:link w:val="6"/>
    <w:qFormat/>
    <w:uiPriority w:val="0"/>
    <w:rPr>
      <w:rFonts w:ascii="宋体" w:eastAsia="宋体"/>
      <w:kern w:val="2"/>
      <w:sz w:val="18"/>
      <w:szCs w:val="18"/>
    </w:rPr>
  </w:style>
  <w:style w:type="character" w:customStyle="1" w:styleId="21">
    <w:name w:val="批注文字 字符"/>
    <w:basedOn w:val="12"/>
    <w:link w:val="5"/>
    <w:qFormat/>
    <w:uiPriority w:val="99"/>
    <w:rPr>
      <w:kern w:val="2"/>
      <w:sz w:val="24"/>
      <w:szCs w:val="24"/>
    </w:rPr>
  </w:style>
  <w:style w:type="character" w:customStyle="1" w:styleId="22">
    <w:name w:val="批注主题 字符"/>
    <w:basedOn w:val="21"/>
    <w:link w:val="10"/>
    <w:qFormat/>
    <w:uiPriority w:val="0"/>
    <w:rPr>
      <w:b/>
      <w:bCs/>
      <w:kern w:val="2"/>
      <w:sz w:val="24"/>
      <w:szCs w:val="24"/>
    </w:rPr>
  </w:style>
  <w:style w:type="paragraph" w:customStyle="1" w:styleId="23">
    <w:name w:val="List Paragraph1"/>
    <w:basedOn w:val="1"/>
    <w:qFormat/>
    <w:uiPriority w:val="0"/>
    <w:pPr>
      <w:ind w:firstLine="420" w:firstLineChars="200"/>
    </w:pPr>
    <w:rPr>
      <w:rFonts w:ascii="Calibri" w:hAnsi="Calibri" w:cs="宋体"/>
    </w:rPr>
  </w:style>
  <w:style w:type="character" w:customStyle="1" w:styleId="24">
    <w:name w:val="页眉 字符"/>
    <w:basedOn w:val="12"/>
    <w:link w:val="8"/>
    <w:qFormat/>
    <w:uiPriority w:val="0"/>
    <w:rPr>
      <w:rFonts w:asciiTheme="minorHAnsi" w:hAnsiTheme="minorHAnsi" w:eastAsiaTheme="minorEastAsia" w:cstheme="minorBidi"/>
      <w:kern w:val="2"/>
      <w:sz w:val="18"/>
      <w:szCs w:val="18"/>
    </w:rPr>
  </w:style>
  <w:style w:type="paragraph" w:styleId="Title" w:customStyle="1">
    <w:name w:val="Title"/>
    <w:basedOn w:val="1"/>
    <w:qFormat/>
    <w:pPr>
      <w:keepNext/>
      <w:jc w:val="center"/>
    </w:pPr>
    <w:rPr>
      <w:rFonts w:ascii="Times New Roman" w:hAnsi="Times New Roman" w:eastAsia="华文仿宋"/>
      <w:sz w:val="32"/>
      <w:color w:val="000000"/>
      <w:b/>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ScaleCrop>false</ScaleCrop>
  <LinksUpToDate>false</LinksUpToDate>
  <Application>WPS Office_11.1.0.10578_F1E327BC-269C-435d-A152-05C5408002CA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2026-10-11T01:28:38Z</dcterms:created>
  <dc:creator>SIDcloud</dc:creator>
  <cp:lastModifiedBy>SIDcloud</cp:lastModifiedBy>
  <cp:lastPrinted>2019-12-20T04:12:00Z</cp:lastPrinted>
  <dcterms:modified xsi:type="dcterms:W3CDTF">2026-10-11T01:28:38Z</dcterms:modified>
  <cp:revision>1</cp:revision>
  <dc:title>纪元急袭隐私政策</dc:title>
  <dc:subject>ER-PRIVACY-2026-10-11-PUBLIC</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2052-11.1.0.10578</vt:lpwstr>
  </property>
  <property fmtid="{D5CDD505-2E9C-101B-9397-08002B2CF9AE}" pid="3" name="ICV">
    <vt:lpwstr>8B52C826893F419D9F2248EE92B63466</vt:lpwstr>
  </property>
</Properties>
</file>