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7000F16">
      <w:pPr>
        <w:spacing w:after="192" w:line="384"/>
        <w:jc w:val="left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内部资料 · 文档资产盘点</w:t>
      </w:r>
    </w:p>
    <w:p w14:paraId="6532D5FF">
      <w:pPr>
        <w:spacing w:after="120" w:line="384"/>
        <w:jc w:val="left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CS2-Box 项目文档体系总结报告</w:t>
      </w:r>
    </w:p>
    <w:p w14:paraId="5F92F2B5">
      <w:pPr>
        <w:spacing w:after="600"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2"/>
        </w:rPr>
        <w:t>正式文档库与 AI 工具工作数据全景盘点</w:t>
      </w:r>
    </w:p>
    <w:p w14:paraId="7856DA94">
      <w:pPr>
        <w:spacing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0"/>
        </w:rPr>
        <w:t>报告日期：2026 年 10 月 14 日</w:t>
      </w:r>
    </w:p>
    <w:p w14:paraId="5DDD8E5B">
      <w:pPr>
        <w:spacing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0"/>
        </w:rPr>
        <w:t>报告范围：docs/ 正式文档库及六个 AI 工具工作数据文件夹</w:t>
      </w:r>
    </w:p>
    <w:p w14:paraId="587B97D9">
      <w:pPr>
        <w:spacing w:line="384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微软雅黑" w:hAnsi="微软雅黑" w:eastAsia="微软雅黑" w:cs="微软雅黑"/>
          <w:color w:val="616161"/>
          <w:sz w:val="20"/>
        </w:rPr>
        <w:t>报告性质：文档资产盘点与总结（内部资料）</w:t>
      </w:r>
    </w:p>
    <w:p w14:paraId="515B67DF">
      <w:pPr>
        <w:spacing w:before="240" w:after="120"/>
      </w:pPr>
      <w:r>
        <w:rPr>
          <w:rFonts w:hint="eastAsia"/>
          <w:b w:val="1"/>
        </w:rPr>
        <w:t>目 录</w:t>
      </w:r>
    </w:p>
    <w:p w14:paraId="3492BA7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一、执行摘要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80165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二、项目背景概况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4979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三、正式文档库（docs/）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FFD9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活跃文档分类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1625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子目录资产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B21C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散布于仓库其他位置的文档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12EF6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四、AI 工具工作数据（六个本地文件夹）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BAA4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73B8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.superpowers：SDD 规格驱动开发留痕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DBAE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.workbuddy：会话产物与长期记忆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CBB3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.zcode：box-editor 六项功能实施计划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920F5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.cw_skill：生态架构图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83F9E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4.6 .qoder：repowiki 知识库与专项方案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00A0A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"section-4-7" </w:instrText>
      </w:r>
      <w:r>
        <w:fldChar w:fldCharType="separate" w:fldLock="0" w:dirty="0"/>
      </w:r>
      <w:r>
        <w:rPr>
          <w:rFonts w:hint="eastAsia"/>
        </w:rPr>
        <w:t>4.7 .opencode：残留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F8C0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五、结论与建议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1772A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6D010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525E48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AAC6F32">
      <w:pPr>
        <w:pStyle w:val="000005"/>
        <w:keepNext w:val="1"/>
        <w:keepLines w:val="1"/>
        <w:shd w:val="clear" w:fill="1a237e"/>
        <w:spacing w:before="600" w:beforeAutospacing="1" w:after="360" w:afterAutospacing="1" w:line="384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26"/>
        </w:rPr>
        <w:t>一、执行摘要</w:t>
      </w:r>
      <w:bookmarkEnd w:id="1"/>
    </w:p>
    <w:p w14:paraId="7396E76E">
      <w:pPr>
        <w:pStyle w:val="000006"/>
        <w:keepNext w:val="1"/>
        <w:keepLines w:val="1"/>
        <w:pBdr>
          <w:left w:val="none" w:color="1565c0" w:sz="8" w:space="0"/>
        </w:pBdr>
        <w:shd w:val="clear" w:fill="f5f7fa"/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核心数据</w:t>
      </w:r>
    </w:p>
    <w:p w14:paraId="580797B4">
      <w:pPr>
        <w:pBdr>
          <w:left w:val="single" w:color="1565c0" w:sz="24"/>
        </w:pBdr>
        <w:shd w:val="clear" w:fill="f5f7fa"/>
        <w:spacing w:after="360" w:line="384"/>
        <w:rPr>
          <w:color w:val="212121"/>
        </w:rPr>
      </w:pPr>
      <w:r>
        <w:rPr>
          <w:rFonts w:ascii="微软雅黑" w:hAnsi="微软雅黑" w:eastAsia="微软雅黑" w:cs="微软雅黑"/>
          <w:i w:val="1"/>
          <w:color w:val="616161"/>
          <w:sz w:val="20"/>
        </w:rPr>
        <w:t>Key Metrics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E4677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指标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EC8D4B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数值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9546C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指标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D76593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数值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D7C61AE">
            <w:pPr>
              <w:jc w:val="center"/>
              <w:rPr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正式活跃文档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7AB0DAB">
            <w:pPr>
              <w:jc w:val="center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b w:val="1"/>
                <w:color w:val="1565c0"/>
                <w:sz w:val="26"/>
              </w:rPr>
              <w:t>32</w:t>
            </w: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 xml:space="preserve"> 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A125A65">
            <w:pPr>
              <w:jc w:val="center"/>
              <w:rPr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归档文档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DB1AF1">
            <w:pPr>
              <w:jc w:val="center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6"/>
              </w:rPr>
              <w:t>约 50</w:t>
            </w: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 xml:space="preserve"> 篇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4009B0E">
            <w:pPr>
              <w:jc w:val="center"/>
              <w:rPr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AI 工具文件夹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15C3F9">
            <w:pPr>
              <w:jc w:val="center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b w:val="1"/>
                <w:color w:val="1565c0"/>
                <w:sz w:val="26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 xml:space="preserve"> 个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3D69B75">
            <w:pPr>
              <w:jc w:val="center"/>
              <w:rPr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工作数据文档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1809AE6">
            <w:pPr>
              <w:jc w:val="center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b w:val="1"/>
                <w:color w:val="1565c0"/>
                <w:sz w:val="26"/>
              </w:rPr>
              <w:t>140+</w:t>
            </w: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 xml:space="preserve"> 篇</w:t>
            </w:r>
          </w:p>
        </w:tc>
      </w:tr>
    </w:tbl>
    <w:p w14:paraId="6683880B">
      <w:pPr>
        <w:pBdr>
          <w:left w:val="single" w:color="1565c0" w:sz="24"/>
        </w:pBdr>
        <w:shd w:val="clear" w:fill="f5f7fa"/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CS2-Box 项目的文档资产分布于两个层面：一是随仓库版本管理的</w:t>
      </w: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正式文档库</w:t>
      </w:r>
      <w:r>
        <w:rPr>
          <w:rFonts w:hint="eastAsia" w:ascii="微软雅黑" w:hAnsi="微软雅黑" w:eastAsia="微软雅黑" w:cs="微软雅黑"/>
          <w:color w:val="212121"/>
          <w:sz w:val="24"/>
        </w:rPr>
        <w:t>（docs/ 目录，32 篇活跃文档、约 50 篇归档，外加 Schema、示例配置与技术分析等辅助资产）；二是六个 AI 工具的</w:t>
      </w: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本地工作数据文件夹</w:t>
      </w:r>
      <w:r>
        <w:rPr>
          <w:rFonts w:hint="eastAsia" w:ascii="微软雅黑" w:hAnsi="微软雅黑" w:eastAsia="微软雅黑" w:cs="微软雅黑"/>
          <w:color w:val="212121"/>
          <w:sz w:val="24"/>
        </w:rPr>
        <w:t>（.superpowers、.workbuddy、.zcode、.cw_skill、.qoder、.opencode），合计约 140 余篇，其中 .qoder 的 repowiki 中文知识库（75 篇）体量最大。</w:t>
      </w:r>
    </w:p>
    <w:p w14:paraId="5038EC07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核心结论如下：</w:t>
      </w:r>
    </w:p>
    <w:p w14:paraId="101E42C6">
      <w:pPr>
        <w:numPr>
          <w:ilvl w:val="0"/>
          <w:numId w:val="1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正式文档库覆盖入门、架构、配置、兼容、测试、发布全生命周期，体系完整；</w:t>
      </w:r>
    </w:p>
    <w:p w14:paraId="34124690">
      <w:pPr>
        <w:numPr>
          <w:ilvl w:val="0"/>
          <w:numId w:val="1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AI 工作数据中沉淀了三类高价值内容：SDD 规格驱动开发全程留痕、法律合规审查报告、按模块组织的中文知识库；</w:t>
      </w:r>
    </w:p>
    <w:p w14:paraId="283524C9">
      <w:pPr>
        <w:numPr>
          <w:ilvl w:val="0"/>
          <w:numId w:val="1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.opencode 已无有效内容（原规划文档已归档至仓库），属可清理残留；</w:t>
      </w:r>
    </w:p>
    <w:p w14:paraId="08ED392C">
      <w:pPr>
        <w:numPr>
          <w:ilvl w:val="0"/>
          <w:numId w:val="1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建议将 repowiki 知识库、合规审查报告等高价值内容纳入正式文档管理，并对工具工作数据建立归档纪律。</w:t>
      </w:r>
    </w:p>
    <w:p w14:paraId="18F6E0BA">
      <w:pPr>
        <w:pStyle w:val="000005"/>
        <w:keepNext w:val="1"/>
        <w:keepLines w:val="1"/>
        <w:shd w:val="clear" w:fill="1a237e"/>
        <w:spacing w:before="600" w:beforeAutospacing="1" w:after="360" w:afterAutospacing="1" w:line="384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ffffff"/>
          <w:sz w:val="26"/>
        </w:rPr>
        <w:t>二、项目背景概况</w:t>
      </w:r>
      <w:bookmarkEnd w:id="2"/>
    </w:p>
    <w:p w14:paraId="2217AD4E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CS2-Box 是一个复刻 CS:GO/CS2「开箱」玩法的 Minecraft 多平台模组，基于 Gradle 多模块工程构建。当前平台矩阵包括：NeoForge 三个维护模块（v1_21_1、v26_1_2、v26_2）与 MinecraftForge 三个正式发布模块（forge_26_1_2、forge_26_2、forge_1_20_1）；v1_21_0 至 v1_21_11 等七个 legacy 平台已于 2026 年 8 月归档（EOL），最后状态保存于 tag eol-legacy-21x-1.0.6。</w:t>
      </w:r>
    </w:p>
    <w:p w14:paraId="5DD8B5E9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项目核心架构约束（CONSTRAINT-001）：common/ 共享库禁止 import 任何 Minecraft/NeoForge 类，由 :common:checkCommonArchitecture Gradle 任务自动把关；三平台镜像纪律禁止整文件覆盖，须以基准模块先改、定点合入的方式同步。这些约束在本次盘点的多份文档中反复出现，是理解项目文档体系的关键背景。</w:t>
      </w:r>
    </w:p>
    <w:p w14:paraId="189292F0">
      <w:pPr>
        <w:pStyle w:val="000005"/>
        <w:keepNext w:val="1"/>
        <w:keepLines w:val="1"/>
        <w:shd w:val="clear" w:fill="1a237e"/>
        <w:spacing w:before="600" w:beforeAutospacing="1" w:after="360" w:afterAutospacing="1" w:line="384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ffffff"/>
          <w:sz w:val="26"/>
        </w:rPr>
        <w:t>三、正式文档库（docs/）</w:t>
      </w:r>
      <w:bookmarkEnd w:id="3"/>
    </w:p>
    <w:p w14:paraId="71814F62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docs/ 是随仓库版本管理的正式文档库，活跃文档共 32 篇，另有六个子目录承载 Schema、示例、教程与归档资产。以下按类别与子目录分别盘点。</w:t>
      </w:r>
    </w:p>
    <w:p w14:paraId="45E43035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" w:name="section-3-1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3.1 活跃文档分类</w:t>
      </w:r>
      <w:bookmarkEnd w:id="4"/>
    </w:p>
    <w:tbl>
      <w:tblPr>
        <w:tblW w:w="8306" w:type="dxa"/>
        <w:shd w:color="212121"/>
        <w:tblLayout w:type="autofit"/>
        <w:tblCellMar/>
      </w:tblPr>
      <w:tblGrid>
        <w:gridCol w:w="1495"/>
        <w:gridCol w:w="3488"/>
        <w:gridCol w:w="3323"/>
      </w:tblGrid>
      <w:tr>
        <w:trPr>
          <w:tblHeader w:val="1"/>
        </w:trPr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D8E6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类别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0347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代表文档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E3F10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FA199A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入门与玩家向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5A120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GETTING-STARTED、PLAYER-INTRO、mcmod-intro、PLAYER-CHANGELOG-2.0.x（4 篇）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A10DF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面向玩家与新维护者的介绍与版本更新说明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01DC5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架构与开发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BBDC7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ARCHITECTURE、PLATFORM-APIS、DEVELOPMENT、OPTIMIZATIONS、SIZE-SLIM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01F23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平台适配 API、开发流程与性能优化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8B2CF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配置与数据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A1F0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CONFIGURATION、KUBEJS-EVENTS、BIOME-INTEGRATION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81285E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配置项说明、KubeJS 事件、群系集成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0129B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设计规范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5E1EE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DESIGN-terminal-protocol、TERMINAL-LAYOUT-SPEC、DESIGN-rarity-mapping、DESIGN-jade-wthit-integration、terminal-ui-design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5B9A92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终端机协议与布局、稀有度映射、WTHIT/Jade 集成设计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B36CBD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兼容性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B635E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CREATE-COMPAT、MODERN-UI-COMPAT、SHADER-COMPAT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5A0E8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Create、现代 UI、光影兼容方案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E3AFF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测试、CI 与发布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E4EE3B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TESTING、TESTING-FORGE-2612/262/1201、RUNTIME-UI-TESTING、TEST-HELPER-MOD-SPEC、CI-PROTECTION、CODE-REVIEW、RELEASE、ROADMAP</w:t>
            </w:r>
          </w:p>
        </w:tc>
        <w:tc>
          <w:tcPr>
            <w:tcW w:w="332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010E3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测试门禁、CI 保护、代码审查标准与发布流程</w:t>
            </w:r>
          </w:p>
        </w:tc>
      </w:tr>
    </w:tbl>
    <w:p w14:paraId="22CA6581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" w:name="section-3-2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3.2 子目录资产</w:t>
      </w:r>
      <w:bookmarkEnd w:id="5"/>
    </w:p>
    <w:tbl>
      <w:tblPr>
        <w:tblW w:w="8306" w:type="dxa"/>
        <w:shd w:color="212121"/>
        <w:tblLayout w:type="autofit"/>
        <w:tblCellMar/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249D0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子目录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C83D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内容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B86CE4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box-schema/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A5ED02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box.schema.json 与 prices.schema.json，箱子与价格配置的 JSON Schema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32CF31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examples/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BA64B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示例配置：武器商、附魔商、补给哨站、群系数据包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FED9B1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tech-analysis/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93527B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三篇技术分析：随机抽奖算法审查与修复报告、EMI 与信息显示模组调研、优化与死代码审计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474B9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tutorials/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77402A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v1.0.6 / v2.0.1 / v2.0.2 三代教程（中英双语各三篇）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DE2F99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reports/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C8693A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box-editor 审计报告（HTML）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937A6D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archive/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813078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约 50 篇归档：历史测试报告、superpowers 计划与规格、agent-tools 规划等</w:t>
            </w:r>
          </w:p>
        </w:tc>
      </w:tr>
    </w:tbl>
    <w:p w14:paraId="7DDADEBB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" w:name="section-3-3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3.3 散布于仓库其他位置的文档</w:t>
      </w:r>
      <w:bookmarkEnd w:id="6"/>
    </w:p>
    <w:p w14:paraId="3F01614D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根目录的 README（中英）、CHANGELOG、CONTRIBUTING 与 AGENTS.md（Agent 开发指南）构成项目门面与协作规范；box-editor/README.md 说明网页配置编辑器；compat-packs/ 下五个兼容包（TACZ、Apotheosis、Iron's Spells、test）各带 README；common 资源目录内含游戏内教程文本（中英）。</w:t>
      </w:r>
    </w:p>
    <w:p w14:paraId="398763E3">
      <w:pPr>
        <w:pStyle w:val="000005"/>
        <w:keepNext w:val="1"/>
        <w:keepLines w:val="1"/>
        <w:shd w:val="clear" w:fill="1a237e"/>
        <w:spacing w:before="600" w:beforeAutospacing="1" w:after="360" w:afterAutospacing="1" w:line="384"/>
        <w:outlineLvl w:val="1"/>
        <w:rPr>
          <w:color w:val="ffffff"/>
          <w:sz w:val="32"/>
          <w:szCs w:val="32"/>
        </w:rPr>
      </w:pPr>
      <w:bookmarkStart w:id="7" w:name="section-4"/>
      <w:r>
        <w:rPr>
          <w:rFonts w:hint="eastAsia" w:ascii="微软雅黑" w:hAnsi="微软雅黑" w:eastAsia="微软雅黑" w:cs="微软雅黑"/>
          <w:b w:val="1"/>
          <w:color w:val="ffffff"/>
          <w:sz w:val="26"/>
        </w:rPr>
        <w:t>四、AI 工具工作数据（六个本地文件夹）</w:t>
      </w:r>
      <w:bookmarkEnd w:id="7"/>
    </w:p>
    <w:p w14:paraId="65DD6E6C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除正式文档库外，项目根目录还存在六个 AI 工具的本地工作数据文件夹。它们默认不入版本管理，但沉淀了大量高价值的过程文档与知识资产。以下逐一盘点。</w:t>
      </w:r>
    </w:p>
    <w:p w14:paraId="49649721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8" w:name="section-4-1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4.1 总览</w:t>
      </w:r>
      <w:bookmarkEnd w:id="8"/>
    </w:p>
    <w:tbl>
      <w:tblPr>
        <w:tblW w:w="8306" w:type="dxa"/>
        <w:shd w:color="212121"/>
        <w:tblLayout w:type="autofit"/>
        <w:tblCellMar/>
      </w:tblPr>
      <w:tblGrid>
        <w:gridCol w:w="1328"/>
        <w:gridCol w:w="2159"/>
        <w:gridCol w:w="2824"/>
        <w:gridCol w:w="1995"/>
      </w:tblGrid>
      <w:tr>
        <w:trPr>
          <w:tblHeader w:val="1"/>
        </w:trPr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7F60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文件夹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5FCE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定位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BE4D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规模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6F218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价值评估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DA4212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.superpowers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4BD3F4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SDD 规格驱动开发工作流留痕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770F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50 个文件（8 组任务 brief/report、30 篇审查 diff、进度台账、修复报告）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81D616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高——开发过程全程可回溯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4AE85E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.workbuddy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DBC63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会话产物与长期记忆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DAABF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11 篇 Markdown + 预览图/截图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97123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高——含合规审查报告与项目约定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CBB83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.zcode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6D828F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会话规划文档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5F51D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1 篇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F3115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中——box-editor 功能规划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02C4CD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.cw_skill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483770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架构图表产物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873E0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1 套（.cw 源文件 + HTML + SVG）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66D108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中——生态全景图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7DF9AA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.qoder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AA337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repowiki 知识库与专项方案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373C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约 76 篇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7DD0AC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高——体量最大的知识资产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EFA6B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.opencode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77F90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历史规划（已迁移）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ADB49C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仅 node_modules 残留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814952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无——原文档已归档至 docs/archive/agent-tools/</w:t>
            </w:r>
          </w:p>
        </w:tc>
      </w:tr>
    </w:tbl>
    <w:p w14:paraId="61BC6B80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9" w:name="section-4-2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4.2 .superpowers：SDD 规格驱动开发留痕</w:t>
      </w:r>
      <w:bookmarkEnd w:id="9"/>
    </w:p>
    <w:p w14:paraId="58FBD0CE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该文件夹记录了三个完整里程碑的规格驱动开发（Spec-Driven Development）过程，每个任务均按「brief（规格简报）→ 实施 → 审查 diff → report（报告）」流程留痕，由 progress.md 台账统一追踪：</w:t>
      </w:r>
    </w:p>
    <w:tbl>
      <w:tblPr>
        <w:tblW w:w="8306" w:type="dxa"/>
        <w:shd w:color="212121"/>
        <w:tblLayout w:type="autofit"/>
        <w:tblCellMar/>
      </w:tblPr>
      <w:tblGrid>
        <w:gridCol w:w="2824"/>
        <w:gridCol w:w="830"/>
        <w:gridCol w:w="2657"/>
        <w:gridCol w:w="1995"/>
      </w:tblGrid>
      <w:tr>
        <w:trPr>
          <w:tblHeader w:val="1"/>
        </w:trPr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CB8A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里程碑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2CC3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任务数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C8D3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产出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01AB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终审结论</w:t>
            </w:r>
          </w:p>
        </w:tc>
      </w:tr>
      <w:tr>
        <w:trPr/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EFA18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创造模式免钥匙开箱（2026-08-06 起）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385405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8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3EF4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16 commits（af36c10..241a41e），9 平台编译全绿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6A116E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全部完成，review clean</w:t>
            </w:r>
          </w:p>
        </w:tc>
      </w:tr>
      <w:tr>
        <w:trPr/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E6122D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GUI 动效补全 + Easing 提取（2026-08-10）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3E9B98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8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7329B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9+1 commits（39fc240..1577a67）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376C1C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终审 APPROVED（含 spec 矛盾修复与 3 项 fix）</w:t>
            </w:r>
          </w:p>
        </w:tc>
      </w:tr>
      <w:tr>
        <w:trPr/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75B02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终端机演示原型对齐（2026-08-10）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D9C57F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7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D593E2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16 commits（911b744..7c1ea6f，含 3 merge）</w:t>
            </w:r>
          </w:p>
        </w:tc>
        <w:tc>
          <w:tcPr>
            <w:tcW w:w="19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3CF4B6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终审 APPROVED</w:t>
            </w:r>
          </w:p>
        </w:tc>
      </w:tr>
    </w:tbl>
    <w:p w14:paraId="334BB2C5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final-fix-report.md 记录了终审后的两处 Important 级修复（armed 红框被 hover 白框覆盖、英文语言卡片状态标签被 clamp 截断），并附三平台 clean 编译证据与「平台镜像纪律执行情况」说明，体现了该工作流的验证纪律。</w:t>
      </w:r>
    </w:p>
    <w:p w14:paraId="27F5C174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0" w:name="section-4-3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4.3 .workbuddy：会话产物与长期记忆</w:t>
      </w:r>
      <w:bookmarkEnd w:id="10"/>
    </w:p>
    <w:p w14:paraId="0F0385FC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.workbuddy 汇集了 WorkBuddy 会话的三类产物：项目总览、专项审查报告与长期记忆日志，分述如下。</w:t>
      </w:r>
    </w:p>
    <w:p w14:paraId="73A51C7A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（1）overview.md——代码审查机制建设</w:t>
      </w:r>
    </w:p>
    <w:p w14:paraId="0B7CD8C7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记录了为项目建立系统化代码审查标准的过程：产出 docs/CODE-REVIEW.md（审查优先级体系、九项 CS2-Box 专属审查清单、五维通用清单）与 PR 提交模板；第二轮落地了 gametest.yml（GameTest 接入 CI）、pr-checks.yml 与 check-pr-description.sh（PR 描述校验）及 docs/CI-PROTECTION.md（Required status checks 设置指南）。</w:t>
      </w:r>
    </w:p>
    <w:p w14:paraId="433C639C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（2）compliance-review-2026-08-10.md——游戏素材法律合规审查报告</w:t>
      </w:r>
    </w:p>
    <w:p w14:paraId="0D839933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 xml:space="preserve">这是六个文件夹中唯一的风险管理专项文档，综合评分 </w:t>
      </w:r>
      <w:r>
        <w:rPr>
          <w:rFonts w:ascii="微软雅黑" w:hAnsi="微软雅黑" w:eastAsia="微软雅黑" w:cs="微软雅黑"/>
          <w:b w:val="1"/>
          <w:color w:val="c62828"/>
          <w:sz w:val="24"/>
        </w:rPr>
        <w:t>58 / 100</w:t>
      </w:r>
      <w:r>
        <w:rPr>
          <w:rFonts w:hint="eastAsia" w:ascii="微软雅黑" w:hAnsi="微软雅黑" w:eastAsia="微软雅黑" w:cs="微软雅黑"/>
          <w:color w:val="212121"/>
          <w:sz w:val="24"/>
        </w:rPr>
        <w:t>，识别四项关键风险：</w:t>
      </w:r>
    </w:p>
    <w:tbl>
      <w:tblPr>
        <w:tblW w:w="8306" w:type="dxa"/>
        <w:shd w:color="212121"/>
        <w:tblLayout w:type="autofit"/>
        <w:tblCellMar/>
      </w:tblPr>
      <w:tblGrid>
        <w:gridCol w:w="1162"/>
        <w:gridCol w:w="1993"/>
        <w:gridCol w:w="996"/>
        <w:gridCol w:w="4155"/>
      </w:tblGrid>
      <w:tr>
        <w:trPr>
          <w:tblHeader w:val="1"/>
        </w:trPr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CBC4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风险编号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EA766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维度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C8FF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严重度</w:t>
            </w:r>
          </w:p>
        </w:tc>
        <w:tc>
          <w:tcPr>
            <w:tcW w:w="41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EC1FE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要点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81A77E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HIGH-1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6F3896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著作权（素材来源）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F9E90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P0</w:t>
            </w:r>
          </w:p>
        </w:tc>
        <w:tc>
          <w:tcPr>
            <w:tcW w:w="41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DB432D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终端机硬编码 CS:GO 武器皮肤名与磨损机制，属 Valve 受保护表达；MIT 许可不覆盖第三方素材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D87AB1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HIGH-2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81E186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商标使用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AD0D80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P0</w:t>
            </w:r>
          </w:p>
        </w:tc>
        <w:tc>
          <w:tcPr>
            <w:tcW w:w="41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02A74C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发行物命名与描述直接使用 CS:GO/CS2/Counter-Strike 等注册商标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632E35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MEDIUM-1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4B79A5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随机抽取商业化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6AD9FB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P1</w:t>
            </w:r>
          </w:p>
        </w:tc>
        <w:tc>
          <w:tcPr>
            <w:tcW w:w="41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BF73AD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当前免费无内购风险较低；一旦商业化即触发概率公示、版号、未成年人保护义务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A644FC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MEDIUM-2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9C0D4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第三方依赖许可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F0A139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P1</w:t>
            </w:r>
          </w:p>
        </w:tc>
        <w:tc>
          <w:tcPr>
            <w:tcW w:w="41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7AF0B2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TACZ 等依赖许可条款未登记（缺 SBOM）</w:t>
            </w:r>
          </w:p>
        </w:tc>
      </w:tr>
    </w:tbl>
    <w:p w14:paraId="6D70AA8E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报告同时给出风险矩阵（含内容审查、未成年人保护、数据隐私等低风险项）与分阶段整改行动项（如素材原创化、THIRD-PARTY-LICENSES 登记、概率常驻公示）。</w:t>
      </w:r>
    </w:p>
    <w:p w14:paraId="69FF915E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（3）memory 目录——10 篇工作日志与 MEMORY.md</w:t>
      </w:r>
    </w:p>
    <w:p w14:paraId="49D56618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沉淀了平台矩阵、架构约束、wiki 知识库链路、box-editor 部署与 CI 状态等项目级长期约定。</w:t>
      </w:r>
    </w:p>
    <w:p w14:paraId="611FB3A8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1" w:name="section-4-4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4.4 .zcode：box-editor 六项功能实施计划</w:t>
      </w:r>
      <w:bookmarkEnd w:id="11"/>
    </w:p>
    <w:p w14:paraId="7665C85D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单篇规划文档（用户已确认全做）：多箱子工作区（左侧文件侧栏 + 存储层迁移）、暗色主题（纯追加式 CSS 层）、概率表期望价值（EV）列、试开模拟器（CS2 滚动动画 + 确定性抽样单测）、物品 ID 自动补全（数据生成纪律）、PWA 离线安装（sw.js + manifest）。文档含每项的实现路径、横切约束（i18n、esc 门禁、reduced-motion）与验证清单。</w:t>
      </w:r>
    </w:p>
    <w:p w14:paraId="5ADBE66B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2" w:name="section-4-5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4.5 .cw_skill：生态架构图</w:t>
      </w:r>
      <w:bookmarkEnd w:id="12"/>
    </w:p>
    <w:p w14:paraId="104D0A52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一套 CS2-Box 生态全景图，含 .cw 源文件、HTML 渲染页、SVG 成品及配套提取脚本，可作为项目架构可视化素材复用。</w:t>
      </w:r>
    </w:p>
    <w:p w14:paraId="0582D586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3" w:name="section-4-6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4.6 .qoder：repowiki 知识库与专项方案</w:t>
      </w:r>
      <w:bookmarkEnd w:id="13"/>
    </w:p>
    <w:p w14:paraId="2981D830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.qoder 是六个文件夹中体量最大的知识资产，由三部分构成：体系化中文知识库、专项设计文档与自动化审查产物。</w:t>
      </w:r>
    </w:p>
    <w:p w14:paraId="72AB940C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（1）repowiki 中文知识库（75 篇）</w:t>
      </w:r>
    </w:p>
    <w:p w14:paraId="59699BD4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按「根工程 → 通用库模块 → 各版本适配层」的层级组织，每个模块统一包含五类页面：概述、架构设计、技术栈、编码规范、特殊配置与命令。内容与仓库实际结构对应（如根工程篇准确描述了 active_versions 单版本激活机制与 common 共享库设计），是面向新成员的体系化中文入门材料。</w:t>
      </w:r>
    </w:p>
    <w:p w14:paraId="78EA863A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（2）终端机视觉迁移 Java 方案（specs/task-63c）</w:t>
      </w:r>
    </w:p>
    <w:p w14:paraId="0CEC41AF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专项设计文档，核心决策包括：AnimRenderOps 门面</w:t>
      </w: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冻结于 13 个 op、零新增</w:t>
      </w:r>
      <w:r>
        <w:rPr>
          <w:rFonts w:hint="eastAsia" w:ascii="微软雅黑" w:hAnsi="微软雅黑" w:eastAsia="微软雅黑" w:cs="微软雅黑"/>
          <w:color w:val="212121"/>
          <w:sz w:val="24"/>
        </w:rPr>
        <w:t>（依据：decoupled 平台 pose 为 Matrix3x2fStack 无 X 轴旋转，flipIn 无法真实现）；HTML 原型效果按四条通道迁移（代码绘制 / 预烘焙 PNG / 代码近似 / common 纯逻辑下沉）；附 MC GUI 能力边界替代方案表与三平台差异边界表。</w:t>
      </w:r>
    </w:p>
    <w:p w14:paraId="2B1443EE">
      <w:pPr>
        <w:pStyle w:val="00000a"/>
        <w:keepNext w:val="1"/>
        <w:keepLines w:val="1"/>
        <w:spacing w:before="36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0"/>
        </w:rPr>
        <w:t>（3）better-harness 审查报告（2026-08-05）</w:t>
      </w:r>
    </w:p>
    <w:p w14:paraId="4259692F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一次自动化审查的 canvas 与 findings 产物。</w:t>
      </w:r>
    </w:p>
    <w:p w14:paraId="40DEF6D7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4" w:name="section-4-7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4.7 .opencode：残留</w:t>
      </w:r>
      <w:bookmarkEnd w:id="14"/>
    </w:p>
    <w:p w14:paraId="62305D98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仅剩 package.json 与 node_modules 依赖目录；原 .planning/ 规划文档（多加载器重构、里程碑报告等约 20 篇）已随仓库整理归档至 docs/archive/agent-tools/，本文件夹已无有效文档资产。</w:t>
      </w:r>
    </w:p>
    <w:p w14:paraId="73EA9E95">
      <w:pPr>
        <w:pStyle w:val="000005"/>
        <w:keepNext w:val="1"/>
        <w:keepLines w:val="1"/>
        <w:shd w:val="clear" w:fill="1a237e"/>
        <w:spacing w:before="600" w:beforeAutospacing="1" w:after="360" w:afterAutospacing="1" w:line="384"/>
        <w:outlineLvl w:val="1"/>
        <w:rPr>
          <w:color w:val="ffffff"/>
          <w:sz w:val="32"/>
          <w:szCs w:val="32"/>
        </w:rPr>
      </w:pPr>
      <w:bookmarkStart w:id="15" w:name="section-5"/>
      <w:r>
        <w:rPr>
          <w:rFonts w:hint="eastAsia" w:ascii="微软雅黑" w:hAnsi="微软雅黑" w:eastAsia="微软雅黑" w:cs="微软雅黑"/>
          <w:b w:val="1"/>
          <w:color w:val="ffffff"/>
          <w:sz w:val="26"/>
        </w:rPr>
        <w:t>五、结论与建议</w:t>
      </w:r>
      <w:bookmarkEnd w:id="15"/>
    </w:p>
    <w:p w14:paraId="21A9FC63">
      <w:pPr>
        <w:spacing w:after="180" w:line="384"/>
        <w:ind w:firstLine="480"/>
        <w:rPr>
          <w:color w:val="212121"/>
        </w:rPr>
      </w:pPr>
      <w:r>
        <w:rPr>
          <w:rFonts w:hint="eastAsia" w:ascii="微软雅黑" w:hAnsi="微软雅黑" w:eastAsia="微软雅黑" w:cs="微软雅黑"/>
          <w:color w:val="212121"/>
          <w:sz w:val="24"/>
        </w:rPr>
        <w:t>综合以上盘点，本章给出三点总体结论与五条分优先级建议。</w:t>
      </w:r>
    </w:p>
    <w:p w14:paraId="1526A4F6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6" w:name="section-5-1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5.1 结论</w:t>
      </w:r>
      <w:bookmarkEnd w:id="16"/>
    </w:p>
    <w:p w14:paraId="754B2BBC">
      <w:pPr>
        <w:numPr>
          <w:ilvl w:val="0"/>
          <w:numId w:val="2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正式文档库体系完整</w:t>
      </w:r>
      <w:r>
        <w:rPr>
          <w:rFonts w:hint="eastAsia" w:ascii="微软雅黑" w:hAnsi="微软雅黑" w:eastAsia="微软雅黑" w:cs="微软雅黑"/>
          <w:color w:val="212121"/>
          <w:sz w:val="24"/>
        </w:rPr>
        <w:t>：docs/ 活跃文档覆盖玩家、开发者、运维三类读者，测试/CI/发布门禁文档尤为扎实；</w:t>
      </w:r>
    </w:p>
    <w:p w14:paraId="226AE82F">
      <w:pPr>
        <w:numPr>
          <w:ilvl w:val="0"/>
          <w:numId w:val="2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AI 工作数据是高价值补充</w:t>
      </w:r>
      <w:r>
        <w:rPr>
          <w:rFonts w:hint="eastAsia" w:ascii="微软雅黑" w:hAnsi="微软雅黑" w:eastAsia="微软雅黑" w:cs="微软雅黑"/>
          <w:color w:val="212121"/>
          <w:sz w:val="24"/>
        </w:rPr>
        <w:t>：.superpowers 提供了开发过程的完整审计链，.workbuddy 的合规审查报告是项目唯一的风险管理文档，.qoder repowiki 是最系统的中文知识库；</w:t>
      </w:r>
    </w:p>
    <w:p w14:paraId="20703118">
      <w:pPr>
        <w:numPr>
          <w:ilvl w:val="0"/>
          <w:numId w:val="2"/>
        </w:numPr>
        <w:spacing w:after="84" w:line="384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文档分布分散</w:t>
      </w:r>
      <w:r>
        <w:rPr>
          <w:rFonts w:hint="eastAsia" w:ascii="微软雅黑" w:hAnsi="微软雅黑" w:eastAsia="微软雅黑" w:cs="微软雅黑"/>
          <w:color w:val="212121"/>
          <w:sz w:val="24"/>
        </w:rPr>
        <w:t>：正式文档、归档、工具数据三层并存，知识检索成本较高，且工具数据默认不入版本管理，存在丢失风险。</w:t>
      </w:r>
    </w:p>
    <w:p w14:paraId="14F0D18D">
      <w:pPr>
        <w:pStyle w:val="000006"/>
        <w:keepNext w:val="1"/>
        <w:keepLines w:val="1"/>
        <w:pBdr>
          <w:left w:val="single" w:color="1565c0" w:sz="24" w:space="7"/>
        </w:pBdr>
        <w:spacing w:before="36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7" w:name="section-5-2"/>
      <w:r>
        <w:rPr>
          <w:rFonts w:hint="eastAsia" w:ascii="微软雅黑" w:hAnsi="微软雅黑" w:eastAsia="微软雅黑" w:cs="微软雅黑"/>
          <w:b w:val="1"/>
          <w:color w:val="1a237e"/>
          <w:sz w:val="22"/>
        </w:rPr>
        <w:t>5.2 建议</w:t>
      </w:r>
      <w:bookmarkEnd w:id="17"/>
    </w:p>
    <w:tbl>
      <w:tblPr>
        <w:tblW w:w="8306" w:type="dxa"/>
        <w:shd w:color="212121"/>
        <w:tblLayout w:type="autofit"/>
        <w:tblCellMar/>
      </w:tblPr>
      <w:tblGrid>
        <w:gridCol w:w="996"/>
        <w:gridCol w:w="2824"/>
        <w:gridCol w:w="4486"/>
      </w:tblGrid>
      <w:tr>
        <w:trPr>
          <w:tblHeader w:val="1"/>
        </w:trPr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822D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优先级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E3890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建议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DB09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FB4091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P1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7907D9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将合规审查报告纳入正式文档库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F4431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移入 docs/（或知识库）并跟踪整改行动项闭环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A68DFA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P1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6DAA13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repowiki 精华入库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7548E4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对照仓库现状校订后并入 docs/ 或团队云端知识库，避免仅存于本地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6D9254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P2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F565C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建立 AI 工作数据归档纪律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02F9A5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.superpowers 按里程碑打包归档（参照 docs/archive/superpowers 既有惯例）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147523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P3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5F0AC4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清理 .opencode 残留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8652AE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node_modules 等无效内容可在确认后清除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9D8913">
            <w:pPr>
              <w:jc w:val="left"/>
              <w:rPr>
                <w:color w:val="212121"/>
              </w:rPr>
            </w:pPr>
            <w:r>
              <w:rPr>
                <w:rFonts w:ascii="微软雅黑" w:hAnsi="微软雅黑" w:eastAsia="微软雅黑" w:cs="微软雅黑"/>
                <w:color w:val="212121"/>
                <w:sz w:val="20"/>
              </w:rPr>
              <w:t>P3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DCB50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统一文档索引</w:t>
            </w:r>
          </w:p>
        </w:tc>
        <w:tc>
          <w:tcPr>
            <w:tcW w:w="44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DEFB7">
            <w:pPr>
              <w:jc w:val="left"/>
              <w:rPr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color w:val="212121"/>
                <w:sz w:val="20"/>
              </w:rPr>
              <w:t>在 docs/ 增加索引页，标注正式文档与归档/工具数据的对应关系</w:t>
            </w:r>
          </w:p>
        </w:tc>
      </w:tr>
    </w:tbl>
    <w:p w14:paraId="2CA2DD01">
      <w:pPr>
        <w:pBdr>
          <w:top w:val="single" w:color="e0e0e0" w:sz="6" w:space="18"/>
        </w:pBdr>
        <w:spacing w:before="600" w:after="180" w:line="384"/>
        <w:ind w:firstLine="480"/>
        <w:rPr>
          <w:color w:val="61616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微软雅黑" w:hAnsi="微软雅黑" w:eastAsia="微软雅黑" w:cs="微软雅黑"/>
          <w:color w:val="616161"/>
          <w:sz w:val="20"/>
        </w:rPr>
        <w:t>附注：本报告基于对上述文档的实地盘点与关键篇目精读撰写，数据截至 2026 年 10 月 14 日。</w:t>
      </w:r>
    </w:p>
    <w:p w14:paraId="4A94828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1DB5BE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envelope return" w:semiHidden="1" w:unhideWhenUsed="1"/>
    <w:lsdException w:name="Body Text 3" w:semiHidden="1" w:unhideWhenUsed="1"/>
    <w:lsdException w:name="toc 6" w:uiPriority="39" w:semiHidden="1" w:unhideWhenUsed="1"/>
    <w:lsdException w:name="annotation text" w:semiHidden="1" w:unhideWhenUsed="1"/>
    <w:lsdException w:name="Body Text Indent 3" w:semiHidden="1" w:unhideWhenUsed="1"/>
    <w:lsdException w:name="caption" w:uiPriority="35" w:semiHidden="1" w:unhideWhenUsed="1" w:qFormat="1"/>
    <w:lsdException w:name="index 3" w:semiHidden="1" w:unhideWhenUsed="1"/>
    <w:lsdException w:name="endnote reference" w:semiHidden="1" w:unhideWhenUsed="1"/>
    <w:lsdException w:name="List Continue 4" w:semiHidden="1" w:unhideWhenUsed="1"/>
    <w:lsdException w:name="heading 2" w:uiPriority="9" w:semiHidden="1" w:unhideWhenUsed="1" w:qFormat="1"/>
    <w:lsdException w:name="List Number 4" w:semiHidden="1" w:unhideWhenUsed="1"/>
    <w:lsdException w:name="Message Header" w:semiHidden="1" w:unhideWhenUsed="1"/>
    <w:lsdException w:name="heading 5" w:uiPriority="9" w:semiHidden="1" w:unhideWhenUsed="1" w:qFormat="1"/>
    <w:lsdException w:name="endnote text" w:semiHidden="1" w:unhideWhenUsed="1"/>
    <w:lsdException w:name="Normal Indent" w:semiHidden="1" w:unhideWhenUsed="1"/>
    <w:lsdException w:name="List Number 5" w:semiHidden="1" w:unhideWhenUsed="1"/>
    <w:lsdException w:name="footer" w:semiHidden="1" w:unhideWhenUsed="1"/>
    <w:lsdException w:name="index 8" w:semiHidden="1" w:unhideWhenUsed="1"/>
    <w:lsdException w:name="toa heading" w:semiHidden="1" w:unhideWhenUsed="1"/>
    <w:lsdException w:name="index heading" w:semiHidden="1" w:unhideWhenUsed="1"/>
    <w:lsdException w:name="table of figures" w:semiHidden="1" w:unhideWhenUsed="1"/>
    <w:lsdException w:name="toc 3" w:uiPriority="39" w:semiHidden="1" w:unhideWhenUsed="1"/>
    <w:lsdException w:name="toc 8" w:uiPriority="39" w:semiHidden="1" w:unhideWhenUsed="1"/>
    <w:lsdException w:name="index 4" w:semiHidden="1" w:unhideWhenUsed="1"/>
    <w:lsdException w:name="List Bullet 3" w:semiHidden="1" w:unhideWhenUsed="1"/>
    <w:lsdException w:name="header" w:semiHidden="1" w:unhideWhenUsed="1"/>
    <w:lsdException w:name="List Continue" w:semiHidden="1" w:unhideWhenUsed="1"/>
    <w:lsdException w:name="Default Paragraph Font" w:uiPriority="1" w:semiHidden="1" w:unhideWhenUsed="1"/>
    <w:lsdException w:name="index 1" w:semiHidden="1" w:unhideWhenUsed="1"/>
    <w:lsdException w:name="List 5" w:semiHidden="1" w:unhideWhenUsed="1"/>
    <w:lsdException w:name="List 2" w:semiHidden="1" w:unhideWhenUsed="1"/>
    <w:lsdException w:name="Title" w:uiPriority="10" w:qFormat="1"/>
    <w:lsdException w:name="toc 7" w:uiPriority="39" w:semiHidden="1" w:unhideWhenUsed="1"/>
    <w:lsdException w:name="List Bullet" w:semiHidden="1" w:unhideWhenUsed="1"/>
    <w:lsdException w:name="List Bullet 4" w:semiHidden="1" w:unhideWhenUsed="1"/>
    <w:lsdException w:name="List 3" w:semiHidden="1" w:unhideWhenUsed="1"/>
    <w:lsdException w:name="envelope address" w:semiHidden="1" w:unhideWhenUsed="1"/>
    <w:lsdException w:name="heading 4" w:uiPriority="9" w:semiHidden="1" w:unhideWhenUsed="1" w:qFormat="1"/>
    <w:lsdException w:name="List Continue 5" w:semiHidden="1" w:unhideWhenUsed="1"/>
    <w:lsdException w:name="heading 3" w:uiPriority="9" w:semiHidden="1" w:unhideWhenUsed="1" w:qFormat="1"/>
    <w:lsdException w:name="FollowedHyperlink" w:semiHidden="1" w:unhideWhenUsed="1"/>
    <w:lsdException w:name="Strong" w:uiPriority="22" w:qFormat="1"/>
    <w:lsdException w:name="annotation reference" w:semiHidden="1" w:unhideWhenUsed="1"/>
    <w:lsdException w:name="Normal" w:uiPriority="0" w:qFormat="1"/>
    <w:lsdException w:name="Closing" w:semiHidden="1" w:unhideWhenUsed="1"/>
    <w:lsdException w:name="Date" w:semiHidden="1" w:unhideWhenUsed="1"/>
    <w:lsdException w:name="List Number 2" w:semiHidden="1" w:unhideWhenUsed="1"/>
    <w:lsdException w:name="index 9" w:semiHidden="1" w:unhideWhenUsed="1"/>
    <w:lsdException w:name="List 4" w:semiHidden="1" w:unhideWhenUsed="1"/>
    <w:lsdException w:name="index 2" w:semiHidden="1" w:unhideWhenUsed="1"/>
    <w:lsdException w:name="table of authorities" w:semiHidden="1" w:unhideWhenUsed="1"/>
    <w:lsdException w:name="List Number 3" w:semiHidden="1" w:unhideWhenUsed="1"/>
    <w:lsdException w:name="Hyperlink" w:semiHidden="1" w:unhideWhenUsed="1"/>
    <w:lsdException w:name="heading 9" w:uiPriority="9" w:semiHidden="1" w:unhideWhenUsed="1" w:qFormat="1"/>
    <w:lsdException w:name="List" w:semiHidden="1" w:unhideWhenUsed="1"/>
    <w:lsdException w:name="index 7" w:semiHidden="1" w:unhideWhenUsed="1"/>
    <w:lsdException w:name="List Bullet 2" w:semiHidden="1" w:unhideWhenUsed="1"/>
    <w:lsdException w:name="toc 5" w:uiPriority="39" w:semiHidden="1" w:unhideWhenUsed="1"/>
    <w:lsdException w:name="heading 8" w:uiPriority="9" w:semiHidden="1" w:unhideWhenUsed="1" w:qFormat="1"/>
    <w:lsdException w:name="Block Text" w:semiHidden="1" w:unhideWhenUsed="1"/>
    <w:lsdException w:name="Body Text 2" w:semiHidden="1" w:unhideWhenUsed="1"/>
    <w:lsdException w:name="List Bullet 5" w:semiHidden="1" w:unhideWhenUsed="1"/>
    <w:lsdException w:name="heading 1" w:uiPriority="9" w:qFormat="1"/>
    <w:lsdException w:name="Note Heading" w:semiHidden="1" w:unhideWhenUsed="1"/>
    <w:lsdException w:name="Subtitle" w:uiPriority="11" w:qFormat="1"/>
    <w:lsdException w:name="page number" w:semiHidden="1" w:unhideWhenUsed="1"/>
    <w:lsdException w:name="Body Text Indent" w:semiHidden="1" w:unhideWhenUsed="1"/>
    <w:lsdException w:name="Body Text First Indent 2" w:semiHidden="1" w:unhideWhenUsed="1"/>
    <w:lsdException w:name="toc 2" w:uiPriority="39" w:semiHidden="1" w:unhideWhenUsed="1"/>
    <w:lsdException w:name="List Continue 3" w:semiHidden="1" w:unhideWhenUsed="1"/>
    <w:lsdException w:name="List Number" w:semiHidden="1" w:unhideWhenUsed="1"/>
    <w:lsdException w:name="List Continue 2" w:semiHidden="1" w:unhideWhenUsed="1"/>
    <w:lsdException w:name="footnote reference" w:semiHidden="1" w:unhideWhenUsed="1"/>
    <w:lsdException w:name="footnote text" w:semiHidden="1" w:unhideWhenUsed="1"/>
    <w:lsdException w:name="index 5" w:semiHidden="1" w:unhideWhenUsed="1"/>
    <w:lsdException w:name="Body Text" w:semiHidden="1" w:unhideWhenUsed="1"/>
    <w:lsdException w:name="Body Text First Indent" w:semiHidden="1" w:unhideWhenUsed="1"/>
    <w:lsdException w:name="Salutation" w:semiHidden="1" w:unhideWhenUsed="1"/>
    <w:lsdException w:name="heading 6" w:uiPriority="9" w:semiHidden="1" w:unhideWhenUsed="1" w:qFormat="1"/>
    <w:lsdException w:name="index 6" w:semiHidden="1" w:unhideWhenUsed="1"/>
    <w:lsdException w:name="macro" w:semiHidden="1" w:unhideWhenUsed="1"/>
    <w:lsdException w:name="heading 7" w:uiPriority="9" w:semiHidden="1" w:unhideWhenUsed="1" w:qFormat="1"/>
    <w:lsdException w:name="toc 4" w:uiPriority="39" w:semiHidden="1" w:unhideWhenUsed="1"/>
    <w:lsdException w:name="Signature" w:semiHidden="1" w:unhideWhenUsed="1"/>
    <w:lsdException w:name="Body Text Indent 2" w:semiHidden="1" w:unhideWhenUsed="1"/>
    <w:lsdException w:name="line number" w:semiHidden="1" w:unhideWhenUsed="1"/>
    <w:lsdException w:name="toc 9" w:uiPriority="39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a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2026-10-14T22:49:10Z</dcterms:created>
  <dcterms:modified xsi:type="dcterms:W3CDTF">2026-10-14T22:49:10Z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"01a13ad8ac817b549f7408c2d123b548", "ReservedCode1": "", "ContentPropagator": "00119111010856365494821B355", "PropagateID": "01a13ad8ac817b549f7408c2d123b548", "ReservedCode2": ""}}</vt:lpwstr>
  </property>
</Properties>
</file>