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t>Portfolio case studies</w:t>
      </w:r>
    </w:p>
    <w:p>
      <w:pPr>
        <w:spacing w:after="120"/>
      </w:pPr>
      <w:r>
        <w:rPr>
          <w:rFonts w:ascii="Arial" w:hAnsi="Arial" w:eastAsia="Arial"/>
          <w:color w:val="596579"/>
          <w:sz w:val="18"/>
        </w:rPr>
        <w:t>Wiktor Felczak  |  Wdrożenia B2B  |  Onboarding  |  UAT  |  Wsparcie aplikacji</w:t>
      </w:r>
    </w:p>
    <w:p>
      <w:pPr>
        <w:spacing w:after="120"/>
      </w:pPr>
      <w:r>
        <w:t>Zbiór zanonimizowanych przykładów pracy przy wdrożeniach systemów B2B, integracjach, testach UAT i dokumentacji. Opisane rezultaty pochodzą z doświadczenia zawodowego; dokument nie zawiera danych klientów ani kopii wewnętrznych materiałów.</w:t>
      </w:r>
    </w:p>
    <w:p>
      <w:pPr>
        <w:pStyle w:val="Heading2"/>
        <w:keepNext/>
        <w:spacing w:before="140"/>
      </w:pPr>
      <w:r>
        <w:t>01. Koordynacja wdrożenia i harmonogramowanie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Cel: </w:t>
      </w:r>
      <w:r>
        <w:rPr>
          <w:rFonts w:ascii="Arial" w:hAnsi="Arial" w:eastAsia="Arial"/>
          <w:sz w:val="18"/>
        </w:rPr>
        <w:t>Prowadzić firmy asenizacyjne i zlewnie od kick-offu do uruchomienia produkcyjnego, porządkując zadania i zależności po stronie klienta, dostawcy i zespołu.</w:t>
      </w:r>
    </w:p>
    <w:p>
      <w:pPr>
        <w:spacing w:after="30"/>
      </w:pPr>
      <w:r>
        <w:rPr>
          <w:rFonts w:ascii="Arial" w:hAnsi="Arial" w:eastAsia="Arial"/>
          <w:b/>
          <w:color w:val="17365D"/>
          <w:sz w:val="18"/>
        </w:rPr>
        <w:t>Zakres działań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Tworzyłem 30-dniowe plany prac i śledziłem postępy w Bitrix24, Leantime oraz własnym dashboardzie Excel.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Wspólnie z przełożoną rozwijałem 9-etapowy proces wdrożenia, dodając monitoring opóźnień i procedurę szkoleniową.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Rezultat: </w:t>
      </w:r>
      <w:r>
        <w:rPr>
          <w:rFonts w:ascii="Arial" w:hAnsi="Arial" w:eastAsia="Arial"/>
          <w:sz w:val="18"/>
        </w:rPr>
        <w:t>W około 8 miesięcy doprowadziłem 13 wdrożeń do uruchomienia; średni czas od kick-offu do startu wyniósł około 18 dni roboczych. Osiem wdrożeń zakończyło się w standardowym, około miesięcznym planie, a równolegle prowadziłem do 10 projektów. Odsetek nieprzygotowanych firm przed startem automatyzacji zmniejszył się z około 70% do około 30%.</w:t>
      </w:r>
    </w:p>
    <w:p>
      <w:pPr>
        <w:pStyle w:val="Heading2"/>
        <w:keepNext/>
        <w:spacing w:before="140"/>
      </w:pPr>
      <w:r>
        <w:t>02. Integracje API i diagnostyka problemów aplikacji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Cel: </w:t>
      </w:r>
      <w:r>
        <w:rPr>
          <w:rFonts w:ascii="Arial" w:hAnsi="Arial" w:eastAsia="Arial"/>
          <w:sz w:val="18"/>
        </w:rPr>
        <w:t>Koordynować przepływ informacji pomiędzy systemem a oprogramowaniem stacji zlewnych oraz sprawnie przekazywać dostawcom informacje o błędach.</w:t>
      </w:r>
    </w:p>
    <w:p>
      <w:pPr>
        <w:spacing w:after="30"/>
      </w:pPr>
      <w:r>
        <w:rPr>
          <w:rFonts w:ascii="Arial" w:hAnsi="Arial" w:eastAsia="Arial"/>
          <w:b/>
          <w:color w:val="17365D"/>
          <w:sz w:val="18"/>
        </w:rPr>
        <w:t>Zakres działań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Koordynowałem integracje API z oprogramowaniem Enko i POL-EKO, uzgadniając wymagania sieciowe, porty, certyfikaty i protokoły.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Po problemie z aplikacją mobilną związanym z aktualizacją dostawcy przeanalizowałem logi aplikacji dostępne w panelu Plesk, przygotowałem raport i monitorowałem poprawkę.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Zdalnie odblokowałem konfigurację FEKO w projekcie, który pozostawał wstrzymany przez prawie 2 lata.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Rezultat: </w:t>
      </w:r>
      <w:r>
        <w:rPr>
          <w:rFonts w:ascii="Arial" w:hAnsi="Arial" w:eastAsia="Arial"/>
          <w:sz w:val="18"/>
        </w:rPr>
        <w:t>Informacje diagnostyczne trafiały do właściwego dostawcy, a konfiguracja długo wstrzymanego projektu została odblokowana. Zakres pracy w Plesk obejmował analizę logów aplikacji przy zgłoszonym problemie.</w:t>
      </w:r>
    </w:p>
    <w:p>
      <w:r>
        <w:br w:type="page"/>
      </w:r>
    </w:p>
    <w:p>
      <w:pPr>
        <w:pStyle w:val="Heading2"/>
        <w:keepNext/>
        <w:spacing w:before="140"/>
      </w:pPr>
      <w:r>
        <w:t>03. Testy UAT i jakość danych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Cel: </w:t>
      </w:r>
      <w:r>
        <w:rPr>
          <w:rFonts w:ascii="Arial" w:hAnsi="Arial" w:eastAsia="Arial"/>
          <w:sz w:val="18"/>
        </w:rPr>
        <w:t>Ograniczać błędy produkcyjne i niezgodności danych przed przekazaniem zmian użytkownikom.</w:t>
      </w:r>
    </w:p>
    <w:p>
      <w:pPr>
        <w:spacing w:after="30"/>
      </w:pPr>
      <w:r>
        <w:rPr>
          <w:rFonts w:ascii="Arial" w:hAnsi="Arial" w:eastAsia="Arial"/>
          <w:b/>
          <w:color w:val="17365D"/>
          <w:sz w:val="18"/>
        </w:rPr>
        <w:t>Zakres działań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Współdefiniowałem z deweloperami i przetestowałem ponad 20 usprawnień.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Przygotowywałem scenariusze UAT obejmujące ścieżki pozytywne, negatywne i skrajne; dokumentowałem błędy i wykonywałem retesty.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Zaproponowałem normalizację numerów rejestracyjnych oraz samodzielnie rozwiązywałem niezgodności w danych.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Rezultat: </w:t>
      </w:r>
      <w:r>
        <w:rPr>
          <w:rFonts w:ascii="Arial" w:hAnsi="Arial" w:eastAsia="Arial"/>
          <w:sz w:val="18"/>
        </w:rPr>
        <w:t>Normalizacja numerów ograniczyła niezgodności o około 60%. Rozwiązałem setki rozbieżności, w tym ponad 800 rekordów na jednej zlewni.</w:t>
      </w:r>
    </w:p>
    <w:p>
      <w:pPr>
        <w:pStyle w:val="Heading2"/>
        <w:keepNext/>
        <w:spacing w:before="140"/>
      </w:pPr>
      <w:r>
        <w:t>04. Dokumentacja, baza wiedzy i onboarding użytkowników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Cel: </w:t>
      </w:r>
      <w:r>
        <w:rPr>
          <w:rFonts w:ascii="Arial" w:hAnsi="Arial" w:eastAsia="Arial"/>
          <w:sz w:val="18"/>
        </w:rPr>
        <w:t>Ułatwić użytkownikom samodzielną pracę i uporządkować przekazywanie wiedzy klientom oraz zespołowi.</w:t>
      </w:r>
    </w:p>
    <w:p>
      <w:pPr>
        <w:spacing w:after="30"/>
      </w:pPr>
      <w:r>
        <w:rPr>
          <w:rFonts w:ascii="Arial" w:hAnsi="Arial" w:eastAsia="Arial"/>
          <w:b/>
          <w:color w:val="17365D"/>
          <w:sz w:val="18"/>
        </w:rPr>
        <w:t>Zakres działań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Samodzielnie opracowałem 10 źródeł dokumentacji dla firm asenizacyjnych.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Google NotebookLM wygenerował na podstawie tych materiałów test wiedzy wykorzystywany w zespole.</w:t>
      </w:r>
    </w:p>
    <w:p>
      <w:pPr>
        <w:pStyle w:val="ListBullet"/>
        <w:spacing w:after="44" w:line="250" w:lineRule="auto"/>
        <w:ind w:left="317" w:hanging="202"/>
      </w:pPr>
      <w:r>
        <w:rPr>
          <w:rFonts w:ascii="Arial" w:hAnsi="Arial" w:eastAsia="Arial"/>
          <w:sz w:val="18"/>
        </w:rPr>
        <w:t>Przygotowałem procedurę wdrożenia, protokoły odbioru, instrukcje i filmy oraz przeszkoliłem ponad 400 użytkowników.</w:t>
      </w:r>
    </w:p>
    <w:p>
      <w:pPr>
        <w:spacing w:after="50"/>
      </w:pPr>
      <w:r>
        <w:rPr>
          <w:rFonts w:ascii="Arial" w:hAnsi="Arial" w:eastAsia="Arial"/>
          <w:b/>
          <w:color w:val="17365D"/>
          <w:sz w:val="18"/>
        </w:rPr>
        <w:t xml:space="preserve">Rezultat: </w:t>
      </w:r>
      <w:r>
        <w:rPr>
          <w:rFonts w:ascii="Arial" w:hAnsi="Arial" w:eastAsia="Arial"/>
          <w:sz w:val="18"/>
        </w:rPr>
        <w:t>Uporządkowanie instrukcji w bazie wiedzy zmniejszyło liczbę powtarzalnych zgłoszeń o 15%.</w:t>
      </w:r>
    </w:p>
    <w:p>
      <w:pPr>
        <w:pStyle w:val="Caption"/>
      </w:pPr>
      <w:r>
        <w:t>Więcej demonstracyjnych materiałów i przykładów pracy: github.com/wiktorfelczak123/Portfolio-Wiktor-Felczak</w:t>
      </w:r>
    </w:p>
    <w:sectPr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90" w:line="259" w:lineRule="auto"/>
    </w:pPr>
    <w:rPr>
      <w:rFonts w:ascii="Arial" w:hAnsi="Arial" w:eastAsia="Arial"/>
      <w:color w:val="202833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 w:eastAsia="Arial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Portfolio case studies – Wiktor Felczak</dc:title>
  <dc:subject>Wdrożenia B2B, onboarding, UAT i wsparcie aplikacji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