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Calibri" w:cs="Calibri" w:eastAsia="Calibri" w:hAnsi="Calibri"/>
          <w:b/>
          <w:bCs/>
          <w:i w:val="false"/>
          <w:iCs w:val="false"/>
          <w:color w:val="2E75B6"/>
          <w:sz w:val="28"/>
          <w:szCs w:val="28"/>
        </w:rPr>
        <w:t xml:space="preserve">SECTOR DEEP-DIVE</w:t>
      </w:r>
    </w:p>
    <w:p>
      <w:pPr>
        <w:spacing w:after="0" w:before="60"/>
        <w:jc w:val="center"/>
      </w:pPr>
      <w:r>
        <w:rPr>
          <w:rFonts w:ascii="Calibri" w:cs="Calibri" w:eastAsia="Calibri" w:hAnsi="Calibri"/>
          <w:b/>
          <w:bCs/>
          <w:i w:val="false"/>
          <w:iCs w:val="false"/>
          <w:color w:val="1F3864"/>
          <w:sz w:val="72"/>
          <w:szCs w:val="72"/>
        </w:rPr>
        <w:t xml:space="preserve">COMMUNICATION</w:t>
      </w:r>
    </w:p>
    <w:p>
      <w:pPr>
        <w:spacing w:after="300" w:before="0"/>
        <w:jc w:val="center"/>
      </w:pPr>
      <w:r>
        <w:rPr>
          <w:rFonts w:ascii="Calibri" w:cs="Calibri" w:eastAsia="Calibri" w:hAnsi="Calibri"/>
          <w:b/>
          <w:bCs/>
          <w:i w:val="false"/>
          <w:iCs w:val="false"/>
          <w:color w:val="1F3864"/>
          <w:sz w:val="72"/>
          <w:szCs w:val="72"/>
        </w:rPr>
        <w:t xml:space="preserve">SERVICES</w:t>
      </w:r>
    </w:p>
    <w:p>
      <w:pPr>
        <w:shd w:fill="1F3864" w:val="clear"/>
        <w:spacing w:after="0" w:before="0"/>
        <w:jc w:val="center"/>
      </w:pPr>
      <w:r>
        <w:rPr>
          <w:rFonts w:ascii="Calibri" w:cs="Calibri" w:eastAsia="Calibri" w:hAnsi="Calibri"/>
          <w:b w:val="false"/>
          <w:bCs w:val="false"/>
          <w:i w:val="false"/>
          <w:iCs w:val="false"/>
          <w:color w:val="404040"/>
          <w:sz w:val="6"/>
          <w:szCs w:val="6"/>
        </w:rPr>
        <w:t xml:space="preserve">  </w:t>
      </w:r>
    </w:p>
    <w:p>
      <w:pPr>
        <w:spacing w:after="0" w:before="60"/>
      </w:pPr>
      <w:r>
        <w:t xml:space="preserve"/>
      </w:r>
    </w:p>
    <w:p>
      <w:pPr>
        <w:spacing w:after="80" w:before="120"/>
        <w:jc w:val="center"/>
      </w:pPr>
      <w:r>
        <w:rPr>
          <w:rFonts w:ascii="Calibri" w:cs="Calibri" w:eastAsia="Calibri" w:hAnsi="Calibri"/>
          <w:b w:val="false"/>
          <w:bCs w:val="false"/>
          <w:i/>
          <w:iCs/>
          <w:color w:val="2E75B6"/>
          <w:sz w:val="28"/>
          <w:szCs w:val="28"/>
        </w:rPr>
        <w:t xml:space="preserve">Internet Platforms  ·  Telecom Operators</w:t>
      </w:r>
    </w:p>
    <w:p>
      <w:pPr>
        <w:spacing w:after="500" w:before="0"/>
        <w:jc w:val="center"/>
      </w:pPr>
      <w:r>
        <w:rPr>
          <w:rFonts w:ascii="Calibri" w:cs="Calibri" w:eastAsia="Calibri" w:hAnsi="Calibri"/>
          <w:b w:val="false"/>
          <w:bCs w:val="false"/>
          <w:i w:val="false"/>
          <w:iCs w:val="false"/>
          <w:color w:val="404040"/>
          <w:sz w:val="22"/>
          <w:szCs w:val="22"/>
        </w:rPr>
        <w:t xml:space="preserve">Part 2 of 3  ·  Investment Framework Series  ·  US, Canada &amp; UK Markets</w:t>
      </w:r>
    </w:p>
    <w:p>
      <w:pPr>
        <w:spacing w:after="0" w:before="500"/>
      </w:pPr>
      <w:r>
        <w:t xml:space="preserve"/>
      </w:r>
    </w:p>
    <w:p>
      <w:pPr>
        <w:spacing w:after="0" w:before="0"/>
        <w:jc w:val="center"/>
      </w:pPr>
      <w:r>
        <w:rPr>
          <w:rFonts w:ascii="Calibri" w:cs="Calibri" w:eastAsia="Calibri" w:hAnsi="Calibri"/>
          <w:b w:val="false"/>
          <w:bCs w:val="false"/>
          <w:i/>
          <w:iCs/>
          <w:color w:val="404040"/>
          <w:sz w:val="20"/>
          <w:szCs w:val="20"/>
        </w:rPr>
        <w:t xml:space="preserve">Based on Investment Valuation Framework v2</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One Sector Label, Two Different Businesses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Communication Services is the most internally contradictory sector in the GICS classification. It groups together two types of companies that have almost nothing in common analytically — internet platforms and telecom operators — simply because both 'communicate' information. The 2018 GICS restructuring moved Alphabet, Meta, and Netflix out of Technology and into this sector alongside AT&amp;T, Verizon, and BCE. The result is a sector where applying any single valuation framework to all companies produces meaningless results.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This document treats the two company types as entirely separate investment frameworks. The analytical tools, the key metrics, the undervaluation signals, and the risk factors are almost completely different. The only thing they share is the sector label.</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CCCCCC" w:sz="4"/>
              <w:left w:val="single" w:color="CCCCCC" w:sz="4"/>
              <w:bottom w:val="single" w:color="CCCCCC" w:sz="4"/>
              <w:right w:val="single" w:color="CCCCCC" w:sz="4"/>
            </w:tcBorders>
            <w:shd w:fill="5C2D91"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Internet Platforms</w:t>
            </w:r>
          </w:p>
        </w:tc>
        <w:tc>
          <w:tcPr>
            <w:tcW w:type="dxa" w:w="4400"/>
            <w:tcBorders>
              <w:top w:val="single" w:color="CCCCCC" w:sz="4"/>
              <w:left w:val="single" w:color="CCCCCC" w:sz="4"/>
              <w:bottom w:val="single" w:color="CCCCCC" w:sz="4"/>
              <w:right w:val="single" w:color="CCCCCC" w:sz="4"/>
            </w:tcBorders>
            <w:shd w:fill="1B3A5C"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Telecom Operators</w:t>
            </w:r>
          </w:p>
        </w:tc>
      </w:tr>
      <w:tr>
        <w:tc>
          <w:tcPr>
            <w:tcW w:type="dxa" w:w="4400"/>
            <w:tcBorders>
              <w:top w:val="single" w:color="CCCCCC" w:sz="4"/>
              <w:left w:val="single" w:color="CCCCCC" w:sz="4"/>
              <w:bottom w:val="single" w:color="CCCCCC" w:sz="4"/>
              <w:right w:val="single" w:color="CCCCCC" w:sz="4"/>
            </w:tcBorders>
            <w:shd w:fill="F0E8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5C2D91"/>
                <w:sz w:val="20"/>
                <w:szCs w:val="20"/>
              </w:rPr>
              <w:t xml:space="preserve">Alphabet, Meta, Netflix, Snap, Pinterest
US: Alphabet, Meta  ·  CA: none at scale  ·  UK: WPP (advertising), Rightmove</w:t>
            </w:r>
          </w:p>
        </w:tc>
        <w:tc>
          <w:tcPr>
            <w:tcW w:type="dxa" w:w="4400"/>
            <w:tcBorders>
              <w:top w:val="single" w:color="CCCCCC" w:sz="4"/>
              <w:left w:val="single" w:color="CCCCCC" w:sz="4"/>
              <w:bottom w:val="single" w:color="CCCCCC" w:sz="4"/>
              <w:right w:val="single" w:color="CCCCCC" w:sz="4"/>
            </w:tcBorders>
            <w:shd w:fill="E8EEF4"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1B3A5C"/>
                <w:sz w:val="20"/>
                <w:szCs w:val="20"/>
              </w:rPr>
              <w:t xml:space="preserve">AT&amp;T, Verizon, T-Mobile, BCE, Telus, Rogers, BT Group, Vodafone, Sky
US: AT&amp;T, Verizon  ·  CA: BCE, Telus, Rogers  ·  UK: BT Group, Vodafone</w:t>
            </w:r>
          </w:p>
        </w:tc>
      </w:tr>
      <w:tr>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404040"/>
                <w:sz w:val="19"/>
                <w:szCs w:val="19"/>
              </w:rPr>
              <w:t xml:space="preserve">Business model: Sell user attention to advertisers. Scale without proportional cost increase. Marginal cost of serving one more user is near zero.</w:t>
            </w:r>
          </w:p>
        </w:tc>
        <w:tc>
          <w:tcPr>
            <w:tcW w:type="dxa" w:w="4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404040"/>
                <w:sz w:val="19"/>
                <w:szCs w:val="19"/>
              </w:rPr>
              <w:t xml:space="preserve">Business model: Sell monthly connectivity subscriptions. Requires perpetual physical network investment. Revenue is predictable but growth is capped by population and ARPU.</w:t>
            </w:r>
          </w:p>
        </w:tc>
      </w:tr>
      <w:tr>
        <w:tc>
          <w:tcPr>
            <w:tcW w:type="dxa" w:w="4400"/>
            <w:tcBorders>
              <w:top w:val="single" w:color="CCCCCC" w:sz="4"/>
              <w:left w:val="single" w:color="CCCCCC" w:sz="4"/>
              <w:bottom w:val="single" w:color="CCCCCC" w:sz="4"/>
              <w:right w:val="single" w:color="CCCCCC" w:sz="4"/>
            </w:tcBorders>
            <w:shd w:fill="F0E8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5C2D91"/>
                <w:sz w:val="20"/>
                <w:szCs w:val="20"/>
              </w:rPr>
              <w:t xml:space="preserve">Primary value driver: User growth × monetisation per user × margin expansion</w:t>
            </w:r>
          </w:p>
        </w:tc>
        <w:tc>
          <w:tcPr>
            <w:tcW w:type="dxa" w:w="4400"/>
            <w:tcBorders>
              <w:top w:val="single" w:color="CCCCCC" w:sz="4"/>
              <w:left w:val="single" w:color="CCCCCC" w:sz="4"/>
              <w:bottom w:val="single" w:color="CCCCCC" w:sz="4"/>
              <w:right w:val="single" w:color="CCCCCC" w:sz="4"/>
            </w:tcBorders>
            <w:shd w:fill="E8EEF4"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B3A5C"/>
                <w:sz w:val="20"/>
                <w:szCs w:val="20"/>
              </w:rPr>
              <w:t xml:space="preserve">Primary value driver: Stable recurring cash flow + dividend sustainability + debt management</w:t>
            </w:r>
          </w:p>
        </w:tc>
      </w:tr>
      <w:tr>
        <w:tc>
          <w:tcPr>
            <w:tcW w:type="dxa" w:w="44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Biggest risk: Regulatory intervention, advertiser boycotts, attention competition from new platforms</w:t>
            </w:r>
          </w:p>
        </w:tc>
        <w:tc>
          <w:tcPr>
            <w:tcW w:type="dxa" w:w="4400"/>
            <w:tcBorders>
              <w:top w:val="single" w:color="CCCCCC" w:sz="4"/>
              <w:left w:val="single" w:color="CCCCCC" w:sz="4"/>
              <w:bottom w:val="single" w:color="CCCCCC" w:sz="4"/>
              <w:right w:val="single" w:color="CCCCCC" w:sz="4"/>
            </w:tcBorders>
            <w:shd w:fill="FFCCCC"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iCs/>
                <w:color w:val="C00000"/>
                <w:sz w:val="19"/>
                <w:szCs w:val="19"/>
              </w:rPr>
              <w:t xml:space="preserve">Biggest risk: Dividend cut from over-leverage, technology disruption (fixed wireless, streaming), spectrum cost</w:t>
            </w:r>
          </w:p>
        </w:tc>
      </w:tr>
    </w:tbl>
    <w:p>
      <w:pPr>
        <w:spacing w:after="0" w:before="8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Critical warning: The most dangerous mistake in Communication Services is applying a telecom multiple to an internet platform or vice versa. A platform trading at 15x EBITDA may be dramatically undervalued. A telco trading at 7x EBITDA may be fairly valued or even expensive given its debt load. The numbers only make sense within the correct framework.</w:t>
      </w:r>
    </w:p>
    <w:p>
      <w:r>
        <w:br w:type="page"/>
      </w:r>
    </w:p>
    <w:p>
      <w:pPr>
        <w:pStyle w:val="Heading1"/>
        <w:shd w:fill="5C2D91" w:val="clear"/>
        <w:spacing w:after="180" w:before="400"/>
        <w:ind w:left="240"/>
      </w:pPr>
      <w:r>
        <w:rPr>
          <w:rFonts w:ascii="Calibri" w:cs="Calibri" w:eastAsia="Calibri" w:hAnsi="Calibri"/>
          <w:b/>
          <w:bCs/>
          <w:color w:val="FFFFFF"/>
          <w:sz w:val="40"/>
          <w:szCs w:val="40"/>
        </w:rPr>
        <w:t xml:space="preserve">Part 1 — Internet Platforms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Internet platforms are attention businesses. They build products that attract users, hold their attention, and sell that attention to advertisers — or increasingly, charge users directly through subscriptions and commerce. The economics of this model are extraordinary when it works: the marginal cost of serving an additional user is near zero, so as user counts grow, margins expand automatically. This is why platforms like Alphabet and Meta can generate FCF margins of 20–30%+ at scale.</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analytical challenge is that these companies are valued on user engagement metrics and monetisation rates that are not found in traditional financial statements. An investor who only reads the income statement will miss most of what matters.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Internet Platform Economics Work</w:t>
      </w:r>
    </w:p>
    <w:p>
      <w:pPr>
        <w:spacing w:after="60" w:before="60" w:line="300"/>
        <w:jc w:val="left"/>
      </w:pPr>
      <w:r>
        <w:rPr>
          <w:rFonts w:ascii="Calibri" w:cs="Calibri" w:eastAsia="Calibri" w:hAnsi="Calibri"/>
          <w:b w:val="false"/>
          <w:bCs w:val="false"/>
          <w:i w:val="false"/>
          <w:iCs w:val="false"/>
          <w:color w:val="404040"/>
          <w:sz w:val="22"/>
          <w:szCs w:val="22"/>
        </w:rPr>
        <w:t xml:space="preserve">Understanding the business model mechanics is a prerequisite to understanding the valuation. The platform flywheel works as follows: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100"/>
      </w:tblGrid>
      <w:tr>
        <w:tc>
          <w:tcPr>
            <w:tcW w:type="dxa" w:w="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Stage</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Happens</w:t>
            </w:r>
          </w:p>
        </w:tc>
        <w:tc>
          <w:tcPr>
            <w:tcW w:type="dxa" w:w="5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Why It Matters for Valuation</w:t>
            </w:r>
          </w:p>
        </w:tc>
      </w:tr>
      <w:tr>
        <w:tc>
          <w:tcPr>
            <w:tcW w:type="dxa" w:w="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 User acquisition</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Platform attracts users through product quality, network effects, or distribution</w:t>
            </w:r>
          </w:p>
        </w:tc>
        <w:tc>
          <w:tcPr>
            <w:tcW w:type="dxa" w:w="5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Users are the raw material — without them, there is no product to sell to advertisers</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 Engagement deepening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Users spend more time, create more content, make more searches, watch more videos</w:t>
            </w:r>
          </w:p>
        </w:tc>
        <w:tc>
          <w:tcPr>
            <w:tcW w:type="dxa" w:w="5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Engagement time directly determines how many ad impressions can be sold per user</w:t>
            </w:r>
          </w:p>
        </w:tc>
      </w:tr>
      <w:tr>
        <w:tc>
          <w:tcPr>
            <w:tcW w:type="dxa" w:w="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3. Advertiser demand</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Brands pay to place ads in front of engaged users</w:t>
            </w:r>
          </w:p>
        </w:tc>
        <w:tc>
          <w:tcPr>
            <w:tcW w:type="dxa" w:w="5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Advertiser demand is driven by ROI on ad spend — better targeting = higher CPM (cost per thousand)</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4. Monetisation efficiency</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Platform improves ad targeting using user data</w:t>
            </w:r>
          </w:p>
        </w:tc>
        <w:tc>
          <w:tcPr>
            <w:tcW w:type="dxa" w:w="5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Better targeting raises CPM without adding users — this is pure margin expansion</w:t>
            </w:r>
          </w:p>
        </w:tc>
      </w:tr>
      <w:tr>
        <w:tc>
          <w:tcPr>
            <w:tcW w:type="dxa" w:w="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5. Reinvestment</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is reinvested in product, AI, infrastructure, or returned via buybacks</w:t>
            </w:r>
          </w:p>
        </w:tc>
        <w:tc>
          <w:tcPr>
            <w:tcW w:type="dxa" w:w="5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Capital allocation quality determines whether the flywheel accelerates or stalls</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6. Competitive moat</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Network effects mean more users → better product → more users</w:t>
            </w:r>
          </w:p>
        </w:tc>
        <w:tc>
          <w:tcPr>
            <w:tcW w:type="dxa" w:w="5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moat is self-reinforcing — this is why platform leadership tends to be durable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Metrics That Drive Platform Valuation</w:t>
      </w:r>
    </w:p>
    <w:p>
      <w:pPr>
        <w:spacing w:after="60" w:before="60" w:line="300"/>
        <w:jc w:val="left"/>
      </w:pPr>
      <w:r>
        <w:rPr>
          <w:rFonts w:ascii="Calibri" w:cs="Calibri" w:eastAsia="Calibri" w:hAnsi="Calibri"/>
          <w:b w:val="false"/>
          <w:bCs w:val="false"/>
          <w:i w:val="false"/>
          <w:iCs w:val="false"/>
          <w:color w:val="404040"/>
          <w:sz w:val="22"/>
          <w:szCs w:val="22"/>
        </w:rPr>
        <w:t xml:space="preserve">These are the metrics you must track — in addition to standard financial metrics — to understand whether an internet platform is genuinely undervalued or merely cheap.</w:t>
      </w:r>
    </w:p>
    <w:p>
      <w:pPr>
        <w:spacing w:after="0" w:before="80"/>
      </w:pPr>
      <w:r>
        <w:t xml:space="preserve"/>
      </w:r>
    </w:p>
    <w:p>
      <w:pPr>
        <w:spacing w:after="80" w:before="240"/>
      </w:pPr>
      <w:r>
        <w:rPr>
          <w:rFonts w:ascii="Calibri" w:cs="Calibri" w:eastAsia="Calibri" w:hAnsi="Calibri"/>
          <w:b/>
          <w:bCs/>
          <w:color w:val="2E75B6"/>
          <w:sz w:val="25"/>
          <w:szCs w:val="25"/>
        </w:rPr>
        <w:t xml:space="preserve">1. Daily / Monthly Active Users (DAU / MAU) and the DAU/MAU Ratio</w:t>
      </w:r>
    </w:p>
    <w:p>
      <w:pPr>
        <w:spacing w:after="60" w:before="60" w:line="300"/>
        <w:jc w:val="left"/>
      </w:pPr>
      <w:r>
        <w:rPr>
          <w:rFonts w:ascii="Calibri" w:cs="Calibri" w:eastAsia="Calibri" w:hAnsi="Calibri"/>
          <w:b w:val="false"/>
          <w:bCs w:val="false"/>
          <w:i w:val="false"/>
          <w:iCs w:val="false"/>
          <w:color w:val="404040"/>
          <w:sz w:val="22"/>
          <w:szCs w:val="22"/>
        </w:rPr>
        <w:t xml:space="preserve">User counts measure the size of the attention asset. But raw user numbers are less important than the trend and the engagement quality. The DAU/MAU ratio — daily active users divided by monthly active users — measures how frequently users return. A high ratio indicates deep habit formation.</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Measure</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Healthy Level</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MAU growth</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Year-over-year % growth in monthly active users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5% for mature platforms; ≥ 15% for growth-stage</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Negative MAU growth — users leaving is existential for an attention business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DAU/MAU ratio</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Daily users / Monthly users — engagement frequency</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65% (world-class: ≥ 75%)</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Below 50% — most users are not habitual; monetisation ceiling is lower</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Time spent per user</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daily minutes of engagement</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YoY or stable at high level (≥ 30 min/day)</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time spent despite flat MAU — engagement quality deteriorating</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User cohort retention</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 users acquired 12 months ago still use the product?</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Retention curves flatten within 3–6 months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Retention curves never flatten — continuous churn requiring constant re-acquisition</w:t>
            </w:r>
          </w:p>
        </w:tc>
      </w:tr>
    </w:tbl>
    <w:p>
      <w:pPr>
        <w:spacing w:after="0" w:before="80"/>
      </w:pPr>
      <w:r>
        <w:t xml:space="preserve"/>
      </w:r>
    </w:p>
    <w:p>
      <w:pPr>
        <w:spacing w:after="80" w:before="240"/>
      </w:pPr>
      <w:r>
        <w:rPr>
          <w:rFonts w:ascii="Calibri" w:cs="Calibri" w:eastAsia="Calibri" w:hAnsi="Calibri"/>
          <w:b/>
          <w:bCs/>
          <w:color w:val="2E75B6"/>
          <w:sz w:val="25"/>
          <w:szCs w:val="25"/>
        </w:rPr>
        <w:t xml:space="preserve">2. Average Revenue Per User (ARPU) — The Monetisation Metric</w:t>
      </w:r>
    </w:p>
    <w:p>
      <w:pPr>
        <w:spacing w:after="60" w:before="60" w:line="300"/>
        <w:jc w:val="left"/>
      </w:pPr>
      <w:r>
        <w:rPr>
          <w:rFonts w:ascii="Calibri" w:cs="Calibri" w:eastAsia="Calibri" w:hAnsi="Calibri"/>
          <w:b w:val="false"/>
          <w:bCs w:val="false"/>
          <w:i w:val="false"/>
          <w:iCs w:val="false"/>
          <w:color w:val="404040"/>
          <w:sz w:val="22"/>
          <w:szCs w:val="22"/>
        </w:rPr>
        <w:t xml:space="preserve">ARPU is calculated as total revenue divided by total users. It captures how effectively the platform converts user attention into revenue. ARPU varies enormously by geography — a US user generates roughly 10–15x the ARPU of a developing market user due to advertiser demand differences.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8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ARPU Segment</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Why It Matters</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Track</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US &amp; Canada ARPU</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Highest-value market — benchmark for platform monetisation ceiling</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ARPU in a mature market signals improving ad targeting and pricing power</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Europe ARPU</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Lower than US due to GDPR privacy constraints on targeting</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GDPR impact on targeting efficiency is a structural headwind — track separately</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Asia-Pacific ARPU</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Much lower monetisation but very large user base</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Watch for ARPU convergence toward Western levels as markets develop</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Rest of World ARPU</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Lowest but fastest growing in many platforms</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Volume plays — low individual value but strategic for user count growth</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ARPU growth overall</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The single number that combines pricing power and engagement depth</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ARPU growing faster than user growth = monetisation efficiency improving — very positive</w:t>
            </w:r>
          </w:p>
        </w:tc>
      </w:tr>
    </w:tbl>
    <w:p>
      <w:pPr>
        <w:spacing w:after="0" w:before="80"/>
      </w:pPr>
      <w:r>
        <w:t xml:space="preserve"/>
      </w:r>
    </w:p>
    <w:p>
      <w:pPr>
        <w:spacing w:after="80" w:before="240"/>
      </w:pPr>
      <w:r>
        <w:rPr>
          <w:rFonts w:ascii="Calibri" w:cs="Calibri" w:eastAsia="Calibri" w:hAnsi="Calibri"/>
          <w:b/>
          <w:bCs/>
          <w:color w:val="2E75B6"/>
          <w:sz w:val="25"/>
          <w:szCs w:val="25"/>
        </w:rPr>
        <w:t xml:space="preserve">3. Revenue Mix: Advertising vs. Subscriptions vs. Commerce</w:t>
      </w:r>
    </w:p>
    <w:p>
      <w:pPr>
        <w:spacing w:after="60" w:before="60" w:line="300"/>
        <w:jc w:val="left"/>
      </w:pPr>
      <w:r>
        <w:rPr>
          <w:rFonts w:ascii="Calibri" w:cs="Calibri" w:eastAsia="Calibri" w:hAnsi="Calibri"/>
          <w:b w:val="false"/>
          <w:bCs w:val="false"/>
          <w:i w:val="false"/>
          <w:iCs w:val="false"/>
          <w:color w:val="404040"/>
          <w:sz w:val="22"/>
          <w:szCs w:val="22"/>
        </w:rPr>
        <w:t xml:space="preserve">The revenue mix tells you about the quality and stability of the platform's income. Advertising revenue is highly cyclical — it falls sharply in recessions as brands cut marketing budgets. Subscription revenue is far more stable. Platforms that are successfully diversifying away from pure advertising deserve a higher quality multiple.</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4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Revenue Type</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Stability</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Margin Profile</w:t>
            </w:r>
          </w:p>
        </w:tc>
        <w:tc>
          <w:tcPr>
            <w:tcW w:type="dxa" w:w="3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Examples</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Digital advertising (search)</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performance-based; more recession-resistant than brand advertising</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margin — Google Search generates ~35% operating margin</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Alphabet (Google Search, YouTube Ads)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Digital advertising (social)</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Lower — brand-sensitive; first cut in recessions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margin but cyclically volatile</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Meta (Facebook, Instagram Ads)</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Subscription streaming</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monthly recurring; sticky once content library is established</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Lower margin due to content costs — Netflix at ~25% operating margin</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Netflix, Disney+, Apple TV+</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Commerce / marketplace fees</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tied to consumer spending cycle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Variable — depends on take rate and logistics involvement</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Amazon marketplace, Shopify GMV</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Cloud / enterprise services</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multi-year contracts, mission-critical</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and expanding — Google Cloud, Microsoft Azure growing 25-35% with improving margins</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Alphabet Google Cloud, Meta AI APIs</w:t>
            </w:r>
          </w:p>
        </w:tc>
      </w:tr>
    </w:tbl>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A platform successfully growing its non-advertising revenue mix — subscriptions, cloud, enterprise — deserves a re-rating upward because its earnings become less cyclical and more predictable. This is one of the most consistent sources of undervaluation in mature internet platforms.</w:t>
      </w:r>
    </w:p>
    <w:p>
      <w:pPr>
        <w:spacing w:after="0" w:before="80"/>
      </w:pPr>
      <w:r>
        <w:t xml:space="preserve"/>
      </w:r>
    </w:p>
    <w:p>
      <w:pPr>
        <w:spacing w:after="80" w:before="240"/>
      </w:pPr>
      <w:r>
        <w:rPr>
          <w:rFonts w:ascii="Calibri" w:cs="Calibri" w:eastAsia="Calibri" w:hAnsi="Calibri"/>
          <w:b/>
          <w:bCs/>
          <w:color w:val="2E75B6"/>
          <w:sz w:val="25"/>
          <w:szCs w:val="25"/>
        </w:rPr>
        <w:t xml:space="preserve">4. Cost Per Mille (CPM) and Click-Through Rate (CTR) Trends</w:t>
      </w:r>
    </w:p>
    <w:p>
      <w:pPr>
        <w:spacing w:after="60" w:before="60" w:line="300"/>
        <w:jc w:val="left"/>
      </w:pPr>
      <w:r>
        <w:rPr>
          <w:rFonts w:ascii="Calibri" w:cs="Calibri" w:eastAsia="Calibri" w:hAnsi="Calibri"/>
          <w:b w:val="false"/>
          <w:bCs w:val="false"/>
          <w:i w:val="false"/>
          <w:iCs w:val="false"/>
          <w:color w:val="404040"/>
          <w:sz w:val="22"/>
          <w:szCs w:val="22"/>
        </w:rPr>
        <w:t xml:space="preserve">CPM is what advertisers pay per thousand ad impressions. CTR is the percentage of users who click on an ad. Together they determine advertising yield — the revenue generated per unit of user attention. Rising CPM signals improving ad targeting and advertiser demand. Falling CPM can signal either market softness or competitive pressure.</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Signal</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Investor Action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CPM rising + CTR stable</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Advertisers paying more for the same targeting quality — pricing power</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Positive for ARPU growth; justifies multiple expansion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CPM rising + CTR rising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 quality improving — better targeting or more engaging formats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Strongest signal: users clicking more AND paying more per click</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CPM falling + MAU growing</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Dilution — adding lower-quality inventory faster than premium inventory</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Watch gross margin — if falling, monetisation efficiency is declining</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CPM falling + MAU flat</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Advertiser demand weakening — economic cycle or competitive pressure</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Potentially serious; check macro environment and competitive commentary</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CPM flat + CTR falling</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 fatigue or quality deterioration — users ignoring ads more</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problem for ad-only platforms; urgency to diversify revenue mix</w:t>
            </w:r>
          </w:p>
        </w:tc>
      </w:tr>
    </w:tbl>
    <w:p>
      <w:pPr>
        <w:spacing w:after="0" w:before="80"/>
      </w:pPr>
      <w:r>
        <w:t xml:space="preserve"/>
      </w:r>
    </w:p>
    <w:p>
      <w:pPr>
        <w:spacing w:after="80" w:before="240"/>
      </w:pPr>
      <w:r>
        <w:rPr>
          <w:rFonts w:ascii="Calibri" w:cs="Calibri" w:eastAsia="Calibri" w:hAnsi="Calibri"/>
          <w:b/>
          <w:bCs/>
          <w:color w:val="2E75B6"/>
          <w:sz w:val="25"/>
          <w:szCs w:val="25"/>
        </w:rPr>
        <w:t xml:space="preserve">5. FCF Margin and Capital Allocation Quality</w:t>
      </w:r>
    </w:p>
    <w:p>
      <w:pPr>
        <w:spacing w:after="60" w:before="60" w:line="300"/>
        <w:jc w:val="left"/>
      </w:pPr>
      <w:r>
        <w:rPr>
          <w:rFonts w:ascii="Calibri" w:cs="Calibri" w:eastAsia="Calibri" w:hAnsi="Calibri"/>
          <w:b w:val="false"/>
          <w:bCs w:val="false"/>
          <w:i w:val="false"/>
          <w:iCs w:val="false"/>
          <w:color w:val="404040"/>
          <w:sz w:val="22"/>
          <w:szCs w:val="22"/>
        </w:rPr>
        <w:t xml:space="preserve">Internet platforms at scale generate exceptional free cash flow. The analytical question is what management does with it. Capital allocation quality is the primary differentiator between platforms that compound shareholder value and those that dissipate it through poor acquisitions or excessive spending.</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Capital Allocation Action</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Good Signal</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Warning Signal</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Share buybacks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Consistent buybacks at reasonable valuations — reduces share count, grows EPS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Buying back stock at extreme valuations (40x+ FCF) — destroys capital</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R&amp;D investment</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Targeted investment with clear commercial application</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Open-ended moonshots with no timeline or commercial target (costly but no revenue)</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Acquisitions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Bolt-on acquisitions that add users, data, or technology at reasonable prices</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Large transformative acquisitions at premium prices — high failure rate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Dividend initiation</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Signals confidence in FCF durability; attracts income investors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Forced dividend cut — the worst outcome for a platform stock</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Infrastructure capex</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Measured investment in servers and data centres proportional to revenue growth</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Capex growing significantly faster than revenue for sustained periods — margin compression</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Internet Platform Valuation Framework</w:t>
      </w:r>
    </w:p>
    <w:p>
      <w:pPr>
        <w:spacing w:after="60" w:before="60" w:line="300"/>
        <w:jc w:val="left"/>
      </w:pPr>
      <w:r>
        <w:rPr>
          <w:rFonts w:ascii="Calibri" w:cs="Calibri" w:eastAsia="Calibri" w:hAnsi="Calibri"/>
          <w:b w:val="false"/>
          <w:bCs w:val="false"/>
          <w:i w:val="false"/>
          <w:iCs w:val="false"/>
          <w:color w:val="404040"/>
          <w:sz w:val="22"/>
          <w:szCs w:val="22"/>
        </w:rPr>
        <w:t xml:space="preserve">Internet platforms require a layered valuation approach because multiple value streams coexist within the same company. The right method depends on the revenue mix.</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Method</w:t>
            </w:r>
          </w:p>
        </w:tc>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When to Use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Apply</w:t>
            </w:r>
          </w:p>
        </w:tc>
        <w:tc>
          <w:tcPr>
            <w:tcW w:type="dxa" w:w="27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Assumption</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Primary — all mature platforms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Compare to historical range and sector peers; 15–30x for quality platforms with growth</w:t>
            </w:r>
          </w:p>
        </w:tc>
        <w:tc>
          <w:tcPr>
            <w:tcW w:type="dxa" w:w="2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EBITDA margin expansion trajectory — platforms should see margins improve as fixed costs are leveraged</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EV/Revenue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Useful for growth-stage or platforms in transition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5–15x revenue for high-growth platforms; 3–6x for mature slower-growth</w:t>
            </w:r>
          </w:p>
        </w:tc>
        <w:tc>
          <w:tcPr>
            <w:tcW w:type="dxa" w:w="2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growth sustainability — is the TAM large enough to sustain current trajectory?</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Sum-of-Parts (SOTP)</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Essential for conglomerates like Alphabet</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Value Search, YouTube, Cloud, Other Bets separately; apply appropriate multiple to each</w:t>
            </w:r>
          </w:p>
        </w:tc>
        <w:tc>
          <w:tcPr>
            <w:tcW w:type="dxa" w:w="2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Correct identification and sizing of each business unit's contribution</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Reverse DCF</w:t>
            </w:r>
          </w:p>
        </w:tc>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Sanity check on any valuation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 the current price, what growth rate is implied for the next 10 years? Is it realistic?</w:t>
            </w:r>
          </w:p>
        </w:tc>
        <w:tc>
          <w:tcPr>
            <w:tcW w:type="dxa" w:w="27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Terminal growth rate and WACC assumptions — small changes have large impact</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Yield</w:t>
            </w:r>
          </w:p>
        </w:tc>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Secondary — confirms EV/EBITDA</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 Market Cap; ≥ 3% is attractive for a platform; ≥ 5% suggests undervaluation</w:t>
            </w:r>
          </w:p>
        </w:tc>
        <w:tc>
          <w:tcPr>
            <w:tcW w:type="dxa" w:w="27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Sustainability of FCF margin — does not account for future capex cycles</w:t>
            </w:r>
          </w:p>
        </w:tc>
      </w:tr>
    </w:tbl>
    <w:p>
      <w:pPr>
        <w:spacing w:after="0" w:before="80"/>
      </w:pPr>
      <w:r>
        <w:t xml:space="preserve"/>
      </w:r>
    </w:p>
    <w:p>
      <w:pPr>
        <w:spacing w:after="80" w:before="240"/>
      </w:pPr>
      <w:r>
        <w:rPr>
          <w:rFonts w:ascii="Calibri" w:cs="Calibri" w:eastAsia="Calibri" w:hAnsi="Calibri"/>
          <w:b/>
          <w:bCs/>
          <w:color w:val="2E75B6"/>
          <w:sz w:val="25"/>
          <w:szCs w:val="25"/>
        </w:rPr>
        <w:t xml:space="preserve">Sum-of-Parts: Why It Matters for Alphabet</w:t>
      </w:r>
    </w:p>
    <w:p>
      <w:pPr>
        <w:spacing w:after="60" w:before="60" w:line="300"/>
        <w:jc w:val="left"/>
      </w:pPr>
      <w:r>
        <w:rPr>
          <w:rFonts w:ascii="Calibri" w:cs="Calibri" w:eastAsia="Calibri" w:hAnsi="Calibri"/>
          <w:b w:val="false"/>
          <w:bCs w:val="false"/>
          <w:i w:val="false"/>
          <w:iCs w:val="false"/>
          <w:color w:val="404040"/>
          <w:sz w:val="22"/>
          <w:szCs w:val="22"/>
        </w:rPr>
        <w:t xml:space="preserve">Alphabet is one of the most persistently misvalued companies in the market because investors apply a blended multiple to three businesses with completely different growth rates and margin profiles. The correct approach is to value each separately.</w:t>
      </w:r>
    </w:p>
    <w:p>
      <w:pPr>
        <w:spacing w:after="0" w:before="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9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Business Unit</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Revenue Contribution</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Appropriate Multiple</w:t>
            </w:r>
          </w:p>
        </w:tc>
        <w:tc>
          <w:tcPr>
            <w:tcW w:type="dxa" w:w="29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Why</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Google Search</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~57%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20–25x EBITDA</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Exceptional moat, near-monopoly in search intent advertising; durable and defensible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YouTube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 of revenue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15–20x EBITDA</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 largest search engine globally; monetisation still developing; connected TV opportunity</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Google Cloud</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~11%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10–15x revenue (growth-stage)</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at 25–30%+ with improving margins; worth significantly more as it approaches AWS-scale profitability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Google Services (other)</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 of revenue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10–15x EBITDA</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Play Store, hardware, Maps — stable but moderate growth</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Other Bets (Waymo, etc.)</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&lt; 1% of revenue</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Speculative option value</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Real optionality — Waymo alone could be worth $30–100bn+ if autonomous vehicles scale; market often assigns zero value</w:t>
            </w:r>
          </w:p>
        </w:tc>
      </w:tr>
    </w:tbl>
    <w:p>
      <w:pPr>
        <w:spacing w:after="0" w:before="40"/>
      </w:pPr>
      <w:r>
        <w:t xml:space="preserve"/>
      </w:r>
    </w:p>
    <w:p>
      <w:pPr>
        <w:pBdr>
          <w:left w:val="single" w:color="5C2D91" w:sz="22" w:space="10"/>
        </w:pBdr>
        <w:shd w:fill="F0E8FF" w:val="clear"/>
        <w:spacing w:after="140" w:before="140" w:line="288"/>
        <w:ind w:left="440" w:right="440"/>
      </w:pPr>
      <w:r>
        <w:rPr>
          <w:rFonts w:ascii="Calibri" w:cs="Calibri" w:eastAsia="Calibri" w:hAnsi="Calibri"/>
          <w:i/>
          <w:iCs/>
          <w:color w:val="5C2D91"/>
          <w:sz w:val="21"/>
          <w:szCs w:val="21"/>
        </w:rPr>
        <w:t xml:space="preserve">The SOTP argument for Alphabet: If you value Google Cloud at a SaaS multiple (10x revenue) and assign even modest value to Waymo and Other Bets, the core Search and YouTube business often comes out cheaper than pure-play advertising companies despite having a far superior competitive position. This is a persistent structural undervaluation driven by the market applying one blended multiple to five different businesses.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Internet Platforms</w:t>
      </w:r>
    </w:p>
    <w:p>
      <w:pPr>
        <w:spacing w:after="0" w:before="60"/>
      </w:pPr>
      <w:r>
        <w:t xml:space="preserve"/>
      </w:r>
    </w:p>
    <w:p>
      <w:pPr>
        <w:spacing w:after="80" w:before="240"/>
      </w:pPr>
      <w:r>
        <w:rPr>
          <w:rFonts w:ascii="Calibri" w:cs="Calibri" w:eastAsia="Calibri" w:hAnsi="Calibri"/>
          <w:b/>
          <w:bCs/>
          <w:color w:val="2E75B6"/>
          <w:sz w:val="25"/>
          <w:szCs w:val="25"/>
        </w:rPr>
        <w:t xml:space="preserve">Scenario A — Advertising Cycle Downturn Masking Structural Quality</w:t>
      </w:r>
    </w:p>
    <w:p>
      <w:pPr>
        <w:spacing w:after="60" w:before="60" w:line="300"/>
        <w:jc w:val="left"/>
      </w:pPr>
      <w:r>
        <w:rPr>
          <w:rFonts w:ascii="Calibri" w:cs="Calibri" w:eastAsia="Calibri" w:hAnsi="Calibri"/>
          <w:b w:val="false"/>
          <w:bCs w:val="false"/>
          <w:i w:val="false"/>
          <w:iCs w:val="false"/>
          <w:color w:val="404040"/>
          <w:sz w:val="22"/>
          <w:szCs w:val="22"/>
        </w:rPr>
        <w:t xml:space="preserve">Digital advertising is meaningfully cyclical. In recessions and uncertainty periods (2022's inflation shock, 2020 COVID), brands cut advertising budgets rapidly. Revenue growth slows or reverses, and the market re-rates platform stocks down sharply — often indiscriminately, regardless of underlying quality.</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platform with structural competitive advantages (dominant market share, network effects, superior targeting data) is trading at a significant discount to its 3-year average EV/EBITDA multiple purely because of a cyclical advertising downturn — not because of a structural loss of users, ARPU, or competitive position.</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Questions to ask before buying in this scenario:</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Is MAU and DAU/MAU stable or growing? If users are not leaving, the revenue will return when advertising spend recovers.</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Is the advertiser ROI proposition intact? Platforms that deliver measurable performance (Google Search, Meta's Advantage+ AI targeting) recover faster than brand-focused platforms.</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What is the competitive position? Has market share shifted to a new entrant during the downturn? TikTok's growth during 2021-2022 was a structural threat to Meta, not just a cyclical one.</w:t>
      </w:r>
    </w:p>
    <w:p>
      <w:pPr>
        <w:pStyle w:val="ListParagraph"/>
        <w:numPr>
          <w:ilvl w:val="0"/>
          <w:numId w:val="2"/>
        </w:numPr>
        <w:spacing w:after="50" w:before="50" w:line="288"/>
        <w:ind w:left="560" w:hanging="280"/>
      </w:pPr>
      <w:r>
        <w:rPr>
          <w:rFonts w:ascii="Calibri" w:cs="Calibri" w:eastAsia="Calibri" w:hAnsi="Calibri"/>
          <w:b w:val="false"/>
          <w:bCs w:val="false"/>
          <w:color w:val="404040"/>
          <w:sz w:val="22"/>
          <w:szCs w:val="22"/>
        </w:rPr>
        <w:t xml:space="preserve">Is management maintaining R&amp;D and infrastructure investment through the downturn? Platforms that cut investment to manage short-term margins often fall behind competitively.</w:t>
      </w:r>
    </w:p>
    <w:p>
      <w:pPr>
        <w:spacing w:after="0" w:before="80"/>
      </w:pPr>
      <w:r>
        <w:t xml:space="preserve"/>
      </w:r>
    </w:p>
    <w:p>
      <w:pPr>
        <w:spacing w:after="80" w:before="240"/>
      </w:pPr>
      <w:r>
        <w:rPr>
          <w:rFonts w:ascii="Calibri" w:cs="Calibri" w:eastAsia="Calibri" w:hAnsi="Calibri"/>
          <w:b/>
          <w:bCs/>
          <w:color w:val="2E75B6"/>
          <w:sz w:val="25"/>
          <w:szCs w:val="25"/>
        </w:rPr>
        <w:t xml:space="preserve">Scenario B — Regulatory Overhang Creating Opportunity</w:t>
      </w:r>
    </w:p>
    <w:p>
      <w:pPr>
        <w:spacing w:after="60" w:before="60" w:line="300"/>
        <w:jc w:val="left"/>
      </w:pPr>
      <w:r>
        <w:rPr>
          <w:rFonts w:ascii="Calibri" w:cs="Calibri" w:eastAsia="Calibri" w:hAnsi="Calibri"/>
          <w:b w:val="false"/>
          <w:bCs w:val="false"/>
          <w:i w:val="false"/>
          <w:iCs w:val="false"/>
          <w:color w:val="404040"/>
          <w:sz w:val="22"/>
          <w:szCs w:val="22"/>
        </w:rPr>
        <w:t xml:space="preserve">Antitrust investigations, data privacy rulings, and content moderation legislation create persistent valuation discounts on dominant internet platforms. The market often prices in worst-case regulatory outcomes that never materialise, or that take far longer to arrive than feared.</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platform is trading at a 20–30% discount to fair value primarily because of regulatory uncertainty — but the specific regulatory risk is quantifiable and the business continues to grow users and ARPU. The core business quality is intact; the market is applying an excessive discount for a risk with uncertain probability and timing.</w:t>
      </w:r>
    </w:p>
    <w:p>
      <w:pPr>
        <w:spacing w:after="0" w:before="4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Important distinction: There is a difference between regulatory risk that threatens the business model (e.g. a ban on behavioural advertising that removes the targeting advantage) and regulatory risk that imposes fines or operational constraints but leaves the business model intact. Only the former is genuinely existential. Most antitrust cases fall into the latter category.</w:t>
      </w:r>
    </w:p>
    <w:p>
      <w:pPr>
        <w:spacing w:after="0" w:before="80"/>
      </w:pPr>
      <w:r>
        <w:t xml:space="preserve"/>
      </w:r>
    </w:p>
    <w:p>
      <w:pPr>
        <w:spacing w:after="80" w:before="240"/>
      </w:pPr>
      <w:r>
        <w:rPr>
          <w:rFonts w:ascii="Calibri" w:cs="Calibri" w:eastAsia="Calibri" w:hAnsi="Calibri"/>
          <w:b/>
          <w:bCs/>
          <w:color w:val="2E75B6"/>
          <w:sz w:val="25"/>
          <w:szCs w:val="25"/>
        </w:rPr>
        <w:t xml:space="preserve">Scenario C — Platform Transition Undervalued by Market</w:t>
      </w:r>
    </w:p>
    <w:p>
      <w:pPr>
        <w:spacing w:after="60" w:before="60" w:line="300"/>
        <w:jc w:val="left"/>
      </w:pPr>
      <w:r>
        <w:rPr>
          <w:rFonts w:ascii="Calibri" w:cs="Calibri" w:eastAsia="Calibri" w:hAnsi="Calibri"/>
          <w:b w:val="false"/>
          <w:bCs w:val="false"/>
          <w:i w:val="false"/>
          <w:iCs w:val="false"/>
          <w:color w:val="404040"/>
          <w:sz w:val="22"/>
          <w:szCs w:val="22"/>
        </w:rPr>
        <w:t xml:space="preserve">Platforms that are successfully transitioning their revenue mix away from cyclical advertising toward stable subscriptions or enterprise services often trade below fair value during the transition period — because near-term revenue growth appears to slow (transition revenues recognised differently) while the long-term quality of the revenue stream is improving dramatically.</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Subscription or cloud revenue growing at ≥ 25% and expanding as a % of total revenue, while the stock is still valued on old blended advertising multiples. The market is applying the wrong multiple to a business that is structurally changing its earnings quality.</w:t>
      </w:r>
    </w:p>
    <w:p>
      <w:pPr>
        <w:spacing w:after="0" w:before="80"/>
      </w:pPr>
      <w:r>
        <w:t xml:space="preserve"/>
      </w:r>
    </w:p>
    <w:p>
      <w:pPr>
        <w:spacing w:after="80" w:before="240"/>
      </w:pPr>
      <w:r>
        <w:rPr>
          <w:rFonts w:ascii="Calibri" w:cs="Calibri" w:eastAsia="Calibri" w:hAnsi="Calibri"/>
          <w:b/>
          <w:bCs/>
          <w:color w:val="2E75B6"/>
          <w:sz w:val="25"/>
          <w:szCs w:val="25"/>
        </w:rPr>
        <w:t xml:space="preserve">Scenario D — AI Monetisation Not Yet Priced In</w:t>
      </w:r>
    </w:p>
    <w:p>
      <w:pPr>
        <w:spacing w:after="60" w:before="60" w:line="300"/>
        <w:jc w:val="left"/>
      </w:pPr>
      <w:r>
        <w:rPr>
          <w:rFonts w:ascii="Calibri" w:cs="Calibri" w:eastAsia="Calibri" w:hAnsi="Calibri"/>
          <w:b w:val="false"/>
          <w:bCs w:val="false"/>
          <w:i w:val="false"/>
          <w:iCs w:val="false"/>
          <w:color w:val="404040"/>
          <w:sz w:val="22"/>
          <w:szCs w:val="22"/>
        </w:rPr>
        <w:t xml:space="preserve">The integration of AI into search, advertising targeting, and cloud services represents a significant near-term ARPU expansion opportunity for dominant platforms. Companies that own proprietary user data at scale have a structural advantage in AI-powered advertising that smaller competitors cannot replicate.</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 platform with massive proprietary training data (search queries, social interactions, purchase history) is integrating AI to improve ad targeting and product quality, but the market is not yet pricing in the resulting ARPU uplift. Look for early signals in CPM improvement and advertiser retention data.</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Internet Platform Undervaluation Checklist</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1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MAU growing or stable?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Growing ≥ 5% or stable at scale with improving DAU/MAU</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MAU — users leaving is existential</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ARPU growing in mature markets?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ARPU growing ≥ 5% in US/Canada — targeting efficiency improving</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ARPU flat or declining despite growing MAU — monetisation ceiling reached</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advertising revenue growing even modestly?</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even 5–8% in a soft macro environment shows resilience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Advertising revenue declining in a stable macro — structural share loss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non-advertising revenue growing faster than advertising?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subscription/cloud growing ≥ 20% — revenue quality improving</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 100% reliance on advertising cycle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FCF margin stable or expanding?</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 20% FCF margin and stable/expanding — exceptional cash generation</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Declining FCF margin without clear investment rationale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management buying back stock?</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consistent buybacks signal management confidence in valuation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buybacks despite massive FCF — capital allocation discipline absent</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regulatory risk quantifiable and survivable?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Fine risk &lt; 10% of annual FCF — painful but not existential</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Structural business model risk — e.g. forced data sharing or ad targeting ban</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EV/EBITDA ≥ 25% below its 5-year average?</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market has repriced beyond what fundamentals justify</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Trading at or above historical average — limited upside from re-rating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competitive position intact?</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Market share in core advertising vertical stable or growing</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Share loss to TikTok, Amazon Ads, or other disruptors visible in CPM data</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specific catalyst in 12–18 months?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AI monetisation, cloud margin inflection, new ad format rollout</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catalyst — undervaluation may persist despite fundamental quality</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Internet Platforms: For dominant platforms with durable moats (Alphabet, Meta): require 20–25% below SOTP or EV/EBITDA fair value. For growth-stage platforms (Snap, Pinterest): require ≥ 35% — user base is less entrenched and monetisation is less proven.</w:t>
      </w:r>
    </w:p>
    <w:p>
      <w:r>
        <w:br w:type="page"/>
      </w:r>
    </w:p>
    <w:p>
      <w:pPr>
        <w:pStyle w:val="Heading1"/>
        <w:shd w:fill="1B3A5C" w:val="clear"/>
        <w:spacing w:after="180" w:before="400"/>
        <w:ind w:left="240"/>
      </w:pPr>
      <w:r>
        <w:rPr>
          <w:rFonts w:ascii="Calibri" w:cs="Calibri" w:eastAsia="Calibri" w:hAnsi="Calibri"/>
          <w:b/>
          <w:bCs/>
          <w:color w:val="FFFFFF"/>
          <w:sz w:val="40"/>
          <w:szCs w:val="40"/>
        </w:rPr>
        <w:t xml:space="preserve">Part 2 — Telecom Operators</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Telecom operators are infrastructure businesses. They build and maintain physical networks — fibre cables, cell towers, spectrum licences, data centres — and charge customers monthly subscriptions for access. The economics are the opposite of internet platforms: high fixed costs, predictable recurring revenue, low growth, and constant capital investment requirements. The primary investment proposition is not capital appreciation but sustainable, growing income distributions funded by stable free cash flow.</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analytical challenge in telecoms is not finding growth — there is very little — but correctly assessing whether the dividend is truly sustainable given the combination of heavy debt, large capex requirements, and the structural pressure from streaming services replacing traditional revenue streams.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Understanding Telecom Economics</w:t>
      </w:r>
    </w:p>
    <w:p>
      <w:pPr>
        <w:spacing w:after="60" w:before="60" w:line="300"/>
        <w:jc w:val="left"/>
      </w:pPr>
      <w:r>
        <w:rPr>
          <w:rFonts w:ascii="Calibri" w:cs="Calibri" w:eastAsia="Calibri" w:hAnsi="Calibri"/>
          <w:b w:val="false"/>
          <w:bCs w:val="false"/>
          <w:i w:val="false"/>
          <w:iCs w:val="false"/>
          <w:color w:val="404040"/>
          <w:sz w:val="22"/>
          <w:szCs w:val="22"/>
        </w:rPr>
        <w:t xml:space="preserve">The telecom business model has three structural features that define everything else in the analysis: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8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Feature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Investment Implication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High fixed costs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Networks cost billions to build and must be maintained regardless of usage levels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Operating leverage works both ways: high margins when utilisation grows, but costs don't fall when revenue declines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Recurring revenue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Monthly subscriptions are highly sticky — customers rarely switch providers</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visibility is excellent — churn rates of 1–2% monthly mean 85–90% of revenue is predictable 12 months out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Perpetual capex requirement</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Networks must be continuously upgraded — 3G to 4G to 5G — to remain competitive</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is always lower than EBITDA because a large portion of cash flow must be reinvested; 'true FCF' = EBITDA minus capex</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Spectrum licences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Government-issued, finite resource required to operate wireless networks</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Spectrum is both an asset (valuable, scarce) and a liability (governments auction it at high prices, creating periodic cash outflows)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Regulatory oversight</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Pricing, competition, and access terms are regulated in most markets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upside is capped but also protected — regulators prevent destructive price wars in most markets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Metrics That Matter in Telecom</w:t>
      </w:r>
    </w:p>
    <w:p>
      <w:pPr>
        <w:spacing w:after="60" w:before="60" w:line="300"/>
        <w:jc w:val="left"/>
      </w:pPr>
      <w:r>
        <w:rPr>
          <w:rFonts w:ascii="Calibri" w:cs="Calibri" w:eastAsia="Calibri" w:hAnsi="Calibri"/>
          <w:b w:val="false"/>
          <w:bCs w:val="false"/>
          <w:i w:val="false"/>
          <w:iCs w:val="false"/>
          <w:color w:val="404040"/>
          <w:sz w:val="22"/>
          <w:szCs w:val="22"/>
        </w:rPr>
        <w:t xml:space="preserve">The financial metrics for telecoms are different from most other sectors. Understanding each one — and its limitations — is essential before building any valuation.</w:t>
      </w:r>
    </w:p>
    <w:p>
      <w:pPr>
        <w:spacing w:after="0" w:before="80"/>
      </w:pPr>
      <w:r>
        <w:t xml:space="preserve"/>
      </w:r>
    </w:p>
    <w:p>
      <w:pPr>
        <w:spacing w:after="80" w:before="240"/>
      </w:pPr>
      <w:r>
        <w:rPr>
          <w:rFonts w:ascii="Calibri" w:cs="Calibri" w:eastAsia="Calibri" w:hAnsi="Calibri"/>
          <w:b/>
          <w:bCs/>
          <w:color w:val="2E75B6"/>
          <w:sz w:val="25"/>
          <w:szCs w:val="25"/>
        </w:rPr>
        <w:t xml:space="preserve">1. EBITDA and EBITDA Margin — The Operating Profitability Measure</w:t>
      </w:r>
    </w:p>
    <w:p>
      <w:pPr>
        <w:spacing w:after="60" w:before="60" w:line="300"/>
        <w:jc w:val="left"/>
      </w:pPr>
      <w:r>
        <w:rPr>
          <w:rFonts w:ascii="Calibri" w:cs="Calibri" w:eastAsia="Calibri" w:hAnsi="Calibri"/>
          <w:b w:val="false"/>
          <w:bCs w:val="false"/>
          <w:i w:val="false"/>
          <w:iCs w:val="false"/>
          <w:color w:val="404040"/>
          <w:sz w:val="22"/>
          <w:szCs w:val="22"/>
        </w:rPr>
        <w:t xml:space="preserve">EBITDA (Earnings Before Interest, Tax, Depreciation and Amortisation) is the primary profitability measure for telecoms because it strips out the large non-cash depreciation charges on network assets and the interest on debt. It represents what the business generates from operations before financing and capital allocation decisions.</w:t>
      </w:r>
    </w:p>
    <w:p>
      <w:pPr>
        <w:spacing w:after="0" w:before="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EBITDA Level</w:t>
            </w:r>
          </w:p>
        </w:tc>
        <w:tc>
          <w:tcPr>
            <w:tcW w:type="dxa" w:w="3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3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Context</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EBITDA margin ≥ 40%</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operational efficiency — typical for leading operators in rational markets</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AT&amp;T post-WarnerMedia: ~39%; TSMC: ~60%; compare only within telecom</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EBITDA margin 30–40%</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 typical for competitive markets or operators with high fixed costs</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Most European telecoms sit here due to high fibre build costs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EBITDA margin &lt; 30%</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Weak — either highly competitive market or operational inefficiency</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Warning: may indicate pricing pressure, high legacy costs, or competitive intensity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EBITDA margin declining</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Structural margin compression — serious for a high-debt business</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Analyse cause: pricing competition, cost inflation, or revenue mix shift away from high-margin services</w:t>
            </w:r>
          </w:p>
        </w:tc>
      </w:tr>
    </w:tbl>
    <w:p>
      <w:pPr>
        <w:spacing w:after="0" w:before="60"/>
      </w:pPr>
      <w:r>
        <w:t xml:space="preserve"/>
      </w:r>
    </w:p>
    <w:p>
      <w:pPr>
        <w:pBdr>
          <w:left w:val="single" w:color="7F6000" w:sz="22" w:space="10"/>
        </w:pBdr>
        <w:shd w:fill="FFF2CC" w:val="clear"/>
        <w:spacing w:after="140" w:before="140" w:line="288"/>
        <w:ind w:left="440" w:right="440"/>
      </w:pPr>
      <w:r>
        <w:rPr>
          <w:rFonts w:ascii="Calibri" w:cs="Calibri" w:eastAsia="Calibri" w:hAnsi="Calibri"/>
          <w:i/>
          <w:iCs/>
          <w:color w:val="7F6000"/>
          <w:sz w:val="21"/>
          <w:szCs w:val="21"/>
        </w:rPr>
        <w:t xml:space="preserve">EBITDA is useful but incomplete for telecoms because it excludes capex, which is not optional — it is necessary for the business to function. Always calculate EBITDAaL (EBITDA after Leases) and FCF after capex to get the true cash generation of the business. Many telecoms look financially healthy on EBITDA but are barely covering their dividend after capex.</w:t>
      </w:r>
    </w:p>
    <w:p>
      <w:pPr>
        <w:spacing w:after="0" w:before="80"/>
      </w:pPr>
      <w:r>
        <w:t xml:space="preserve"/>
      </w:r>
    </w:p>
    <w:p>
      <w:pPr>
        <w:spacing w:after="80" w:before="240"/>
      </w:pPr>
      <w:r>
        <w:rPr>
          <w:rFonts w:ascii="Calibri" w:cs="Calibri" w:eastAsia="Calibri" w:hAnsi="Calibri"/>
          <w:b/>
          <w:bCs/>
          <w:color w:val="2E75B6"/>
          <w:sz w:val="25"/>
          <w:szCs w:val="25"/>
        </w:rPr>
        <w:t xml:space="preserve">2. Free Cash Flow After Capex — The Only Number That Pays Dividends</w:t>
      </w:r>
    </w:p>
    <w:p>
      <w:pPr>
        <w:spacing w:after="60" w:before="60" w:line="300"/>
        <w:jc w:val="left"/>
      </w:pPr>
      <w:r>
        <w:rPr>
          <w:rFonts w:ascii="Calibri" w:cs="Calibri" w:eastAsia="Calibri" w:hAnsi="Calibri"/>
          <w:b w:val="false"/>
          <w:bCs w:val="false"/>
          <w:i w:val="false"/>
          <w:iCs w:val="false"/>
          <w:color w:val="404040"/>
          <w:sz w:val="22"/>
          <w:szCs w:val="22"/>
        </w:rPr>
        <w:t xml:space="preserve">The most important metric for any telecom investor is not EBITDA — it is free cash flow after capital expenditure. This is the cash that remains after keeping the network running, and it is the only cash available to pay dividends, reduce debt, or buy back shares.</w:t>
      </w:r>
    </w:p>
    <w:p>
      <w:pPr>
        <w:spacing w:after="0" w:before="40"/>
      </w:pPr>
      <w:r>
        <w:t xml:space="preserve"/>
      </w:r>
    </w:p>
    <w:p>
      <w:pPr>
        <w:pBdr>
          <w:left w:val="single" w:color="2E75B6" w:sz="22" w:space="10"/>
        </w:pBdr>
        <w:shd w:fill="DEEAF1" w:val="clear"/>
        <w:spacing w:after="140" w:before="140" w:line="288"/>
        <w:ind w:left="440" w:right="440"/>
      </w:pPr>
      <w:r>
        <w:rPr>
          <w:rFonts w:ascii="Calibri" w:cs="Calibri" w:eastAsia="Calibri" w:hAnsi="Calibri"/>
          <w:i/>
          <w:iCs/>
          <w:color w:val="1F3864"/>
          <w:sz w:val="21"/>
          <w:szCs w:val="21"/>
        </w:rPr>
        <w:t xml:space="preserve">Telecom FCF = EBITDA – Net Interest Paid – Taxes Paid – Capital Expenditure – Working Capital Changes
This is significantly lower than EBITDA. A telecom with 40% EBITDA margin and 20% capex/revenue ratio has a FCF margin of roughly 10–15% after interest and taxes — leaving limited room for dividend, debt reduction, and growth investment simultaneously.</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Capex Component</w:t>
            </w:r>
          </w:p>
        </w:tc>
        <w:tc>
          <w:tcPr>
            <w:tcW w:type="dxa" w:w="3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c>
          <w:tcPr>
            <w:tcW w:type="dxa" w:w="3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Assess</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Maintenance capex</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Spending required to keep the existing network operational</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Non-negotiable — cutting maintenance capex creates future reliability problems and customer churn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Growth capex (5G rollout)</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Spending to upgrade the network to next-generation technology</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Temporary but large — 5G spending peaks then normalises; assess where each operator is in the rollout cycle</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Fibre-to-the-home (FTTH)</w:t>
            </w:r>
          </w:p>
        </w:tc>
        <w:tc>
          <w:tcPr>
            <w:tcW w:type="dxa" w:w="3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Building fibre connections directly to homes — extremely capital-intensive</w:t>
            </w:r>
          </w:p>
        </w:tc>
        <w:tc>
          <w:tcPr>
            <w:tcW w:type="dxa" w:w="3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Multi-year programme; assess % completion and timeline to capex normalisation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Spectrum purchases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Government auction bids for radio frequency licences</w:t>
            </w:r>
          </w:p>
        </w:tc>
        <w:tc>
          <w:tcPr>
            <w:tcW w:type="dxa" w:w="3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Irregular but very large — can consume 1–2 years of FCF in a single auction; check upcoming auction schedules</w:t>
            </w:r>
          </w:p>
        </w:tc>
      </w:tr>
    </w:tbl>
    <w:p>
      <w:pPr>
        <w:spacing w:after="0" w:before="80"/>
      </w:pPr>
      <w:r>
        <w:t xml:space="preserve"/>
      </w:r>
    </w:p>
    <w:p>
      <w:pPr>
        <w:spacing w:after="80" w:before="240"/>
      </w:pPr>
      <w:r>
        <w:rPr>
          <w:rFonts w:ascii="Calibri" w:cs="Calibri" w:eastAsia="Calibri" w:hAnsi="Calibri"/>
          <w:b/>
          <w:bCs/>
          <w:color w:val="2E75B6"/>
          <w:sz w:val="25"/>
          <w:szCs w:val="25"/>
        </w:rPr>
        <w:t xml:space="preserve">3. Net Debt / EBITDA — The Risk Metric That Determines Everything</w:t>
      </w:r>
    </w:p>
    <w:p>
      <w:pPr>
        <w:spacing w:after="60" w:before="60" w:line="300"/>
        <w:jc w:val="left"/>
      </w:pPr>
      <w:r>
        <w:rPr>
          <w:rFonts w:ascii="Calibri" w:cs="Calibri" w:eastAsia="Calibri" w:hAnsi="Calibri"/>
          <w:b w:val="false"/>
          <w:bCs w:val="false"/>
          <w:i w:val="false"/>
          <w:iCs w:val="false"/>
          <w:color w:val="404040"/>
          <w:sz w:val="22"/>
          <w:szCs w:val="22"/>
        </w:rPr>
        <w:t xml:space="preserve">Telecom operators are among the most highly leveraged companies in any market. Debt is used to fund the enormous upfront capital requirements of network build-out. The critical question is whether the debt load is sustainable — and whether it leaves enough room to pay the dividend, invest in the network, and not be exposed to refinancing risk.</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800"/>
      </w:tblGrid>
      <w:tr>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Debt/EBITDA Level</w:t>
            </w:r>
          </w:p>
        </w:tc>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Risk Assessment</w:t>
            </w:r>
          </w:p>
        </w:tc>
        <w:tc>
          <w:tcPr>
            <w:tcW w:type="dxa" w:w="4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Investment Implication</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2.0x</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 leverage — unusual for telecoms; strong balance sheet</w:t>
            </w:r>
          </w:p>
        </w:tc>
        <w:tc>
          <w:tcPr>
            <w:tcW w:type="dxa" w:w="4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Significant capacity for dividend growth, buybacks, or acquisitions</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2.0–3.0x</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Moderate — well-managed telecom range</w:t>
            </w:r>
          </w:p>
        </w:tc>
        <w:tc>
          <w:tcPr>
            <w:tcW w:type="dxa" w:w="4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Comfortable; dividend is safe assuming EBITDA is stable</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3.0–4.0x</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Elevated — typical for large integrated operators</w:t>
            </w:r>
          </w:p>
        </w:tc>
        <w:tc>
          <w:tcPr>
            <w:tcW w:type="dxa" w:w="4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Dividend is sustainable but there is limited room for error; watch EBITDA trajectory carefully</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4.0–5.0x</w:t>
            </w:r>
          </w:p>
        </w:tc>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risk increases significantly</w:t>
            </w:r>
          </w:p>
        </w:tc>
        <w:tc>
          <w:tcPr>
            <w:tcW w:type="dxa" w:w="4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Dividend sustainability is a genuine question; a revenue miss could trigger a cut</w:t>
            </w:r>
          </w:p>
        </w:tc>
      </w:tr>
      <w:tr>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&gt; 5.0x</w:t>
            </w:r>
          </w:p>
        </w:tc>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high — distressed territory for telecom</w:t>
            </w:r>
          </w:p>
        </w:tc>
        <w:tc>
          <w:tcPr>
            <w:tcW w:type="dxa" w:w="4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probability of dividend cut, asset sale, or equity raise; treat as turnaround, not income investment</w:t>
            </w:r>
          </w:p>
        </w:tc>
      </w:tr>
    </w:tbl>
    <w:p>
      <w:pPr>
        <w:spacing w:after="0" w:before="60"/>
      </w:pPr>
      <w:r>
        <w:t xml:space="preserve"/>
      </w:r>
    </w:p>
    <w:p>
      <w:pPr>
        <w:pBdr>
          <w:left w:val="single" w:color="C00000" w:sz="22" w:space="10"/>
        </w:pBdr>
        <w:shd w:fill="FFCCCC" w:val="clear"/>
        <w:spacing w:after="140" w:before="140" w:line="288"/>
        <w:ind w:left="440" w:right="440"/>
      </w:pPr>
      <w:r>
        <w:rPr>
          <w:rFonts w:ascii="Calibri" w:cs="Calibri" w:eastAsia="Calibri" w:hAnsi="Calibri"/>
          <w:i/>
          <w:iCs/>
          <w:color w:val="C00000"/>
          <w:sz w:val="21"/>
          <w:szCs w:val="21"/>
        </w:rPr>
        <w:t xml:space="preserve">AT&amp;T's acquisition of Time Warner (2018) pushed Net Debt/EBITDA above 3.5x. When the streaming business underperformed, AT&amp;T was forced to cut its dividend in 2022 — a 47% reduction — destroying years of income-investor confidence. This is the canonical example of the telecom leverage trap. Always model the dividend sustainability at the current debt level before investing in any high-yield telecom.</w:t>
      </w:r>
    </w:p>
    <w:p>
      <w:pPr>
        <w:spacing w:after="0" w:before="80"/>
      </w:pPr>
      <w:r>
        <w:t xml:space="preserve"/>
      </w:r>
    </w:p>
    <w:p>
      <w:pPr>
        <w:spacing w:after="80" w:before="240"/>
      </w:pPr>
      <w:r>
        <w:rPr>
          <w:rFonts w:ascii="Calibri" w:cs="Calibri" w:eastAsia="Calibri" w:hAnsi="Calibri"/>
          <w:b/>
          <w:bCs/>
          <w:color w:val="2E75B6"/>
          <w:sz w:val="25"/>
          <w:szCs w:val="25"/>
        </w:rPr>
        <w:t xml:space="preserve">4. Average Revenue Per User (ARPU) — Pricing Power Indicator</w:t>
      </w:r>
    </w:p>
    <w:p>
      <w:pPr>
        <w:spacing w:after="60" w:before="60" w:line="300"/>
        <w:jc w:val="left"/>
      </w:pPr>
      <w:r>
        <w:rPr>
          <w:rFonts w:ascii="Calibri" w:cs="Calibri" w:eastAsia="Calibri" w:hAnsi="Calibri"/>
          <w:b w:val="false"/>
          <w:bCs w:val="false"/>
          <w:i w:val="false"/>
          <w:iCs w:val="false"/>
          <w:color w:val="404040"/>
          <w:sz w:val="22"/>
          <w:szCs w:val="22"/>
        </w:rPr>
        <w:t xml:space="preserve">Telecom ARPU measures monthly revenue per subscriber. Unlike internet platform ARPU which can grow through better monetisation, telecom ARPU growth is limited by competitive intensity and regulatory oversight. ARPU can only grow sustainably if the operator has genuine pricing power — which requires either market dominance or premium network quality.</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8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ARPU Trend</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Interpretation</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What to Check</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ARPU growing ≥ 2% annually</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Pricing power intact — operator can raise prices without losing customers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Check churn — rising ARPU with rising churn means customers are leaving due to price increases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ARPU flat</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Competitive equilibrium — pricing is rational in the market</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if churn is low; watch for competitive entry from new operators or cable companies</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ARPU declining</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Pricing pressure — either competitive intensity increasing or revenue mix shifting to lower-value plans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Analyse cause: is it competitive (structural) or promotional (temporary)?</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ARPU declining but revenue growing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Subscriber growth offsetting ARPU decline</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Sustainable if market is underpenetrated; unsustainable once penetration peaks</w:t>
            </w:r>
          </w:p>
        </w:tc>
      </w:tr>
    </w:tbl>
    <w:p>
      <w:pPr>
        <w:spacing w:after="0" w:before="80"/>
      </w:pPr>
      <w:r>
        <w:t xml:space="preserve"/>
      </w:r>
    </w:p>
    <w:p>
      <w:pPr>
        <w:spacing w:after="80" w:before="240"/>
      </w:pPr>
      <w:r>
        <w:rPr>
          <w:rFonts w:ascii="Calibri" w:cs="Calibri" w:eastAsia="Calibri" w:hAnsi="Calibri"/>
          <w:b/>
          <w:bCs/>
          <w:color w:val="2E75B6"/>
          <w:sz w:val="25"/>
          <w:szCs w:val="25"/>
        </w:rPr>
        <w:t xml:space="preserve">5. Churn Rate — The Retention Metric</w:t>
      </w:r>
    </w:p>
    <w:p>
      <w:pPr>
        <w:spacing w:after="60" w:before="60" w:line="300"/>
        <w:jc w:val="left"/>
      </w:pPr>
      <w:r>
        <w:rPr>
          <w:rFonts w:ascii="Calibri" w:cs="Calibri" w:eastAsia="Calibri" w:hAnsi="Calibri"/>
          <w:b w:val="false"/>
          <w:bCs w:val="false"/>
          <w:i w:val="false"/>
          <w:iCs w:val="false"/>
          <w:color w:val="404040"/>
          <w:sz w:val="22"/>
          <w:szCs w:val="22"/>
        </w:rPr>
        <w:t xml:space="preserve">Monthly churn is the percentage of subscribers who cancel each month. It is the most direct measure of customer satisfaction and network quality. Low churn is the foundation of telecom financial stability — high churn means constant expensive re-acquisition of customers.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600"/>
      </w:tblGrid>
      <w:tr>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Churn Level</w:t>
            </w:r>
          </w:p>
        </w:tc>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Assessment</w:t>
            </w:r>
          </w:p>
        </w:tc>
        <w:tc>
          <w:tcPr>
            <w:tcW w:type="dxa" w:w="4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Implication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&lt; 1.0% monthly (&lt; 12% annually)</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Best-in-class retention</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Strong network quality and customer satisfaction; pricing power is sustainable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1.0–1.5% monthly</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Good — well-managed operator</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Competitive market but company is holding its own</w:t>
            </w:r>
          </w:p>
        </w:tc>
      </w:tr>
      <w:tr>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1.5–2.0% monthly</w:t>
            </w:r>
          </w:p>
        </w:tc>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Average — watch for deterioration</w:t>
            </w:r>
          </w:p>
        </w:tc>
        <w:tc>
          <w:tcPr>
            <w:tcW w:type="dxa" w:w="4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Customer satisfaction issues beginning; ARPU growth becomes harder to sustain</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&gt; 2.0% monthly</w:t>
            </w:r>
          </w:p>
        </w:tc>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structural problem</w:t>
            </w:r>
          </w:p>
        </w:tc>
        <w:tc>
          <w:tcPr>
            <w:tcW w:type="dxa" w:w="4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Network quality, pricing, or service issues are driving customers away; revenue trajectory at risk</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Telecom-Specific Structural Risks</w:t>
      </w:r>
    </w:p>
    <w:p>
      <w:pPr>
        <w:spacing w:after="60" w:before="60" w:line="300"/>
        <w:jc w:val="left"/>
      </w:pPr>
      <w:r>
        <w:rPr>
          <w:rFonts w:ascii="Calibri" w:cs="Calibri" w:eastAsia="Calibri" w:hAnsi="Calibri"/>
          <w:b w:val="false"/>
          <w:bCs w:val="false"/>
          <w:i w:val="false"/>
          <w:iCs w:val="false"/>
          <w:color w:val="404040"/>
          <w:sz w:val="22"/>
          <w:szCs w:val="22"/>
        </w:rPr>
        <w:t xml:space="preserve">Beyond the standard financial metrics, three structural forces are reshaping telecom economics in the US, Canadian, and UK markets. Understanding these is essential to assessing the long-term investment thesis.</w:t>
      </w:r>
    </w:p>
    <w:p>
      <w:pPr>
        <w:spacing w:after="0" w:before="60"/>
      </w:pPr>
      <w:r>
        <w:t xml:space="preserve"/>
      </w:r>
    </w:p>
    <w:p>
      <w:pPr>
        <w:spacing w:after="80" w:before="240"/>
      </w:pPr>
      <w:r>
        <w:rPr>
          <w:rFonts w:ascii="Calibri" w:cs="Calibri" w:eastAsia="Calibri" w:hAnsi="Calibri"/>
          <w:b/>
          <w:bCs/>
          <w:color w:val="2E75B6"/>
          <w:sz w:val="25"/>
          <w:szCs w:val="25"/>
        </w:rPr>
        <w:t xml:space="preserve">1. Streaming and OTT Substitution</w:t>
      </w:r>
    </w:p>
    <w:p>
      <w:pPr>
        <w:spacing w:after="60" w:before="60" w:line="300"/>
        <w:jc w:val="left"/>
      </w:pPr>
      <w:r>
        <w:rPr>
          <w:rFonts w:ascii="Calibri" w:cs="Calibri" w:eastAsia="Calibri" w:hAnsi="Calibri"/>
          <w:b w:val="false"/>
          <w:bCs w:val="false"/>
          <w:i w:val="false"/>
          <w:iCs w:val="false"/>
          <w:color w:val="404040"/>
          <w:sz w:val="22"/>
          <w:szCs w:val="22"/>
        </w:rPr>
        <w:t xml:space="preserve">Traditional pay-TV and landline revenue — once high-margin staples of the telecom bundle — is in structural decline. Consumers are cutting cable subscriptions in favour of streaming services. This reduces ARPU for integrated operators like AT&amp;T and BCE who historically relied on video bundling to improve customer economics.</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800"/>
      </w:tblGrid>
      <w:tr>
        <w:tc>
          <w:tcPr>
            <w:tcW w:type="dxa" w:w="1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Market</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Situation</w:t>
            </w:r>
          </w:p>
        </w:tc>
        <w:tc>
          <w:tcPr>
            <w:tcW w:type="dxa" w:w="3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Investment Implication</w:t>
            </w:r>
          </w:p>
        </w:tc>
      </w:tr>
      <w:tr>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US</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Pay-TV cord-cutting accelerating — ~25% of households have cut cable since 2015</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Operators like AT&amp;T DirecTV are in managed decline; assess what replaces the video ARPU</w:t>
            </w:r>
          </w:p>
        </w:tc>
      </w:tr>
      <w:tr>
        <w:tc>
          <w:tcPr>
            <w:tcW w:type="dxa" w:w="1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Canada</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BCE and Rogers facing similar cord-cutting; BCE divested some media assets</w:t>
            </w:r>
          </w:p>
        </w:tc>
        <w:tc>
          <w:tcPr>
            <w:tcW w:type="dxa" w:w="3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BCE's investment in fibre is partly a response — internet ARPU replacing video ARPU</w:t>
            </w:r>
          </w:p>
        </w:tc>
      </w:tr>
      <w:tr>
        <w:tc>
          <w:tcPr>
            <w:tcW w:type="dxa" w:w="1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UK</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BT Sport sold to Discovery; Sky owned by Comcast — content fragmentation ongoing</w:t>
            </w:r>
          </w:p>
        </w:tc>
        <w:tc>
          <w:tcPr>
            <w:tcW w:type="dxa" w:w="3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BT shifting to pure-play infrastructure; Openreach (fibre) is the high-quality asset within BT Group</w:t>
            </w:r>
          </w:p>
        </w:tc>
      </w:tr>
    </w:tbl>
    <w:p>
      <w:pPr>
        <w:spacing w:after="0" w:before="80"/>
      </w:pPr>
      <w:r>
        <w:t xml:space="preserve"/>
      </w:r>
    </w:p>
    <w:p>
      <w:pPr>
        <w:spacing w:after="80" w:before="240"/>
      </w:pPr>
      <w:r>
        <w:rPr>
          <w:rFonts w:ascii="Calibri" w:cs="Calibri" w:eastAsia="Calibri" w:hAnsi="Calibri"/>
          <w:b/>
          <w:bCs/>
          <w:color w:val="2E75B6"/>
          <w:sz w:val="25"/>
          <w:szCs w:val="25"/>
        </w:rPr>
        <w:t xml:space="preserve">2. Fixed Wireless Access (FWA) Disruption</w:t>
      </w:r>
    </w:p>
    <w:p>
      <w:pPr>
        <w:spacing w:after="60" w:before="60" w:line="300"/>
        <w:jc w:val="left"/>
      </w:pPr>
      <w:r>
        <w:rPr>
          <w:rFonts w:ascii="Calibri" w:cs="Calibri" w:eastAsia="Calibri" w:hAnsi="Calibri"/>
          <w:b w:val="false"/>
          <w:bCs w:val="false"/>
          <w:i w:val="false"/>
          <w:iCs w:val="false"/>
          <w:color w:val="404040"/>
          <w:sz w:val="22"/>
          <w:szCs w:val="22"/>
        </w:rPr>
        <w:t xml:space="preserve">Fixed wireless access uses 5G cellular networks to deliver broadband to homes, bypassing the need for fibre or cable infrastructure. T-Mobile and Verizon in the US have used FWA to rapidly gain broadband subscribers at low incremental cost — directly attacking the cable companies' home internet monopoly. This is both a threat (if you own cable broadband) and an opportunity (if you own the 5G network being used for FWA).</w:t>
      </w:r>
    </w:p>
    <w:p>
      <w:pPr>
        <w:spacing w:after="0" w:before="40"/>
      </w:pPr>
      <w:r>
        <w:t xml:space="preserve"/>
      </w:r>
    </w:p>
    <w:p>
      <w:pPr>
        <w:pBdr>
          <w:left w:val="single" w:color="1B3A5C" w:sz="22" w:space="10"/>
        </w:pBdr>
        <w:shd w:fill="E8EEF4" w:val="clear"/>
        <w:spacing w:after="140" w:before="140" w:line="288"/>
        <w:ind w:left="440" w:right="440"/>
      </w:pPr>
      <w:r>
        <w:rPr>
          <w:rFonts w:ascii="Calibri" w:cs="Calibri" w:eastAsia="Calibri" w:hAnsi="Calibri"/>
          <w:i/>
          <w:iCs/>
          <w:color w:val="1B3A5C"/>
          <w:sz w:val="21"/>
          <w:szCs w:val="21"/>
        </w:rPr>
        <w:t xml:space="preserve">The FWA dynamic is important for UK and Canadian telecoms too. In Canada, Rogers and Bell are building dense urban fibre while smaller regional operators use wireless to reach rural areas. In the UK, BT's Openreach faces competition from alternative fibre networks (altnet operators) building parallel infrastructure. The operator who wins the fibre-to-the-home race will dominate residential broadband for the next 20 years.</w:t>
      </w:r>
    </w:p>
    <w:p>
      <w:pPr>
        <w:spacing w:after="0" w:before="80"/>
      </w:pPr>
      <w:r>
        <w:t xml:space="preserve"/>
      </w:r>
    </w:p>
    <w:p>
      <w:pPr>
        <w:spacing w:after="80" w:before="240"/>
      </w:pPr>
      <w:r>
        <w:rPr>
          <w:rFonts w:ascii="Calibri" w:cs="Calibri" w:eastAsia="Calibri" w:hAnsi="Calibri"/>
          <w:b/>
          <w:bCs/>
          <w:color w:val="2E75B6"/>
          <w:sz w:val="25"/>
          <w:szCs w:val="25"/>
        </w:rPr>
        <w:t xml:space="preserve">3. 5G Return on Investment</w:t>
      </w:r>
    </w:p>
    <w:p>
      <w:pPr>
        <w:spacing w:after="60" w:before="60" w:line="300"/>
        <w:jc w:val="left"/>
      </w:pPr>
      <w:r>
        <w:rPr>
          <w:rFonts w:ascii="Calibri" w:cs="Calibri" w:eastAsia="Calibri" w:hAnsi="Calibri"/>
          <w:b w:val="false"/>
          <w:bCs w:val="false"/>
          <w:i w:val="false"/>
          <w:iCs w:val="false"/>
          <w:color w:val="404040"/>
          <w:sz w:val="22"/>
          <w:szCs w:val="22"/>
        </w:rPr>
        <w:t xml:space="preserve">Every major telecom operator has spent tens of billions of dollars building 5G networks. The critical unresolved question for investors is: what is the revenue uplift from 5G that justifies this investment? Consumer 5G has not yet demonstrated meaningful ARPU improvement over 4G. Enterprise 5G (private networks, IoT, industrial applications) is the more promising revenue opportunity but remains early-stage.</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0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5G Revenue Opportunity</w:t>
            </w:r>
          </w:p>
        </w:tc>
        <w:tc>
          <w:tcPr>
            <w:tcW w:type="dxa" w:w="1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Probability</w:t>
            </w:r>
          </w:p>
        </w:tc>
        <w:tc>
          <w:tcPr>
            <w:tcW w:type="dxa" w:w="2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Timeline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Magnitude</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Consumer premium 5G plans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Medium — some ARPU uplift but limited</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Present — but modest at $5–10/month premium</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Small — not a meaningful ARPU driver alone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Fixed wireless access (FWA)</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 already happening at scale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Present — T-Mobile added 5m+ FWA subscribers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Medium — offsets some capex cost</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Enterprise private networks</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Medium-high — real demand from manufacturing, logistics</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3–5 years to material revenue contribution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Large potential but slow adoption cycle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IoT and connected devices</w:t>
            </w:r>
          </w:p>
        </w:tc>
        <w:tc>
          <w:tcPr>
            <w:tcW w:type="dxa" w:w="1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Medium — billions of connections but low ARPU per device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5–10 years to material contribution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Large in aggregate but challenging to monetise per connection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Network slicing (QoS premium)</w:t>
            </w:r>
          </w:p>
        </w:tc>
        <w:tc>
          <w:tcPr>
            <w:tcW w:type="dxa" w:w="1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Low-medium — technically possible but commercially unproven</w:t>
            </w:r>
          </w:p>
        </w:tc>
        <w:tc>
          <w:tcPr>
            <w:tcW w:type="dxa" w:w="2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 years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Unknown — no commercial precedent at scale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Telecom Valuation Framework</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00"/>
      </w:tblGrid>
      <w:tr>
        <w:tc>
          <w:tcPr>
            <w:tcW w:type="dxa" w:w="1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Method</w:t>
            </w:r>
          </w:p>
        </w:tc>
        <w:tc>
          <w:tcPr>
            <w:tcW w:type="dxa" w:w="1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When to Use</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How to Apply</w:t>
            </w:r>
          </w:p>
        </w:tc>
        <w:tc>
          <w:tcPr>
            <w:tcW w:type="dxa" w:w="29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Key Risk</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Primary — all telecoms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Compare to sector average (6–10x for developed market telecoms); adjust for leverage and growth</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Capex not deducted — may overstate value for high-capex operators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EV/EBITDA minus Capex (EV/EBITDA-CX)</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Best primary method — adjusts for capex</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Apply 8–14x to (EBITDA - normalised capex); better reflects true cash generation</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Requires judgment on what 'normalised' capex is post-5G rollout</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Dividend Yield vs 10-yr Treasury</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Income valuation — used by most income investors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Yield should exceed 10-yr Treasury by 2–4%; higher spread suggests undervaluation or elevated risk</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not account for dividend cut risk — must be paired with FCF coverage analysis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DCF on FCF after Capex</w:t>
            </w:r>
          </w:p>
        </w:tc>
        <w:tc>
          <w:tcPr>
            <w:tcW w:type="dxa" w:w="1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Comprehensive — best for mature operators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Project 10 years of post-capex FCF; discount at 7–9% for investment-grade telecoms</w:t>
            </w:r>
          </w:p>
        </w:tc>
        <w:tc>
          <w:tcPr>
            <w:tcW w:type="dxa" w:w="2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Very sensitive to capex normalisation assumptions and terminal growth rate</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Dividend Discount Model (DDM)</w:t>
            </w:r>
          </w:p>
        </w:tc>
        <w:tc>
          <w:tcPr>
            <w:tcW w:type="dxa" w:w="1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Secondary — income-focused analysis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Project 5–10 years of dividend growth; discount at required return</w:t>
            </w:r>
          </w:p>
        </w:tc>
        <w:tc>
          <w:tcPr>
            <w:tcW w:type="dxa" w:w="2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Assumes dividend is sustainable — must first confirm FCF coverage</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How to Identify Genuinely Undervalued Telecom Operators</w:t>
      </w:r>
    </w:p>
    <w:p>
      <w:pPr>
        <w:spacing w:after="0" w:before="60"/>
      </w:pPr>
      <w:r>
        <w:t xml:space="preserve"/>
      </w:r>
    </w:p>
    <w:p>
      <w:pPr>
        <w:spacing w:after="80" w:before="240"/>
      </w:pPr>
      <w:r>
        <w:rPr>
          <w:rFonts w:ascii="Calibri" w:cs="Calibri" w:eastAsia="Calibri" w:hAnsi="Calibri"/>
          <w:b/>
          <w:bCs/>
          <w:color w:val="2E75B6"/>
          <w:sz w:val="25"/>
          <w:szCs w:val="25"/>
        </w:rPr>
        <w:t xml:space="preserve">Scenario A — Capex Peak Creating Temporary FCF Suppression</w:t>
      </w:r>
    </w:p>
    <w:p>
      <w:pPr>
        <w:spacing w:after="60" w:before="60" w:line="300"/>
        <w:jc w:val="left"/>
      </w:pPr>
      <w:r>
        <w:rPr>
          <w:rFonts w:ascii="Calibri" w:cs="Calibri" w:eastAsia="Calibri" w:hAnsi="Calibri"/>
          <w:b w:val="false"/>
          <w:bCs w:val="false"/>
          <w:i w:val="false"/>
          <w:iCs w:val="false"/>
          <w:color w:val="404040"/>
          <w:sz w:val="22"/>
          <w:szCs w:val="22"/>
        </w:rPr>
        <w:t xml:space="preserve">The most reliable source of telecom undervaluation is the capex peak. When an operator is in the most intensive phase of a network upgrade (5G rollout, fibre-to-the-home build), FCF drops significantly because capex is at its highest. The market often penalises the stock for this — even though capex will normalise in 2–3 years and FCF will recover strongly.</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An operator with a strong underlying EBITDA trend and improving churn metrics is trading at depressed valuations because FCF is suppressed by peak capex. Management has given clear guidance on capex normalisation timeline. The post-capex FCF yield at current prices is ≥ 8–10%, implying significant undervaluation if the capex trajectory is trusted.</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The key question is whether you trust management's capex guidance. Check: has the operator historically stuck to its capex plans? Have prior network build programmes come in on time and budget? Operators with a history of capex overruns require an additional margin of safety.</w:t>
      </w:r>
    </w:p>
    <w:p>
      <w:pPr>
        <w:spacing w:after="0" w:before="80"/>
      </w:pPr>
      <w:r>
        <w:t xml:space="preserve"/>
      </w:r>
    </w:p>
    <w:p>
      <w:pPr>
        <w:spacing w:after="80" w:before="240"/>
      </w:pPr>
      <w:r>
        <w:rPr>
          <w:rFonts w:ascii="Calibri" w:cs="Calibri" w:eastAsia="Calibri" w:hAnsi="Calibri"/>
          <w:b/>
          <w:bCs/>
          <w:color w:val="2E75B6"/>
          <w:sz w:val="25"/>
          <w:szCs w:val="25"/>
        </w:rPr>
        <w:t xml:space="preserve">Scenario B — Market Pricing In Dividend Cut That Does Not Materialise</w:t>
      </w:r>
    </w:p>
    <w:p>
      <w:pPr>
        <w:spacing w:after="60" w:before="60" w:line="300"/>
        <w:jc w:val="left"/>
      </w:pPr>
      <w:r>
        <w:rPr>
          <w:rFonts w:ascii="Calibri" w:cs="Calibri" w:eastAsia="Calibri" w:hAnsi="Calibri"/>
          <w:b w:val="false"/>
          <w:bCs w:val="false"/>
          <w:i w:val="false"/>
          <w:iCs w:val="false"/>
          <w:color w:val="404040"/>
          <w:sz w:val="22"/>
          <w:szCs w:val="22"/>
        </w:rPr>
        <w:t xml:space="preserve">When a telecom's dividend yield rises to extreme levels — 8–10%+ — the market is almost always pricing in a dividend cut. Sometimes the cut happens (AT&amp;T 2022). Sometimes it does not (BCE has maintained its dividend through multiple periods of extreme yield compression). Correctly identifying which situation you are in is the most important analytical task in telecom investing.</w:t>
      </w:r>
    </w:p>
    <w:p>
      <w:pPr>
        <w:spacing w:after="0" w:before="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900"/>
      </w:tblGrid>
      <w:tr>
        <w:tc>
          <w:tcPr>
            <w:tcW w:type="dxa" w:w="2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FCF Dividend Coverage</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Assessment</w:t>
            </w:r>
          </w:p>
        </w:tc>
        <w:tc>
          <w:tcPr>
            <w:tcW w:type="dxa" w:w="39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Investment Implication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covers dividend ≥ 1.5x</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Safe — strong buffer against a bad year or capex spike</w:t>
            </w:r>
          </w:p>
        </w:tc>
        <w:tc>
          <w:tcPr>
            <w:tcW w:type="dxa" w:w="3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yield at this coverage = genuine undervaluation; strong buy case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covers dividend 1.1–1.5x</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Acceptable — manageable but limited buffer</w:t>
            </w:r>
          </w:p>
        </w:tc>
        <w:tc>
          <w:tcPr>
            <w:tcW w:type="dxa" w:w="3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yield here = moderate risk; analyse capex trajectory and debt maturity carefully</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covers dividend 0.9–1.1x</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Borderline — dividend requires everything to go right</w:t>
            </w:r>
          </w:p>
        </w:tc>
        <w:tc>
          <w:tcPr>
            <w:tcW w:type="dxa" w:w="39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yield here = dividend cut is a real possibility; requires deep conviction on FCF recovery</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FCF covers dividend &lt; 0.9x</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Unsustainable — dividend is being funded by debt or asset sales</w:t>
            </w:r>
          </w:p>
        </w:tc>
        <w:tc>
          <w:tcPr>
            <w:tcW w:type="dxa" w:w="39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yield here is a trap — the dividend will be cut; this is a value trap, not an opportunity</w:t>
            </w:r>
          </w:p>
        </w:tc>
      </w:tr>
    </w:tbl>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Dividend yield is 7–9%, but FCF coverage is 1.3–1.5x at normalised capex, debt is below 3.5x EBITDA, and the high yield is explained by market fear of a dividend cut that the FCF numbers do not support. This is the classic telecom income opportunity.</w:t>
      </w:r>
    </w:p>
    <w:p>
      <w:pPr>
        <w:spacing w:after="0" w:before="80"/>
      </w:pPr>
      <w:r>
        <w:t xml:space="preserve"/>
      </w:r>
    </w:p>
    <w:p>
      <w:pPr>
        <w:spacing w:after="80" w:before="240"/>
      </w:pPr>
      <w:r>
        <w:rPr>
          <w:rFonts w:ascii="Calibri" w:cs="Calibri" w:eastAsia="Calibri" w:hAnsi="Calibri"/>
          <w:b/>
          <w:bCs/>
          <w:color w:val="2E75B6"/>
          <w:sz w:val="25"/>
          <w:szCs w:val="25"/>
        </w:rPr>
        <w:t xml:space="preserve">Scenario C — Infrastructure Asset Value Not Reflected in Equity</w:t>
      </w:r>
    </w:p>
    <w:p>
      <w:pPr>
        <w:spacing w:after="60" w:before="60" w:line="300"/>
        <w:jc w:val="left"/>
      </w:pPr>
      <w:r>
        <w:rPr>
          <w:rFonts w:ascii="Calibri" w:cs="Calibri" w:eastAsia="Calibri" w:hAnsi="Calibri"/>
          <w:b w:val="false"/>
          <w:bCs w:val="false"/>
          <w:i w:val="false"/>
          <w:iCs w:val="false"/>
          <w:color w:val="404040"/>
          <w:sz w:val="22"/>
          <w:szCs w:val="22"/>
        </w:rPr>
        <w:t xml:space="preserve">Many telecom operators own physical infrastructure — towers, fibre ducts, data centres — that is worth significantly more than the market implies when you look at comparable infrastructure transactions. Operators who are monetising this through tower sales, REIT spinoffs, or infrastructure partnerships are unlocking value that the equity market systematically undervalues.</w:t>
      </w:r>
    </w:p>
    <w:p>
      <w:pPr>
        <w:spacing w:after="0" w:before="40"/>
      </w:pPr>
      <w:r>
        <w:t xml:space="preserve"/>
      </w:r>
    </w:p>
    <w:p>
      <w:pPr>
        <w:pBdr>
          <w:left w:val="single" w:color="375623" w:sz="22" w:space="10"/>
        </w:pBdr>
        <w:shd w:fill="E2EFDA" w:val="clear"/>
        <w:spacing w:after="140" w:before="140" w:line="288"/>
        <w:ind w:left="440" w:right="440"/>
      </w:pPr>
      <w:r>
        <w:rPr>
          <w:rFonts w:ascii="Calibri" w:cs="Calibri" w:eastAsia="Calibri" w:hAnsi="Calibri"/>
          <w:i/>
          <w:iCs/>
          <w:color w:val="375623"/>
          <w:sz w:val="21"/>
          <w:szCs w:val="21"/>
        </w:rPr>
        <w:t xml:space="preserve">Buy signal: An operator has physical infrastructure assets (tower portfolio, fibre network) whose standalone value at infrastructure fund multiples exceeds the current enterprise value — implying you are getting the operating business for free or at a discount. Look for tower monetisation plans, wholesale network access agreements, or infrastructure fund interest as catalysts.</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Telecom Undervaluation Checklist</w:t>
      </w:r>
    </w:p>
    <w:p>
      <w:pPr>
        <w:spacing w:after="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100"/>
      </w:tblGrid>
      <w:tr>
        <w:tc>
          <w:tcPr>
            <w:tcW w:type="dxa" w:w="4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26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Green Flag</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Red Flag</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FCF after capex ≥ 1.3x the annual dividend?</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dividend has a comfortable buffer</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covers dividend &lt; 1.1x — dividend is fragile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Net Debt / EBITDA below 3.5x?</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leverage is manageable at current EBITDA</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4x — any EBITDA decline creates serious covenant risk</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monthly churn below 1.5%?</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customer base is stable and retention is strong</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Above 2.0% — customers are leaving; ARPU trajectory is at risk</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ARPU stable or growing?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pricing power is intact in the market</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ARPU declining without subscriber growth to compensate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5</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capex near the peak of the cycle?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with management guidance on normalisation timeline</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Capex still 2–3 years from normalisation with no clear end date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Does the operator have structural network advantage?</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Yes — first-mover in fibre or dominant spectrum position</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differentiation — competing on price only; margin pressure inevitable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7</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5G revenue case realistic and articulated?</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Management has specific enterprise contracts or FWA traction</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Vague promises about IoT and smart cities with no near-term revenue</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dividend yield justified by FCF — not just yield-chasing?</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FCF coverage confirms the yield is real</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Yield is high because market expects a cut — check coverage ratio first</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 regulatory environment supportive?</w:t>
            </w:r>
          </w:p>
        </w:tc>
        <w:tc>
          <w:tcPr>
            <w:tcW w:type="dxa" w:w="26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Stable regulation; operator has good regulator relationship</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Pending regulatory action that could force network sharing or price caps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Is there a catalyst — asset monetisation, M&amp;A, capex normalisation?</w:t>
            </w:r>
          </w:p>
        </w:tc>
        <w:tc>
          <w:tcPr>
            <w:tcW w:type="dxa" w:w="26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Specific event within 12–24 months that will release value</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catalyst — undervaluation may persist for years in a low-growth sector</w:t>
            </w:r>
          </w:p>
        </w:tc>
      </w:tr>
    </w:tbl>
    <w:p>
      <w:pPr>
        <w:spacing w:after="0" w:before="80"/>
      </w:pPr>
      <w:r>
        <w:t xml:space="preserve"/>
      </w:r>
    </w:p>
    <w:p>
      <w:pPr>
        <w:pBdr>
          <w:left w:val="single" w:color="1B6B5A" w:sz="22" w:space="10"/>
        </w:pBdr>
        <w:shd w:fill="D9F0E8" w:val="clear"/>
        <w:spacing w:after="140" w:before="140" w:line="288"/>
        <w:ind w:left="440" w:right="440"/>
      </w:pPr>
      <w:r>
        <w:rPr>
          <w:rFonts w:ascii="Calibri" w:cs="Calibri" w:eastAsia="Calibri" w:hAnsi="Calibri"/>
          <w:i/>
          <w:iCs/>
          <w:color w:val="1B6B5A"/>
          <w:sz w:val="21"/>
          <w:szCs w:val="21"/>
        </w:rPr>
        <w:t xml:space="preserve">Margin of Safety for Telecoms: For investment-grade operators with FCF coverage ≥ 1.4x and debt ≤ 3x EBITDA (e.g. Telus, Verizon): require 15–20% below fair value. For operators with elevated leverage or FCF coverage below 1.3x (e.g. AT&amp;T, BT Group): require ≥ 30% — the dividend risk justifies a larger safety buffer.</w:t>
      </w:r>
    </w:p>
    <w:p>
      <w:r>
        <w:br w:type="page"/>
      </w:r>
    </w:p>
    <w:p>
      <w:pPr>
        <w:pStyle w:val="Heading1"/>
        <w:shd w:fill="1F3864" w:val="clear"/>
        <w:spacing w:after="180" w:before="400"/>
        <w:ind w:left="240"/>
      </w:pPr>
      <w:r>
        <w:rPr>
          <w:rFonts w:ascii="Calibri" w:cs="Calibri" w:eastAsia="Calibri" w:hAnsi="Calibri"/>
          <w:b/>
          <w:bCs/>
          <w:color w:val="FFFFFF"/>
          <w:sz w:val="40"/>
          <w:szCs w:val="40"/>
        </w:rPr>
        <w:t xml:space="preserve">Part 3 — Putting It Together</w:t>
      </w:r>
    </w:p>
    <w:p>
      <w:pPr>
        <w:spacing w:after="0" w:before="60"/>
      </w:pPr>
      <w:r>
        <w:t xml:space="preserve"/>
      </w:r>
    </w:p>
    <w:p>
      <w:pPr>
        <w:spacing w:after="60" w:before="60" w:line="300"/>
        <w:jc w:val="left"/>
      </w:pPr>
      <w:r>
        <w:rPr>
          <w:rFonts w:ascii="Calibri" w:cs="Calibri" w:eastAsia="Calibri" w:hAnsi="Calibri"/>
          <w:b w:val="false"/>
          <w:bCs w:val="false"/>
          <w:i w:val="false"/>
          <w:iCs w:val="false"/>
          <w:color w:val="404040"/>
          <w:sz w:val="22"/>
          <w:szCs w:val="22"/>
        </w:rPr>
        <w:t xml:space="preserve">Communication Services is the one sector where the analyst must make a decisive classification before opening any valuation model. The two company types are so different that applying the wrong framework produces not just inaccurate results but actively misleading ones. Here is a consolidated guide to navigating the sector.</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Communication Services Decision 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c>
          <w:tcPr>
            <w:tcW w:type="dxa" w:w="28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Question</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Yes →</w:t>
            </w:r>
          </w:p>
        </w:tc>
        <w:tc>
          <w:tcPr>
            <w:tcW w:type="dxa" w:w="30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No →</w:t>
            </w:r>
          </w:p>
        </w:tc>
      </w:tr>
      <w:tr>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company's primary revenue come from selling advertising against user attention?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Internet Platform framework — start with MAU, DAU/MAU, ARPU, CPM, FCF margin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next question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company's primary revenue come from monthly connectivity subscriptions (mobile, broadband, TV)?</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Telecom Operator framework — start with EBITDA, FCF after capex, Net Debt/EBITDA, churn, dividend coverage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next question</w:t>
            </w:r>
          </w:p>
        </w:tc>
      </w:tr>
      <w:tr>
        <w:tc>
          <w:tcPr>
            <w:tcW w:type="dxa" w:w="28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 produce or distribute content (streaming, studios)?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Hybrid — blend platform and subscription metrics; focus on subscriber count, ARPU, content cost as % of revenue, FCF</w:t>
            </w:r>
          </w:p>
        </w:tc>
        <w:tc>
          <w:tcPr>
            <w:tcW w:type="dxa" w:w="30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Go to next question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i w:val="false"/>
                <w:iCs w:val="false"/>
                <w:color w:val="1F3864"/>
                <w:sz w:val="20"/>
                <w:szCs w:val="20"/>
              </w:rPr>
              <w:t xml:space="preserve">Does the company operate physical tower or infrastructure assets?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Infrastructure REIT framework — P/FFO, NAV, AFFO payout, lease duration, tenant diversification</w:t>
            </w:r>
          </w:p>
        </w:tc>
        <w:tc>
          <w:tcPr>
            <w:tcW w:type="dxa" w:w="30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Use whichever framework fits the primary revenue driver best</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The Contrast Table — Reading the Same Metric Differently</w:t>
      </w:r>
    </w:p>
    <w:p>
      <w:pPr>
        <w:spacing w:after="60" w:before="60" w:line="300"/>
        <w:jc w:val="left"/>
      </w:pPr>
      <w:r>
        <w:rPr>
          <w:rFonts w:ascii="Calibri" w:cs="Calibri" w:eastAsia="Calibri" w:hAnsi="Calibri"/>
          <w:b w:val="false"/>
          <w:bCs w:val="false"/>
          <w:i w:val="false"/>
          <w:iCs w:val="false"/>
          <w:color w:val="404040"/>
          <w:sz w:val="22"/>
          <w:szCs w:val="22"/>
        </w:rPr>
        <w:t xml:space="preserve">The same financial metric means completely different things depending on whether you are analysing an internet platform or a telecom operator. This table prevents the most common sector-wide analytical errors.</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500"/>
      </w:tblGrid>
      <w:tr>
        <w:tc>
          <w:tcPr>
            <w:tcW w:type="dxa" w:w="22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dxa" w:w="31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For Internet Platforms</w:t>
            </w:r>
          </w:p>
        </w:tc>
        <w:tc>
          <w:tcPr>
            <w:tcW w:type="dxa" w:w="3500"/>
            <w:tcBorders>
              <w:top w:val="single" w:color="CCCCCC" w:sz="4"/>
              <w:left w:val="single" w:color="CCCCCC" w:sz="4"/>
              <w:bottom w:val="single" w:color="CCCCCC" w:sz="4"/>
              <w:right w:val="single" w:color="CCCCCC" w:sz="4"/>
            </w:tcBorders>
            <w:shd w:fill="1F3864" w:val="clear"/>
            <w:tcMar>
              <w:top w:type="dxa" w:w="90"/>
              <w:left w:type="dxa" w:w="150"/>
              <w:bottom w:type="dxa" w:w="90"/>
              <w:right w:type="dxa" w:w="150"/>
            </w:tcMar>
            <w:vAlign w:val="center"/>
          </w:tcPr>
          <w:p>
            <w:pPr>
              <w:spacing w:after="0" w:before="0"/>
              <w:jc w:val="center"/>
            </w:pPr>
            <w:r>
              <w:rPr>
                <w:rFonts w:ascii="Calibri" w:cs="Calibri" w:eastAsia="Calibri" w:hAnsi="Calibri"/>
                <w:b/>
                <w:bCs/>
                <w:i w:val="false"/>
                <w:iCs w:val="false"/>
                <w:color w:val="FFFFFF"/>
                <w:sz w:val="20"/>
                <w:szCs w:val="20"/>
              </w:rPr>
              <w:t xml:space="preserve">For Telecom Operators</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at 15x</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Potentially undervalued for a dominant platform like Alphabet or Meta</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Potentially overvalued for a high-debt telco — check if FCF after capex supports this multiple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EV/EBITDA at 7x</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Likely significantly undervalued for a quality platform — investigate why</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Fair value for a mid-tier telecom with moderate debt and stable EBITDA</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Dividend yield of 7%+</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Unusual — most platforms reinvest FCF; a very high yield may signal distress or transition</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Potentially attractive if FCF coverage is ≥ 1.3x — but could also signal dividend cut risk; check coverage first</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No profitability (GAAP)</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Often fine for growth-stage platforms — look at FCF margin and Rule of 40 instead</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problem — telecoms have predictable revenues and should be profitable; investigate immediately</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Debt/EBITDA of 4x</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Unusual and concerning — platforms are normally asset-light and low-debt</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High but potentially manageable for a regulated operator with stable EBITDA and no near-term maturities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growth of 3%</w:t>
            </w:r>
          </w:p>
        </w:tc>
        <w:tc>
          <w:tcPr>
            <w:tcW w:type="dxa" w:w="31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Disappointing for a platform — questions about TAM saturation or competitive pressure</w:t>
            </w:r>
          </w:p>
        </w:tc>
        <w:tc>
          <w:tcPr>
            <w:tcW w:type="dxa" w:w="3500"/>
            <w:tcBorders>
              <w:top w:val="single" w:color="CCCCCC" w:sz="4"/>
              <w:left w:val="single" w:color="CCCCCC" w:sz="4"/>
              <w:bottom w:val="single" w:color="CCCCCC" w:sz="4"/>
              <w:right w:val="single" w:color="CCCCCC" w:sz="4"/>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Excellent for a telecom — 3% revenue growth implies ARPU and subscriber gains in a mature market</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Revenue declining -2%</w:t>
            </w:r>
          </w:p>
        </w:tc>
        <w:tc>
          <w:tcPr>
            <w:tcW w:type="dxa" w:w="31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Potential structural problem — investigate user trends and competitive dynamics</w:t>
            </w:r>
          </w:p>
        </w:tc>
        <w:tc>
          <w:tcPr>
            <w:tcW w:type="dxa" w:w="3500"/>
            <w:tcBorders>
              <w:top w:val="single" w:color="CCCCCC" w:sz="4"/>
              <w:left w:val="single" w:color="CCCCCC" w:sz="4"/>
              <w:bottom w:val="single" w:color="CCCCCC" w:sz="4"/>
              <w:right w:val="single" w:color="CCCCCC" w:sz="4"/>
            </w:tcBorders>
            <w:shd w:fill="F5F5F5" w:val="clear"/>
            <w:tcMar>
              <w:top w:type="dxa" w:w="90"/>
              <w:left w:type="dxa" w:w="150"/>
              <w:bottom w:type="dxa" w:w="90"/>
              <w:right w:type="dxa" w:w="150"/>
            </w:tcMar>
            <w:vAlign w:val="center"/>
          </w:tcPr>
          <w:p>
            <w:pPr>
              <w:spacing w:after="0" w:before="0"/>
              <w:jc w:val="left"/>
            </w:pPr>
            <w:r>
              <w:rPr>
                <w:rFonts w:ascii="Calibri" w:cs="Calibri" w:eastAsia="Calibri" w:hAnsi="Calibri"/>
                <w:b w:val="false"/>
                <w:bCs w:val="false"/>
                <w:i w:val="false"/>
                <w:iCs w:val="false"/>
                <w:color w:val="404040"/>
                <w:sz w:val="20"/>
                <w:szCs w:val="20"/>
              </w:rPr>
              <w:t xml:space="preserve">Serious problem — telecom revenue should be highly stable; declining revenue implies significant ARPU or subscriber loss</w:t>
            </w:r>
          </w:p>
        </w:tc>
      </w:tr>
    </w:tbl>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Recommended Learning Path for Communication Services</w:t>
      </w:r>
    </w:p>
    <w:p>
      <w:pPr>
        <w:spacing w:after="0" w:before="60"/>
      </w:pPr>
      <w:r>
        <w:t xml:space="preserve"/>
      </w:r>
    </w:p>
    <w:p>
      <w:pPr>
        <w:spacing w:after="80" w:before="240"/>
      </w:pPr>
      <w:r>
        <w:rPr>
          <w:rFonts w:ascii="Calibri" w:cs="Calibri" w:eastAsia="Calibri" w:hAnsi="Calibri"/>
          <w:b/>
          <w:bCs/>
          <w:color w:val="2E75B6"/>
          <w:sz w:val="25"/>
          <w:szCs w:val="25"/>
        </w:rPr>
        <w:t xml:space="preserve">For Internet Platforms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'The Attention Merchants' by Tim Wu — the history and economics of the attention business model</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Ben Thompson's Stratechery — particularly his Aggregation Theory framework, which is the best analytical model for understanding platform competitive dynamics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Alphabet's quarterly earnings supplements — the company provides detailed revenue breakdowns by business unit that make SOTP analysis possible</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Build a SOTP model for Alphabet — value Search, YouTube, Cloud, and Other Bets separately and compare to the quoted market cap. You will almost certainly find the implied value of the core Search business is extremely compelling.</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Meta's advertising metrics disclosures — CPM, CTR, ARPU by geography — over 8 quarters to understand how monetisation improves with AI targeting</w:t>
      </w:r>
    </w:p>
    <w:p>
      <w:pPr>
        <w:spacing w:after="0" w:before="40"/>
      </w:pPr>
      <w:r>
        <w:t xml:space="preserve"/>
      </w:r>
    </w:p>
    <w:p>
      <w:pPr>
        <w:spacing w:after="80" w:before="240"/>
      </w:pPr>
      <w:r>
        <w:rPr>
          <w:rFonts w:ascii="Calibri" w:cs="Calibri" w:eastAsia="Calibri" w:hAnsi="Calibri"/>
          <w:b/>
          <w:bCs/>
          <w:color w:val="2E75B6"/>
          <w:sz w:val="25"/>
          <w:szCs w:val="25"/>
        </w:rPr>
        <w:t xml:space="preserve">For Telecom Operators</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Read: The annual reports of BCE, Telus, and Rogers side by side — Canadian telecoms have some of the best financial disclosure in the sector and are directly comparable, making relative value analysis very productive</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Study: BT Group's Openreach separation — understanding how the infrastructure asset is valued separately from the retail business is a masterclass in telecom asset valuation</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Practice: Build a dividend sustainability model for AT&amp;T — project 5 years of EBITDA, capex, interest, tax, and compare to the dividend. The exercise will teach you more about telecom FCF dynamics than any textbook</w:t>
      </w:r>
    </w:p>
    <w:p>
      <w:pPr>
        <w:pStyle w:val="ListParagraph"/>
        <w:numPr>
          <w:ilvl w:val="0"/>
          <w:numId w:val="2"/>
        </w:numPr>
        <w:spacing w:after="50" w:before="50" w:line="288"/>
        <w:ind w:left="560" w:hanging="280"/>
      </w:pPr>
      <w:r>
        <w:rPr>
          <w:rFonts w:ascii="Calibri" w:cs="Calibri" w:eastAsia="Calibri" w:hAnsi="Calibri"/>
          <w:b/>
          <w:bCs/>
          <w:color w:val="404040"/>
          <w:sz w:val="22"/>
          <w:szCs w:val="22"/>
        </w:rPr>
        <w:t xml:space="preserve">Track: GSMA Intelligence and Ericsson Mobility Reports for 5G subscriber and revenue data — the most reliable industry data on what 5G is actually delivering commercially</w:t>
      </w:r>
    </w:p>
    <w:p>
      <w:pPr>
        <w:spacing w:after="0" w:before="80"/>
      </w:pPr>
      <w:r>
        <w:t xml:space="preserve"/>
      </w:r>
    </w:p>
    <w:p>
      <w:pPr>
        <w:pStyle w:val="Heading2"/>
        <w:pBdr>
          <w:bottom w:val="single" w:color="2E75B6" w:sz="8" w:space="4"/>
        </w:pBdr>
        <w:spacing w:after="120" w:before="320"/>
      </w:pPr>
      <w:r>
        <w:rPr>
          <w:rFonts w:ascii="Calibri" w:cs="Calibri" w:eastAsia="Calibri" w:hAnsi="Calibri"/>
          <w:b/>
          <w:bCs/>
          <w:color w:val="1F3864"/>
          <w:sz w:val="30"/>
          <w:szCs w:val="30"/>
        </w:rPr>
        <w:t xml:space="preserve">What Comes Next</w:t>
      </w:r>
    </w:p>
    <w:p>
      <w:pPr>
        <w:spacing w:after="60" w:before="60" w:line="300"/>
        <w:jc w:val="left"/>
      </w:pPr>
      <w:r>
        <w:rPr>
          <w:rFonts w:ascii="Calibri" w:cs="Calibri" w:eastAsia="Calibri" w:hAnsi="Calibri"/>
          <w:b w:val="false"/>
          <w:bCs w:val="false"/>
          <w:i w:val="false"/>
          <w:iCs w:val="false"/>
          <w:color w:val="404040"/>
          <w:sz w:val="22"/>
          <w:szCs w:val="22"/>
        </w:rPr>
        <w:t xml:space="preserve">The final document in this series covers Consumer Discretionary — specifically E-commerce &amp; Retail (Amazon, Shopify), Luxury &amp; Brands (Nike, LVMH, Burberry), and Restaurants &amp; Experiences (McDonald's, Airbnb). This is the most psychologically demanding sector to invest in because the best entry points occur precisely when consumer sentiment is at its worst — and separating temporary economic pain from permanent brand damage is the core analytical skill.</w:t>
      </w:r>
    </w:p>
    <w:p>
      <w:pPr>
        <w:spacing w:after="0" w:before="80"/>
      </w:pPr>
      <w:r>
        <w:t xml:space="preserve"/>
      </w:r>
    </w:p>
    <w:p>
      <w:pPr>
        <w:shd w:fill="1F3864" w:val="clear"/>
        <w:spacing w:after="240" w:before="240"/>
        <w:jc w:val="center"/>
      </w:pPr>
      <w:r>
        <w:rPr>
          <w:rFonts w:ascii="Calibri" w:cs="Calibri" w:eastAsia="Calibri" w:hAnsi="Calibri"/>
          <w:b w:val="false"/>
          <w:bCs w:val="false"/>
          <w:i/>
          <w:iCs/>
          <w:color w:val="BDD7EE"/>
          <w:sz w:val="20"/>
          <w:szCs w:val="20"/>
        </w:rPr>
        <w:t xml:space="preserve">Communication Services Deep-Dive  ·  Part 2 of 3  ·  Investment Framework Series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FFFFFF"/>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2026-05-16T11:33:17.955Z</dcterms:created>
  <dcterms:modified xsi:type="dcterms:W3CDTF">2026-05-16T11:33:17.968Z</dcterms:modified>
</cp:coreProperties>
</file>

<file path=docProps/custom.xml><?xml version="1.0" encoding="utf-8"?>
<Properties xmlns="http://schemas.openxmlformats.org/officeDocument/2006/custom-properties" xmlns:vt="http://schemas.openxmlformats.org/officeDocument/2006/docPropsVTypes"/>
</file>