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0" w:before="0"/>
        <w:jc w:val="center"/>
      </w:pPr>
      <w:r>
        <w:rPr>
          <w:rFonts w:ascii="Calibri" w:cs="Calibri" w:eastAsia="Calibri" w:hAnsi="Calibri"/>
          <w:b/>
          <w:bCs/>
          <w:i w:val="false"/>
          <w:iCs w:val="false"/>
          <w:color w:val="2E75B6"/>
          <w:sz w:val="28"/>
          <w:szCs w:val="28"/>
        </w:rPr>
        <w:t xml:space="preserve">SECTOR DEEP-DIVE</w:t>
      </w:r>
    </w:p>
    <w:p>
      <w:pPr>
        <w:spacing w:after="0" w:before="60"/>
        <w:jc w:val="center"/>
      </w:pPr>
      <w:r>
        <w:rPr>
          <w:rFonts w:ascii="Calibri" w:cs="Calibri" w:eastAsia="Calibri" w:hAnsi="Calibri"/>
          <w:b/>
          <w:bCs/>
          <w:i w:val="false"/>
          <w:iCs w:val="false"/>
          <w:color w:val="1F3864"/>
          <w:sz w:val="72"/>
          <w:szCs w:val="72"/>
        </w:rPr>
        <w:t xml:space="preserve">CONSUMER</w:t>
      </w:r>
    </w:p>
    <w:p>
      <w:pPr>
        <w:spacing w:after="300" w:before="0"/>
        <w:jc w:val="center"/>
      </w:pPr>
      <w:r>
        <w:rPr>
          <w:rFonts w:ascii="Calibri" w:cs="Calibri" w:eastAsia="Calibri" w:hAnsi="Calibri"/>
          <w:b/>
          <w:bCs/>
          <w:i w:val="false"/>
          <w:iCs w:val="false"/>
          <w:color w:val="1F3864"/>
          <w:sz w:val="72"/>
          <w:szCs w:val="72"/>
        </w:rPr>
        <w:t xml:space="preserve">DISCRETIONARY</w:t>
      </w:r>
    </w:p>
    <w:p>
      <w:pPr>
        <w:shd w:fill="1F3864" w:val="clear"/>
        <w:spacing w:after="0" w:before="0"/>
        <w:jc w:val="center"/>
      </w:pPr>
      <w:r>
        <w:rPr>
          <w:rFonts w:ascii="Calibri" w:cs="Calibri" w:eastAsia="Calibri" w:hAnsi="Calibri"/>
          <w:b w:val="false"/>
          <w:bCs w:val="false"/>
          <w:i w:val="false"/>
          <w:iCs w:val="false"/>
          <w:color w:val="404040"/>
          <w:sz w:val="6"/>
          <w:szCs w:val="6"/>
        </w:rPr>
        <w:t xml:space="preserve">  </w:t>
      </w:r>
    </w:p>
    <w:p>
      <w:pPr>
        <w:spacing w:after="0" w:before="60"/>
      </w:pPr>
      <w:r>
        <w:t xml:space="preserve"/>
      </w:r>
    </w:p>
    <w:p>
      <w:pPr>
        <w:spacing w:after="80" w:before="120"/>
        <w:jc w:val="center"/>
      </w:pPr>
      <w:r>
        <w:rPr>
          <w:rFonts w:ascii="Calibri" w:cs="Calibri" w:eastAsia="Calibri" w:hAnsi="Calibri"/>
          <w:b w:val="false"/>
          <w:bCs w:val="false"/>
          <w:i/>
          <w:iCs/>
          <w:color w:val="2E75B6"/>
          <w:sz w:val="26"/>
          <w:szCs w:val="26"/>
        </w:rPr>
        <w:t xml:space="preserve">E-commerce &amp; Retail  ·  Luxury &amp; Brands  ·  Restaurants &amp; Experiences</w:t>
      </w:r>
    </w:p>
    <w:p>
      <w:pPr>
        <w:spacing w:after="500" w:before="0"/>
        <w:jc w:val="center"/>
      </w:pPr>
      <w:r>
        <w:rPr>
          <w:rFonts w:ascii="Calibri" w:cs="Calibri" w:eastAsia="Calibri" w:hAnsi="Calibri"/>
          <w:b w:val="false"/>
          <w:bCs w:val="false"/>
          <w:i w:val="false"/>
          <w:iCs w:val="false"/>
          <w:color w:val="404040"/>
          <w:sz w:val="22"/>
          <w:szCs w:val="22"/>
        </w:rPr>
        <w:t xml:space="preserve">Part 3 of 3  ·  Investment Framework Series  ·  US, Canada &amp; UK Markets</w:t>
      </w:r>
    </w:p>
    <w:p>
      <w:pPr>
        <w:spacing w:after="0" w:before="500"/>
      </w:pPr>
      <w:r>
        <w:t xml:space="preserve"/>
      </w:r>
    </w:p>
    <w:p>
      <w:pPr>
        <w:spacing w:after="0" w:before="0"/>
        <w:jc w:val="center"/>
      </w:pPr>
      <w:r>
        <w:rPr>
          <w:rFonts w:ascii="Calibri" w:cs="Calibri" w:eastAsia="Calibri" w:hAnsi="Calibri"/>
          <w:b w:val="false"/>
          <w:bCs w:val="false"/>
          <w:i/>
          <w:iCs/>
          <w:color w:val="404040"/>
          <w:sz w:val="20"/>
          <w:szCs w:val="20"/>
        </w:rPr>
        <w:t xml:space="preserve">Based on Investment Valuation Framework v2</w:t>
      </w:r>
    </w:p>
    <w:p>
      <w:r>
        <w:br w:type="page"/>
      </w:r>
    </w:p>
    <w:p>
      <w:pPr>
        <w:pStyle w:val="Heading1"/>
        <w:shd w:fill="1F3864" w:val="clear"/>
        <w:spacing w:after="180" w:before="400"/>
        <w:ind w:left="240"/>
      </w:pPr>
      <w:r>
        <w:rPr>
          <w:rFonts w:ascii="Calibri" w:cs="Calibri" w:eastAsia="Calibri" w:hAnsi="Calibri"/>
          <w:b/>
          <w:bCs/>
          <w:color w:val="FFFFFF"/>
          <w:sz w:val="40"/>
          <w:szCs w:val="40"/>
        </w:rPr>
        <w:t xml:space="preserve">The Most Psychologically Demanding Sector</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Consumer Discretionary is the hardest sector to invest in emotionally — not analytically. The analytical framework is knowable. The discipline to act on it is rare. The best entry points in this sector almost always arrive when news is terrible, consumer confidence is at multi-year lows, and the companies you want to own are reporting their worst quarters in a decade. Every instinct says to wait. But the data consistently shows that waiting for certainty means missing the return.</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The three company types in this deep-dive — E-commerce &amp; Retail, Luxury &amp; Brands, and Restaurants &amp; Experiences — each have their own version of this challenge. They also have very different economic profiles, valuation frameworks, and undervaluation signals. The one thing they share is the importance of brand quality as the primary determinant of long-term value.</w:t>
      </w:r>
    </w:p>
    <w:p>
      <w:pPr>
        <w:spacing w:after="0" w:before="80"/>
      </w:pPr>
      <w:r>
        <w:t xml:space="preserve"/>
      </w:r>
    </w:p>
    <w:p>
      <w:pPr>
        <w:pBdr>
          <w:left w:val="single" w:color="2E75B6" w:sz="22" w:space="10"/>
        </w:pBdr>
        <w:shd w:fill="DEEAF1" w:val="clear"/>
        <w:spacing w:after="140" w:before="140" w:line="288"/>
        <w:ind w:left="440" w:right="440"/>
      </w:pPr>
      <w:r>
        <w:rPr>
          <w:rFonts w:ascii="Calibri" w:cs="Calibri" w:eastAsia="Calibri" w:hAnsi="Calibri"/>
          <w:i/>
          <w:iCs/>
          <w:color w:val="1F3864"/>
          <w:sz w:val="21"/>
          <w:szCs w:val="21"/>
        </w:rPr>
        <w:t xml:space="preserve">The central analytical question in Consumer Discretionary is not 'is this company cheap?' but 'is this brand strong enough to survive the downturn with its pricing power and customer loyalty intact?' A brand that loses pricing power in a recession rarely regains it fully. A brand that holds price and gains share in a recession is demonstrating the rarest quality in this sector.</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4"/>
              <w:left w:val="single" w:color="CCCCCC" w:sz="4"/>
              <w:bottom w:val="single" w:color="CCCCCC" w:sz="4"/>
              <w:right w:val="single" w:color="CCCCCC" w:sz="4"/>
            </w:tcBorders>
            <w:shd w:fill="1B3A5C"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E-commerce &amp; Retail</w:t>
            </w:r>
          </w:p>
        </w:tc>
        <w:tc>
          <w:tcPr>
            <w:tcW w:type="dxa" w:w="3000"/>
            <w:tcBorders>
              <w:top w:val="single" w:color="CCCCCC" w:sz="4"/>
              <w:left w:val="single" w:color="CCCCCC" w:sz="4"/>
              <w:bottom w:val="single" w:color="CCCCCC" w:sz="4"/>
              <w:right w:val="single" w:color="CCCCCC" w:sz="4"/>
            </w:tcBorders>
            <w:shd w:fill="6B1A2A"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Luxury &amp; Brands</w:t>
            </w:r>
          </w:p>
        </w:tc>
        <w:tc>
          <w:tcPr>
            <w:tcW w:type="dxa" w:w="3000"/>
            <w:tcBorders>
              <w:top w:val="single" w:color="CCCCCC" w:sz="4"/>
              <w:left w:val="single" w:color="CCCCCC" w:sz="4"/>
              <w:bottom w:val="single" w:color="CCCCCC" w:sz="4"/>
              <w:right w:val="single" w:color="CCCCCC" w:sz="4"/>
            </w:tcBorders>
            <w:shd w:fill="1E4D2B"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Restaurants &amp; Experiences</w:t>
            </w:r>
          </w:p>
        </w:tc>
      </w:tr>
      <w:tr>
        <w:tc>
          <w:tcPr>
            <w:tcW w:type="dxa" w:w="3000"/>
            <w:tcBorders>
              <w:top w:val="single" w:color="CCCCCC" w:sz="4"/>
              <w:left w:val="single" w:color="CCCCCC" w:sz="4"/>
              <w:bottom w:val="single" w:color="CCCCCC" w:sz="4"/>
              <w:right w:val="single" w:color="CCCCCC" w:sz="4"/>
            </w:tcBorders>
            <w:shd w:fill="E8EEF4"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1B3A5C"/>
                <w:sz w:val="19"/>
                <w:szCs w:val="19"/>
              </w:rPr>
              <w:t xml:space="preserve">Amazon, Shopify, Zalando, MercadoLibre, Canadian Tire</w:t>
            </w:r>
          </w:p>
        </w:tc>
        <w:tc>
          <w:tcPr>
            <w:tcW w:type="dxa" w:w="3000"/>
            <w:tcBorders>
              <w:top w:val="single" w:color="CCCCCC" w:sz="4"/>
              <w:left w:val="single" w:color="CCCCCC" w:sz="4"/>
              <w:bottom w:val="single" w:color="CCCCCC" w:sz="4"/>
              <w:right w:val="single" w:color="CCCCCC" w:sz="4"/>
            </w:tcBorders>
            <w:shd w:fill="F9E8EB"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6B1A2A"/>
                <w:sz w:val="19"/>
                <w:szCs w:val="19"/>
              </w:rPr>
              <w:t xml:space="preserve">LVMH, Hermès, Nike, Burberry, Lululemon, Canada Goose</w:t>
            </w:r>
          </w:p>
        </w:tc>
        <w:tc>
          <w:tcPr>
            <w:tcW w:type="dxa" w:w="3000"/>
            <w:tcBorders>
              <w:top w:val="single" w:color="CCCCCC" w:sz="4"/>
              <w:left w:val="single" w:color="CCCCCC" w:sz="4"/>
              <w:bottom w:val="single" w:color="CCCCCC" w:sz="4"/>
              <w:right w:val="single" w:color="CCCCCC" w:sz="4"/>
            </w:tcBorders>
            <w:shd w:fill="E6F4EA"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1E4D2B"/>
                <w:sz w:val="19"/>
                <w:szCs w:val="19"/>
              </w:rPr>
              <w:t xml:space="preserve">McDonald's, Airbnb, Restaurant Brands Intl., Compass Group, Whitbread</w:t>
            </w:r>
          </w:p>
        </w:tc>
      </w:tr>
      <w:tr>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iCs/>
                <w:color w:val="2C3E50"/>
                <w:sz w:val="19"/>
                <w:szCs w:val="19"/>
              </w:rPr>
              <w:t xml:space="preserve">Core moat: Scale, logistics, data, ecosystem lock-in</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iCs/>
                <w:color w:val="2C3E50"/>
                <w:sz w:val="19"/>
                <w:szCs w:val="19"/>
              </w:rPr>
              <w:t xml:space="preserve">Core moat: Brand heritage, pricing power, scarcity, aspiration</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iCs/>
                <w:color w:val="2C3E50"/>
                <w:sz w:val="19"/>
                <w:szCs w:val="19"/>
              </w:rPr>
              <w:t xml:space="preserve">Core moat: Location density, franchise economics, habit formation</w:t>
            </w:r>
          </w:p>
        </w:tc>
      </w:tr>
      <w:tr>
        <w:tc>
          <w:tcPr>
            <w:tcW w:type="dxa" w:w="3000"/>
            <w:tcBorders>
              <w:top w:val="single" w:color="CCCCCC" w:sz="4"/>
              <w:left w:val="single" w:color="CCCCCC" w:sz="4"/>
              <w:bottom w:val="single" w:color="CCCCCC" w:sz="4"/>
              <w:right w:val="single" w:color="CCCCCC" w:sz="4"/>
            </w:tcBorders>
            <w:shd w:fill="FFCCCC"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iCs/>
                <w:color w:val="C00000"/>
                <w:sz w:val="19"/>
                <w:szCs w:val="19"/>
              </w:rPr>
              <w:t xml:space="preserve">Key risk: Unit economics never reaching profitability at scale</w:t>
            </w:r>
          </w:p>
        </w:tc>
        <w:tc>
          <w:tcPr>
            <w:tcW w:type="dxa" w:w="3000"/>
            <w:tcBorders>
              <w:top w:val="single" w:color="CCCCCC" w:sz="4"/>
              <w:left w:val="single" w:color="CCCCCC" w:sz="4"/>
              <w:bottom w:val="single" w:color="CCCCCC" w:sz="4"/>
              <w:right w:val="single" w:color="CCCCCC" w:sz="4"/>
            </w:tcBorders>
            <w:shd w:fill="FFCCCC"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iCs/>
                <w:color w:val="C00000"/>
                <w:sz w:val="19"/>
                <w:szCs w:val="19"/>
              </w:rPr>
              <w:t xml:space="preserve">Key risk: Brand dilution or aspirational positioning eroded by accessible pricing</w:t>
            </w:r>
          </w:p>
        </w:tc>
        <w:tc>
          <w:tcPr>
            <w:tcW w:type="dxa" w:w="3000"/>
            <w:tcBorders>
              <w:top w:val="single" w:color="CCCCCC" w:sz="4"/>
              <w:left w:val="single" w:color="CCCCCC" w:sz="4"/>
              <w:bottom w:val="single" w:color="CCCCCC" w:sz="4"/>
              <w:right w:val="single" w:color="CCCCCC" w:sz="4"/>
            </w:tcBorders>
            <w:shd w:fill="FFCCCC"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iCs/>
                <w:color w:val="C00000"/>
                <w:sz w:val="19"/>
                <w:szCs w:val="19"/>
              </w:rPr>
              <w:t xml:space="preserve">Key risk: Concept fatigue, labour cost inflation, economic cycle</w:t>
            </w:r>
          </w:p>
        </w:tc>
      </w:tr>
      <w:tr>
        <w:tc>
          <w:tcPr>
            <w:tcW w:type="dxa" w:w="3000"/>
            <w:tcBorders>
              <w:top w:val="single" w:color="CCCCCC" w:sz="4"/>
              <w:left w:val="single" w:color="CCCCCC" w:sz="4"/>
              <w:bottom w:val="single" w:color="CCCCCC" w:sz="4"/>
              <w:right w:val="single" w:color="CCCCCC" w:sz="4"/>
            </w:tcBorders>
            <w:shd w:fill="E8EEF4"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B3A5C"/>
                <w:sz w:val="19"/>
                <w:szCs w:val="19"/>
              </w:rPr>
              <w:t xml:space="preserve">Valued on: GMV, take rate, contribution margin, FCF trajectory</w:t>
            </w:r>
          </w:p>
        </w:tc>
        <w:tc>
          <w:tcPr>
            <w:tcW w:type="dxa" w:w="3000"/>
            <w:tcBorders>
              <w:top w:val="single" w:color="CCCCCC" w:sz="4"/>
              <w:left w:val="single" w:color="CCCCCC" w:sz="4"/>
              <w:bottom w:val="single" w:color="CCCCCC" w:sz="4"/>
              <w:right w:val="single" w:color="CCCCCC" w:sz="4"/>
            </w:tcBorders>
            <w:shd w:fill="F9E8EB"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6B1A2A"/>
                <w:sz w:val="19"/>
                <w:szCs w:val="19"/>
              </w:rPr>
              <w:t xml:space="preserve">Valued on: EV/EBITDA, organic revenue growth, operating margin, brand premium</w:t>
            </w:r>
          </w:p>
        </w:tc>
        <w:tc>
          <w:tcPr>
            <w:tcW w:type="dxa" w:w="3000"/>
            <w:tcBorders>
              <w:top w:val="single" w:color="CCCCCC" w:sz="4"/>
              <w:left w:val="single" w:color="CCCCCC" w:sz="4"/>
              <w:bottom w:val="single" w:color="CCCCCC" w:sz="4"/>
              <w:right w:val="single" w:color="CCCCCC" w:sz="4"/>
            </w:tcBorders>
            <w:shd w:fill="E6F4EA"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E4D2B"/>
                <w:sz w:val="19"/>
                <w:szCs w:val="19"/>
              </w:rPr>
              <w:t xml:space="preserve">Valued on: EV/EBITDA, same-store sales, restaurant-level margin, FCF yield</w:t>
            </w:r>
          </w:p>
        </w:tc>
      </w:tr>
    </w:tbl>
    <w:p>
      <w:pPr>
        <w:spacing w:after="0" w:before="80"/>
      </w:pPr>
      <w:r>
        <w:t xml:space="preserve"/>
      </w:r>
    </w:p>
    <w:p>
      <w:pPr>
        <w:spacing w:after="80" w:before="240"/>
      </w:pPr>
      <w:r>
        <w:rPr>
          <w:rFonts w:ascii="Calibri" w:cs="Calibri" w:eastAsia="Calibri" w:hAnsi="Calibri"/>
          <w:b/>
          <w:bCs/>
          <w:color w:val="2E75B6"/>
          <w:sz w:val="25"/>
          <w:szCs w:val="25"/>
        </w:rPr>
        <w:t xml:space="preserve">The Cycle Behaviour Spectrum</w:t>
      </w:r>
    </w:p>
    <w:p>
      <w:pPr>
        <w:spacing w:after="60" w:before="60" w:line="300"/>
        <w:jc w:val="left"/>
      </w:pPr>
      <w:r>
        <w:rPr>
          <w:rFonts w:ascii="Calibri" w:cs="Calibri" w:eastAsia="Calibri" w:hAnsi="Calibri"/>
          <w:b w:val="false"/>
          <w:bCs w:val="false"/>
          <w:i w:val="false"/>
          <w:iCs w:val="false"/>
          <w:color w:val="404040"/>
          <w:sz w:val="22"/>
          <w:szCs w:val="22"/>
        </w:rPr>
        <w:t xml:space="preserve">These three company types sit at very different points on the economic cycle sensitivity spectrum — and this determines when to buy them, what margin of safety is appropriate, and how patient you need to be.</w:t>
      </w:r>
    </w:p>
    <w:p>
      <w:pPr>
        <w:spacing w:after="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400"/>
      </w:tblGrid>
      <w:tr>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Company Type</w:t>
            </w:r>
          </w:p>
        </w:tc>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Recession Behaviour</w:t>
            </w:r>
          </w:p>
        </w:tc>
        <w:tc>
          <w:tcPr>
            <w:tcW w:type="dxa" w:w="2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Recovery Behaviour</w:t>
            </w:r>
          </w:p>
        </w:tc>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Optimal Buy Window</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True Luxury (Hermès, LVMH)</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Resilient — wealthy consumers rarely cut luxury spend</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Fast recovery — pent-up demand releases quickly</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During market-wide selloffs that drag down all consumer stocks indiscriminately</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Aspirational Luxury (Nike, Burberry)</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Moderate decline — consumers trade down within the brand or to cheaper alternatives</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Moderate recovery — some permanent trade-down to private label</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12–18 months before economic recovery when sentiment is worst but brands are intact</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E-commerce (Amazon, Shopify)</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Mixed — essentials component is defensive; discretionary purchases fall</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Strong — e-commerce penetration gains during recessions tend to be permanent</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During sector-wide tech/consumer selloffs when unit economics are misread as structural</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Restaurants — QSR (McDonald's)</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Relatively defensive — trades up from casual dining as consumers seek value</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Stable — QSR recovers quickly as consumer confidence improves</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At maximum pessimism — earnings troughs when traffic is worst but brand is intact</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Restaurants — Casual/Experiences (Airbnb)</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Significant decline — discretionary travel and dining first to be cut</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Strong recovery — pent-up demand for experience is real and measurable</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Deep into the recession when bookings are trough and multiple is compressed</w:t>
            </w:r>
          </w:p>
        </w:tc>
      </w:tr>
    </w:tbl>
    <w:p>
      <w:r>
        <w:br w:type="page"/>
      </w:r>
    </w:p>
    <w:p>
      <w:pPr>
        <w:pStyle w:val="Heading1"/>
        <w:shd w:fill="1B3A5C" w:val="clear"/>
        <w:spacing w:after="180" w:before="400"/>
        <w:ind w:left="240"/>
      </w:pPr>
      <w:r>
        <w:rPr>
          <w:rFonts w:ascii="Calibri" w:cs="Calibri" w:eastAsia="Calibri" w:hAnsi="Calibri"/>
          <w:b/>
          <w:bCs/>
          <w:color w:val="FFFFFF"/>
          <w:sz w:val="40"/>
          <w:szCs w:val="40"/>
        </w:rPr>
        <w:t xml:space="preserve">Part 1 — E-commerce &amp; Retail</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E-commerce is the most analytically misunderstood of the three company types. The most common mistake is using Gross Merchandise Volume (GMV) — the total dollar value of goods sold through the platform — as a proxy for business quality. GMV is a vanity metric. It tells you the scale of activity but says nothing about whether the business is generating real value. A marketplace can have $100bn in GMV and still be destroying capital if the unit economics of each transaction are negative.</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The correct analytical lens is profitability per transaction — contribution margin — and its trajectory over time. An e-commerce business that is unprofitable today but has improving contribution margins on an expanding order volume is building toward a genuinely valuable business. One that is unprofitable with flat or declining contribution margins is not.</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E-commerce Business Model Spectrum</w:t>
      </w:r>
    </w:p>
    <w:p>
      <w:pPr>
        <w:spacing w:after="60" w:before="60" w:line="300"/>
        <w:jc w:val="left"/>
      </w:pPr>
      <w:r>
        <w:rPr>
          <w:rFonts w:ascii="Calibri" w:cs="Calibri" w:eastAsia="Calibri" w:hAnsi="Calibri"/>
          <w:b w:val="false"/>
          <w:bCs w:val="false"/>
          <w:i w:val="false"/>
          <w:iCs w:val="false"/>
          <w:color w:val="404040"/>
          <w:sz w:val="22"/>
          <w:szCs w:val="22"/>
        </w:rPr>
        <w:t xml:space="preserve">Not all e-commerce companies are the same. Understanding which model you are analysing determines the correct metrics and valuation approach.</w:t>
      </w:r>
    </w:p>
    <w:p>
      <w:pPr>
        <w:spacing w:after="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2000"/>
        <w:gridCol w:w="2000"/>
      </w:tblGrid>
      <w:tr>
        <w:tc>
          <w:tcPr>
            <w:tcW w:type="dxa" w:w="1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Model Type</w:t>
            </w:r>
          </w:p>
        </w:tc>
        <w:tc>
          <w:tcPr>
            <w:tcW w:type="dxa" w:w="2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Description</w:t>
            </w:r>
          </w:p>
        </w:tc>
        <w:tc>
          <w:tcPr>
            <w:tcW w:type="dxa" w:w="1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Examples</w:t>
            </w:r>
          </w:p>
        </w:tc>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Primary Value Driver</w:t>
            </w:r>
          </w:p>
        </w:tc>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Key Risk</w:t>
            </w:r>
          </w:p>
        </w:tc>
      </w:tr>
      <w:tr>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First-party retail (1P)</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Company buys inventory and sells it directly — owns the full margin but bears inventory risk</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Amazon 1P, Zalando</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Gross margin and inventory turns — how efficiently it moves stock</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Inventory markdowns and working capital cycles</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Third-party marketplace (3P)</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Platform connects buyers and sellers; earns a commission or take rate — asset-light</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Amazon Marketplace, Shopify, Etsy</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Take rate × GMV — how much of each transaction it captures</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Take rate pressure from competition; seller concentration risk</w:t>
            </w:r>
          </w:p>
        </w:tc>
      </w:tr>
      <w:tr>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Hybrid (1P + 3P)</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Combination model — uses 1P to anchor selection and 3P to extend range</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Amazon, Zalando</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Revenue mix shift toward 3P improves margin profile — track mix</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3P sellers building own direct channels, reducing marketplace dependency</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Vertically integrated DTC</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Brand sells directly to consumer, bypassing retailer — higher margin, more data</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Warby Parker, Allbirds, Gymshark</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Brand loyalty and repeat purchase rate — customer LTV</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CAC rising as digital advertising costs increase; difficult to scale</w:t>
            </w:r>
          </w:p>
        </w:tc>
      </w:tr>
      <w:tr>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B2B commerce enablement</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Provides infrastructure for other businesses to sell online</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Shopify, BigCommerce</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Merchant count × average revenue per merchant</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Platform switching costs; competition from Amazon and native social commerce</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Metrics That Actually Matter in E-commerce</w:t>
      </w:r>
    </w:p>
    <w:p>
      <w:pPr>
        <w:spacing w:after="0" w:before="60"/>
      </w:pPr>
      <w:r>
        <w:t xml:space="preserve"/>
      </w:r>
    </w:p>
    <w:p>
      <w:pPr>
        <w:spacing w:after="80" w:before="240"/>
      </w:pPr>
      <w:r>
        <w:rPr>
          <w:rFonts w:ascii="Calibri" w:cs="Calibri" w:eastAsia="Calibri" w:hAnsi="Calibri"/>
          <w:b/>
          <w:bCs/>
          <w:color w:val="2E75B6"/>
          <w:sz w:val="25"/>
          <w:szCs w:val="25"/>
        </w:rPr>
        <w:t xml:space="preserve">1. Contribution Margin — The Only Metric That Matters for Profitability</w:t>
      </w:r>
    </w:p>
    <w:p>
      <w:pPr>
        <w:spacing w:after="60" w:before="60" w:line="300"/>
        <w:jc w:val="left"/>
      </w:pPr>
      <w:r>
        <w:rPr>
          <w:rFonts w:ascii="Calibri" w:cs="Calibri" w:eastAsia="Calibri" w:hAnsi="Calibri"/>
          <w:b w:val="false"/>
          <w:bCs w:val="false"/>
          <w:i w:val="false"/>
          <w:iCs w:val="false"/>
          <w:color w:val="404040"/>
          <w:sz w:val="22"/>
          <w:szCs w:val="22"/>
        </w:rPr>
        <w:t xml:space="preserve">Contribution margin is the revenue remaining after all variable costs directly associated with fulfilling an order: product cost, payment processing, shipping, packaging, and returns handling. It is the most important metric in e-commerce because it answers the fundamental question: does the business make money on each transaction before fixed costs?</w:t>
      </w:r>
    </w:p>
    <w:p>
      <w:pPr>
        <w:spacing w:after="0" w:before="40"/>
      </w:pPr>
      <w:r>
        <w:t xml:space="preserve"/>
      </w:r>
    </w:p>
    <w:p>
      <w:pPr>
        <w:pBdr>
          <w:left w:val="single" w:color="2E75B6" w:sz="22" w:space="10"/>
        </w:pBdr>
        <w:shd w:fill="DEEAF1" w:val="clear"/>
        <w:spacing w:after="140" w:before="140" w:line="288"/>
        <w:ind w:left="440" w:right="440"/>
      </w:pPr>
      <w:r>
        <w:rPr>
          <w:rFonts w:ascii="Calibri" w:cs="Calibri" w:eastAsia="Calibri" w:hAnsi="Calibri"/>
          <w:i/>
          <w:iCs/>
          <w:color w:val="1F3864"/>
          <w:sz w:val="21"/>
          <w:szCs w:val="21"/>
        </w:rPr>
        <w:t xml:space="preserve">Contribution Margin = Revenue – COGS – Shipping – Returns – Payment Processing
A business with positive contribution margin is building toward profitability as fixed costs are spread over more orders. A business with negative contribution margin gets worse as it scales — no amount of revenue growth fixes negative unit economics.</w:t>
      </w:r>
    </w:p>
    <w:p>
      <w:pPr>
        <w:spacing w:after="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400"/>
      </w:tblGrid>
      <w:tr>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Contribution Margin Level</w:t>
            </w:r>
          </w:p>
        </w:tc>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Assessment</w:t>
            </w:r>
          </w:p>
        </w:tc>
        <w:tc>
          <w:tcPr>
            <w:tcW w:type="dxa" w:w="4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What It Means for Investors</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 20%</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Strong — meaningful buffer to cover fixed costs and generate FCF</w:t>
            </w:r>
          </w:p>
        </w:tc>
        <w:tc>
          <w:tcPr>
            <w:tcW w:type="dxa" w:w="4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Each new order is genuinely accretive; scaling will produce expanding FCF margins</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10–20%</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Good — positive but thin; requires significant scale to cover fixed costs</w:t>
            </w:r>
          </w:p>
        </w:tc>
        <w:tc>
          <w:tcPr>
            <w:tcW w:type="dxa" w:w="4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Growth is directionally correct; monitor for margin expansion as logistics costs are leveraged</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0–10%</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Marginal — barely covering variable costs; fixed cost leverage is critical</w:t>
            </w:r>
          </w:p>
        </w:tc>
        <w:tc>
          <w:tcPr>
            <w:tcW w:type="dxa" w:w="4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Requires very large order volumes to generate FCF; high execution risk</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Negative</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Structural problem — each additional order destroys value</w:t>
            </w:r>
          </w:p>
        </w:tc>
        <w:tc>
          <w:tcPr>
            <w:tcW w:type="dxa" w:w="4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Cannot be fixed by growth alone; requires fundamental change in pricing, product, or logistics model</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Improving consistently (any level)</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Most important signal regardless of absolute level</w:t>
            </w:r>
          </w:p>
        </w:tc>
        <w:tc>
          <w:tcPr>
            <w:tcW w:type="dxa" w:w="4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Trajectory toward positive contribution margin is the buy signal — not the current level</w:t>
            </w:r>
          </w:p>
        </w:tc>
      </w:tr>
    </w:tbl>
    <w:p>
      <w:pPr>
        <w:spacing w:after="0" w:before="80"/>
      </w:pPr>
      <w:r>
        <w:t xml:space="preserve"/>
      </w:r>
    </w:p>
    <w:p>
      <w:pPr>
        <w:spacing w:after="80" w:before="240"/>
      </w:pPr>
      <w:r>
        <w:rPr>
          <w:rFonts w:ascii="Calibri" w:cs="Calibri" w:eastAsia="Calibri" w:hAnsi="Calibri"/>
          <w:b/>
          <w:bCs/>
          <w:color w:val="2E75B6"/>
          <w:sz w:val="25"/>
          <w:szCs w:val="25"/>
        </w:rPr>
        <w:t xml:space="preserve">2. Take Rate — The Marketplace Monetisation Metric</w:t>
      </w:r>
    </w:p>
    <w:p>
      <w:pPr>
        <w:spacing w:after="60" w:before="60" w:line="300"/>
        <w:jc w:val="left"/>
      </w:pPr>
      <w:r>
        <w:rPr>
          <w:rFonts w:ascii="Calibri" w:cs="Calibri" w:eastAsia="Calibri" w:hAnsi="Calibri"/>
          <w:b w:val="false"/>
          <w:bCs w:val="false"/>
          <w:i w:val="false"/>
          <w:iCs w:val="false"/>
          <w:color w:val="404040"/>
          <w:sz w:val="22"/>
          <w:szCs w:val="22"/>
        </w:rPr>
        <w:t xml:space="preserve">For marketplace businesses (Shopify, Amazon 3P, Etsy), the take rate is the percentage of each transaction the platform keeps as revenue. It is the primary lever for revenue growth independent of GMV growth — a platform that raises its take rate is extracting more value from the same volume of transactions.</w:t>
      </w:r>
    </w:p>
    <w:p>
      <w:pPr>
        <w:spacing w:after="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400"/>
      </w:tblGrid>
      <w:tr>
        <w:tc>
          <w:tcPr>
            <w:tcW w:type="dxa" w:w="1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Take Rate Level</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Typical Context</w:t>
            </w:r>
          </w:p>
        </w:tc>
        <w:tc>
          <w:tcPr>
            <w:tcW w:type="dxa" w:w="4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Investor Interpretation</w:t>
            </w:r>
          </w:p>
        </w:tc>
      </w:tr>
      <w:tr>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1–3%</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Payment processing or very competitive logistics marketplace</w:t>
            </w:r>
          </w:p>
        </w:tc>
        <w:tc>
          <w:tcPr>
            <w:tcW w:type="dxa" w:w="4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Very thin — revenue is volume-dependent; any GMV slowdown hits revenue hard</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3–8%</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General merchandise marketplace with basic seller tools</w:t>
            </w:r>
          </w:p>
        </w:tc>
        <w:tc>
          <w:tcPr>
            <w:tcW w:type="dxa" w:w="4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Average — Shopify's core subscription + transaction fees</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
            </w:r>
          </w:p>
        </w:tc>
      </w:tr>
      <w:tr>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8–15%</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Marketplace with advertising, fulfilment, and premium seller services</w:t>
            </w:r>
          </w:p>
        </w:tc>
        <w:tc>
          <w:tcPr>
            <w:tcW w:type="dxa" w:w="4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Strong — indicates sellers are finding value in platform services beyond basic listing</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15–25%+</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App stores, digital goods marketplace, highly curated marketplace</w:t>
            </w:r>
          </w:p>
        </w:tc>
        <w:tc>
          <w:tcPr>
            <w:tcW w:type="dxa" w:w="4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Very strong — reflects platform pricing power; Apple App Store and Google Play operate here</w:t>
            </w:r>
          </w:p>
        </w:tc>
      </w:tr>
      <w:tr>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Rising take rate</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Platform successfully monetising additional services</w:t>
            </w:r>
          </w:p>
        </w:tc>
        <w:tc>
          <w:tcPr>
            <w:tcW w:type="dxa" w:w="4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Positive — demonstrates value creation for sellers and platform pricing power</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Declining take rate</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Competitive pressure or deliberate investment to gain GMV share</w:t>
            </w:r>
          </w:p>
        </w:tc>
        <w:tc>
          <w:tcPr>
            <w:tcW w:type="dxa" w:w="4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Investigate cause — temporary investment or structural market share loss?</w:t>
            </w:r>
          </w:p>
        </w:tc>
      </w:tr>
    </w:tbl>
    <w:p>
      <w:pPr>
        <w:spacing w:after="0" w:before="80"/>
      </w:pPr>
      <w:r>
        <w:t xml:space="preserve"/>
      </w:r>
    </w:p>
    <w:p>
      <w:pPr>
        <w:spacing w:after="80" w:before="240"/>
      </w:pPr>
      <w:r>
        <w:rPr>
          <w:rFonts w:ascii="Calibri" w:cs="Calibri" w:eastAsia="Calibri" w:hAnsi="Calibri"/>
          <w:b/>
          <w:bCs/>
          <w:color w:val="2E75B6"/>
          <w:sz w:val="25"/>
          <w:szCs w:val="25"/>
        </w:rPr>
        <w:t xml:space="preserve">3. Customer Acquisition Cost (CAC) and Payback Period</w:t>
      </w:r>
    </w:p>
    <w:p>
      <w:pPr>
        <w:spacing w:after="60" w:before="60" w:line="300"/>
        <w:jc w:val="left"/>
      </w:pPr>
      <w:r>
        <w:rPr>
          <w:rFonts w:ascii="Calibri" w:cs="Calibri" w:eastAsia="Calibri" w:hAnsi="Calibri"/>
          <w:b w:val="false"/>
          <w:bCs w:val="false"/>
          <w:i w:val="false"/>
          <w:iCs w:val="false"/>
          <w:color w:val="404040"/>
          <w:sz w:val="22"/>
          <w:szCs w:val="22"/>
        </w:rPr>
        <w:t xml:space="preserve">In e-commerce, the economics of acquiring a new customer and retaining them over time determine whether the business model is viable. Digital advertising costs (Google, Meta) have risen significantly over the past decade, making CAC a growing challenge for most e-commerce businesses.</w:t>
      </w:r>
    </w:p>
    <w:p>
      <w:pPr>
        <w:spacing w:after="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400"/>
      </w:tblGrid>
      <w:tr>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Metric</w:t>
            </w:r>
          </w:p>
        </w:tc>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Formula</w:t>
            </w:r>
          </w:p>
        </w:tc>
        <w:tc>
          <w:tcPr>
            <w:tcW w:type="dxa" w:w="2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Healthy Level</w:t>
            </w:r>
          </w:p>
        </w:tc>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Warning Sign</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CAC</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Total Sales &amp; Marketing spend / New customers acquired</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or stable as marketing efficiency improves</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Rising CAC despite growing revenue — platform diseconomies of scale</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CAC Payback Period</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CAC / (Monthly Contribution Margin per Customer)</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&lt; 12 months for mature e-commerce; &lt; 18 months acceptable</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Above 24 months — each customer requires too much capital to acquire</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Repeat Purchase Rate</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 of customers who make a 2nd+ purchase within 12 months</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 40% for non-subscription retail; ≥ 60% for subscription</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&lt; 25% — customers are not returning; brand loyalty is absent</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Customer Lifetime Value (LTV)</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Average order value × Gross margin × Average purchases per year × Average customer life</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LTV ≥ 3x CAC</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LTV/CAC falling below 2x — destroying capital on customer acquisition</w:t>
            </w:r>
          </w:p>
        </w:tc>
      </w:tr>
    </w:tbl>
    <w:p>
      <w:pPr>
        <w:spacing w:after="0" w:before="80"/>
      </w:pPr>
      <w:r>
        <w:t xml:space="preserve"/>
      </w:r>
    </w:p>
    <w:p>
      <w:pPr>
        <w:spacing w:after="80" w:before="240"/>
      </w:pPr>
      <w:r>
        <w:rPr>
          <w:rFonts w:ascii="Calibri" w:cs="Calibri" w:eastAsia="Calibri" w:hAnsi="Calibri"/>
          <w:b/>
          <w:bCs/>
          <w:color w:val="2E75B6"/>
          <w:sz w:val="25"/>
          <w:szCs w:val="25"/>
        </w:rPr>
        <w:t xml:space="preserve">4. Amazon: The Sum-of-Parts Imperative</w:t>
      </w:r>
    </w:p>
    <w:p>
      <w:pPr>
        <w:spacing w:after="60" w:before="60" w:line="300"/>
        <w:jc w:val="left"/>
      </w:pPr>
      <w:r>
        <w:rPr>
          <w:rFonts w:ascii="Calibri" w:cs="Calibri" w:eastAsia="Calibri" w:hAnsi="Calibri"/>
          <w:b w:val="false"/>
          <w:bCs w:val="false"/>
          <w:i w:val="false"/>
          <w:iCs w:val="false"/>
          <w:color w:val="404040"/>
          <w:sz w:val="22"/>
          <w:szCs w:val="22"/>
        </w:rPr>
        <w:t xml:space="preserve">Amazon is one of the most persistently misvalued companies in the market because investors apply a single retail multiple to a business that contains three fundamentally different businesses with completely different growth rates, margins, and valuation frameworks.</w:t>
      </w:r>
    </w:p>
    <w:p>
      <w:pPr>
        <w:spacing w:after="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2800"/>
      </w:tblGrid>
      <w:tr>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Amazon Business Unit</w:t>
            </w:r>
          </w:p>
        </w:tc>
        <w:tc>
          <w:tcPr>
            <w:tcW w:type="dxa" w:w="1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Revenue Mix (approx.)</w:t>
            </w:r>
          </w:p>
        </w:tc>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Margin Profile</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Appropriate Valuation Multiple</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AWS (Cloud Computing)</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~17% of revenue</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Operating margin ~35–40% and growing</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10–15x revenue (SaaS/cloud multiple) — the highest-quality business in the portfolio</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Amazon Advertising</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~8% of revenue</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Operating margin ~50%+ — extremely high margin digital ads</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15–20x EBITDA — comparable to Google and Meta advertising businesses</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Third-Party Seller Services</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~24% of revenue</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Operating margin ~15–20% — marketplace fees and fulfilment services</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8–12x EBITDA — durable marketplace with high switching costs</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First-Party Online Retail</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~20% of revenue</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Near breakeven or slight loss — deliberate margin sacrifice for customer acquisition</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1–3x revenue — low-margin business; value is in ecosystem, not standalone retail</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Physical Stores (Whole Foods)</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~4% of revenue</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Low margin — grocery is structurally low margin</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6–8x EBITDA — in-line with traditional grocery peers</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Subscription Services (Prime)</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~7% of revenue</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 margin once content costs are accounted for</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12–18x EBITDA — recurring, sticky, enables the entire ecosystem</w:t>
            </w:r>
          </w:p>
        </w:tc>
      </w:tr>
    </w:tbl>
    <w:p>
      <w:pPr>
        <w:spacing w:after="0" w:before="40"/>
      </w:pPr>
      <w:r>
        <w:t xml:space="preserve"/>
      </w:r>
    </w:p>
    <w:p>
      <w:pPr>
        <w:pBdr>
          <w:left w:val="single" w:color="1B3A5C" w:sz="22" w:space="10"/>
        </w:pBdr>
        <w:shd w:fill="E8EEF4" w:val="clear"/>
        <w:spacing w:after="140" w:before="140" w:line="288"/>
        <w:ind w:left="440" w:right="440"/>
      </w:pPr>
      <w:r>
        <w:rPr>
          <w:rFonts w:ascii="Calibri" w:cs="Calibri" w:eastAsia="Calibri" w:hAnsi="Calibri"/>
          <w:i/>
          <w:iCs/>
          <w:color w:val="1B3A5C"/>
          <w:sz w:val="21"/>
          <w:szCs w:val="21"/>
        </w:rPr>
        <w:t xml:space="preserve">The SOTP argument for Amazon: If you apply cloud and advertising multiples to AWS and Amazon Advertising, you often find that the market cap is entirely justified by these two businesses alone — meaning you are getting the world's largest e-commerce marketplace, Prime membership, physical stores, and logistics infrastructure for effectively zero. This persistent undervaluation exists because most investors still think of Amazon as a retailer.</w:t>
      </w:r>
    </w:p>
    <w:p>
      <w:pPr>
        <w:spacing w:after="0" w:before="80"/>
      </w:pPr>
      <w:r>
        <w:t xml:space="preserve"/>
      </w:r>
    </w:p>
    <w:p>
      <w:pPr>
        <w:spacing w:after="80" w:before="240"/>
      </w:pPr>
      <w:r>
        <w:rPr>
          <w:rFonts w:ascii="Calibri" w:cs="Calibri" w:eastAsia="Calibri" w:hAnsi="Calibri"/>
          <w:b/>
          <w:bCs/>
          <w:color w:val="2E75B6"/>
          <w:sz w:val="25"/>
          <w:szCs w:val="25"/>
        </w:rPr>
        <w:t xml:space="preserve">5. Shopify: The Platform Economics Model</w:t>
      </w:r>
    </w:p>
    <w:p>
      <w:pPr>
        <w:spacing w:after="60" w:before="60" w:line="300"/>
        <w:jc w:val="left"/>
      </w:pPr>
      <w:r>
        <w:rPr>
          <w:rFonts w:ascii="Calibri" w:cs="Calibri" w:eastAsia="Calibri" w:hAnsi="Calibri"/>
          <w:b w:val="false"/>
          <w:bCs w:val="false"/>
          <w:i w:val="false"/>
          <w:iCs w:val="false"/>
          <w:color w:val="404040"/>
          <w:sz w:val="22"/>
          <w:szCs w:val="22"/>
        </w:rPr>
        <w:t xml:space="preserve">Shopify is not a retailer — it is an operating system for commerce. Understanding this distinction is essential to valuing it correctly. Shopify earns revenue from merchants in two ways: monthly subscription fees (predictable, recurring) and merchant solutions (payment processing, capital, shipping — variable, GMV-dependent).</w:t>
      </w:r>
    </w:p>
    <w:p>
      <w:pPr>
        <w:spacing w:after="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400"/>
      </w:tblGrid>
      <w:tr>
        <w:tc>
          <w:tcPr>
            <w:tcW w:type="dxa" w:w="2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Shopify Metric</w:t>
            </w:r>
          </w:p>
        </w:tc>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What to Track</w:t>
            </w:r>
          </w:p>
        </w:tc>
        <w:tc>
          <w:tcPr>
            <w:tcW w:type="dxa" w:w="2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Healthy Trend</w:t>
            </w:r>
          </w:p>
        </w:tc>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Warning Sign</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Merchant count</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Total merchants using the platform</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Growing ≥ 15% annually</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Decelerating merchant growth — TAM saturation or competitive entry</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Merchant Solutions as % of revenue</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Payment + capital + shipping revenue mix</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Growing — indicates deeper merchant engagement beyond basic subscription</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Flat or declining — merchants not using value-added services</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MRR (Monthly Recurring Revenue)</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Subscription revenue base</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Growing and stable — low churn</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Elevated merchant churn — above 5% monthly is a concern</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GMV growth</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Total value of goods sold through Shopify</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Growing ≥ 20% — platform gaining commercial share</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GMV growing slower than e-commerce market overall — losing competitive ground</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Take rate (Merchant Solutions rev / GMV)</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 of GMV captured as revenue</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Rising — Shopify monetising more of each transaction</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 competitive pressure on payment and services pricing</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How to Identify Genuinely Undervalued E-commerce Companies</w:t>
      </w:r>
    </w:p>
    <w:p>
      <w:pPr>
        <w:spacing w:after="0" w:before="60"/>
      </w:pPr>
      <w:r>
        <w:t xml:space="preserve"/>
      </w:r>
    </w:p>
    <w:p>
      <w:pPr>
        <w:spacing w:after="80" w:before="240"/>
      </w:pPr>
      <w:r>
        <w:rPr>
          <w:rFonts w:ascii="Calibri" w:cs="Calibri" w:eastAsia="Calibri" w:hAnsi="Calibri"/>
          <w:b/>
          <w:bCs/>
          <w:color w:val="2E75B6"/>
          <w:sz w:val="25"/>
          <w:szCs w:val="25"/>
        </w:rPr>
        <w:t xml:space="preserve">Scenario A — Contribution Margin Inflection Overlooked by Market</w:t>
      </w:r>
    </w:p>
    <w:p>
      <w:pPr>
        <w:spacing w:after="60" w:before="60" w:line="300"/>
        <w:jc w:val="left"/>
      </w:pPr>
      <w:r>
        <w:rPr>
          <w:rFonts w:ascii="Calibri" w:cs="Calibri" w:eastAsia="Calibri" w:hAnsi="Calibri"/>
          <w:b w:val="false"/>
          <w:bCs w:val="false"/>
          <w:i w:val="false"/>
          <w:iCs w:val="false"/>
          <w:color w:val="404040"/>
          <w:sz w:val="22"/>
          <w:szCs w:val="22"/>
        </w:rPr>
        <w:t xml:space="preserve">The most reliable e-commerce buying opportunity is when a company crosses from negative to positive contribution margin for the first time — or when contribution margin improves significantly over several consecutive quarters. The market often does not recognise this inflection immediately because it is buried in segment disclosures rather than headline earnings.</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Contribution margin has turned positive for 2+ consecutive quarters, CAC payback period is declining, and repeat purchase rate is improving — but the stock is still trading on EV/Revenue at a significant discount to peers because the market is applying a 'loss-making retailer' multiple to what is becoming a profitable platform.</w:t>
      </w:r>
    </w:p>
    <w:p>
      <w:pPr>
        <w:spacing w:after="0" w:before="80"/>
      </w:pPr>
      <w:r>
        <w:t xml:space="preserve"/>
      </w:r>
    </w:p>
    <w:p>
      <w:pPr>
        <w:spacing w:after="80" w:before="240"/>
      </w:pPr>
      <w:r>
        <w:rPr>
          <w:rFonts w:ascii="Calibri" w:cs="Calibri" w:eastAsia="Calibri" w:hAnsi="Calibri"/>
          <w:b/>
          <w:bCs/>
          <w:color w:val="2E75B6"/>
          <w:sz w:val="25"/>
          <w:szCs w:val="25"/>
        </w:rPr>
        <w:t xml:space="preserve">Scenario B — AWS / Cloud Asset Hidden in Retail Valuation</w:t>
      </w:r>
    </w:p>
    <w:p>
      <w:pPr>
        <w:spacing w:after="60" w:before="60" w:line="300"/>
        <w:jc w:val="left"/>
      </w:pPr>
      <w:r>
        <w:rPr>
          <w:rFonts w:ascii="Calibri" w:cs="Calibri" w:eastAsia="Calibri" w:hAnsi="Calibri"/>
          <w:b w:val="false"/>
          <w:bCs w:val="false"/>
          <w:i w:val="false"/>
          <w:iCs w:val="false"/>
          <w:color w:val="404040"/>
          <w:sz w:val="22"/>
          <w:szCs w:val="22"/>
        </w:rPr>
        <w:t xml:space="preserve">Amazon is the canonical example but the principle applies to any e-commerce company that owns a high-value business unit being obscured by a lower-margin retail operation. When the market applies a blended retail multiple across the entire company, the cloud, advertising, or marketplace business is systematically undervalued.</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A SOTP analysis shows that high-margin business units (cloud, advertising, financial services) at appropriate sector multiples justify the current market cap — with the core commerce business effectively priced at zero or negative. The undervaluation is driven by investors using the wrong multiple framework for the dominant revenue line.</w:t>
      </w:r>
    </w:p>
    <w:p>
      <w:pPr>
        <w:spacing w:after="0" w:before="80"/>
      </w:pPr>
      <w:r>
        <w:t xml:space="preserve"/>
      </w:r>
    </w:p>
    <w:p>
      <w:pPr>
        <w:spacing w:after="80" w:before="240"/>
      </w:pPr>
      <w:r>
        <w:rPr>
          <w:rFonts w:ascii="Calibri" w:cs="Calibri" w:eastAsia="Calibri" w:hAnsi="Calibri"/>
          <w:b/>
          <w:bCs/>
          <w:color w:val="2E75B6"/>
          <w:sz w:val="25"/>
          <w:szCs w:val="25"/>
        </w:rPr>
        <w:t xml:space="preserve">Scenario C — Post-COVID E-commerce Normalisation Overcorrection</w:t>
      </w:r>
    </w:p>
    <w:p>
      <w:pPr>
        <w:spacing w:after="60" w:before="60" w:line="300"/>
        <w:jc w:val="left"/>
      </w:pPr>
      <w:r>
        <w:rPr>
          <w:rFonts w:ascii="Calibri" w:cs="Calibri" w:eastAsia="Calibri" w:hAnsi="Calibri"/>
          <w:b w:val="false"/>
          <w:bCs w:val="false"/>
          <w:i w:val="false"/>
          <w:iCs w:val="false"/>
          <w:color w:val="404040"/>
          <w:sz w:val="22"/>
          <w:szCs w:val="22"/>
        </w:rPr>
        <w:t xml:space="preserve">The 2020–2021 period pulled forward years of e-commerce penetration growth in a single year. When growth normalised in 2022–2023, many e-commerce companies reported what looked like dramatic decelerations. The market penalised stocks as if the deceleration were structural — but for companies with genuine unit economics and growing repeat purchase rates, the slowdown was purely a base effect.</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Revenue growth has decelerated from 50%+ (2021) to 10–15% (2023) but the underlying business quality metrics — contribution margin, repeat purchase rate, merchant count — are all healthy or improving. The stock has been repriced as if the deceleration is permanent when the normalised growth rate of 10–20% represents genuine sustainable outperformance vs. physical retail.</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E-commerce Undervaluation Checklist</w:t>
      </w:r>
    </w:p>
    <w:p>
      <w:pPr>
        <w:spacing w:after="0" w:before="4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600"/>
        <w:gridCol w:w="3100"/>
      </w:tblGrid>
      <w:tr>
        <w:tc>
          <w:tcPr>
            <w:tcW w:type="dxa" w:w="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Question</w:t>
            </w:r>
          </w:p>
        </w:tc>
        <w:tc>
          <w:tcPr>
            <w:tcW w:type="dxa" w:w="2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Green Flag</w:t>
            </w:r>
          </w:p>
        </w:tc>
        <w:tc>
          <w:tcPr>
            <w:tcW w:type="dxa" w:w="31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Red Flag</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contribution margin positive and improving?</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unit economics are working and getting better</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Negative or flat — scaling will not fix the problem</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2</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CAC payback period below 18 months?</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capital-efficient customer acquisition</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Above 24 months — business is very sensitive to cost of capital</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3</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take rate (for marketplaces) stable or rising?</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Rising — platform pricing power intact</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 competitive pressure on the core monetisation mechanism</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4</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repeat purchase rate above 40%?</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brand loyalty and product quality driving retention</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Below 25% — customers are not returning; CAC is wasted</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5</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Does a SOTP analysis reveal hidden high-margin assets?</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cloud, advertising, or fintech unit undervalued by blended multiple</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No — single-business model with uniform low margins</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6</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FCF margin trajectory improving?</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each year moving toward higher FCF margin</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Flat or worsening — scale is not producing the expected leverage</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7</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 deceleration from COVID base effects or structural?</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Base effect — underlying metrics (cohort retention, NPS) are healthy</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Structural — competition is taking share, or the product is no longer differentiated</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8</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 company investing in logistics as a moat, not just a cost?</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proprietary logistics creates customer experience advantage</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Outsourced logistics with no proprietary advantage — easily replicated</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9</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EV/Revenue or EV/GMV at a significant discount to 3yr average?</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 30% discount with stable or improving fundamentals</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At or above historical average — limited re-rating upside</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10</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there a specific catalyst — profitability inflection, segment spin-off, new market?</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Specific, time-bound event within 12–18 months</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No catalyst — undervaluation may persist for years</w:t>
            </w:r>
          </w:p>
        </w:tc>
      </w:tr>
    </w:tbl>
    <w:p>
      <w:pPr>
        <w:spacing w:after="0" w:before="80"/>
      </w:pPr>
      <w:r>
        <w:t xml:space="preserve"/>
      </w:r>
    </w:p>
    <w:p>
      <w:pPr>
        <w:pBdr>
          <w:left w:val="single" w:color="1B6B5A" w:sz="22" w:space="10"/>
        </w:pBdr>
        <w:shd w:fill="D9F0E8" w:val="clear"/>
        <w:spacing w:after="140" w:before="140" w:line="288"/>
        <w:ind w:left="440" w:right="440"/>
      </w:pPr>
      <w:r>
        <w:rPr>
          <w:rFonts w:ascii="Calibri" w:cs="Calibri" w:eastAsia="Calibri" w:hAnsi="Calibri"/>
          <w:i/>
          <w:iCs/>
          <w:color w:val="1B6B5A"/>
          <w:sz w:val="21"/>
          <w:szCs w:val="21"/>
        </w:rPr>
        <w:t xml:space="preserve">Margin of Safety for E-commerce: For profitable platforms with improving unit economics (Amazon AWS, Shopify): require 20–25% below SOTP fair value. For growth-stage, near-breakeven e-commerce (positive but thin contribution margin): require 30–35%. For pre-profitability marketplace operators: require ≥ 40% — binary outcome risk remains.</w:t>
      </w:r>
    </w:p>
    <w:p>
      <w:r>
        <w:br w:type="page"/>
      </w:r>
    </w:p>
    <w:p>
      <w:pPr>
        <w:pStyle w:val="Heading1"/>
        <w:shd w:fill="6B1A2A" w:val="clear"/>
        <w:spacing w:after="180" w:before="400"/>
        <w:ind w:left="240"/>
      </w:pPr>
      <w:r>
        <w:rPr>
          <w:rFonts w:ascii="Calibri" w:cs="Calibri" w:eastAsia="Calibri" w:hAnsi="Calibri"/>
          <w:b/>
          <w:bCs/>
          <w:color w:val="FFFFFF"/>
          <w:sz w:val="40"/>
          <w:szCs w:val="40"/>
        </w:rPr>
        <w:t xml:space="preserve">Part 2 — Luxury &amp; Brands</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Brand investing is the most conceptually elegant form of consumer investing — and the most frequently misapplied. The core premise is simple: a brand that allows a company to charge meaningfully more for its product than an unbranded equivalent, with customers who willingly pay that premium and return repeatedly, is a compounding asset. The difficulty is that brand equity is invisible on the balance sheet, extremely difficult to quantify, and takes years or decades to build but can be damaged in months.</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The most important analytical distinction in this space is between brand recognition and brand pricing power. Almost every company in this category has brand recognition. Far fewer have genuine pricing power — the ability to raise prices without meaningful volume loss. Only pricing power compounds. Brand recognition without pricing power is a marketing cost, not an asset.</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Brand Hierarchy: Not All Brands Are Equal</w:t>
      </w:r>
    </w:p>
    <w:p>
      <w:pPr>
        <w:spacing w:after="60" w:before="60" w:line="300"/>
        <w:jc w:val="left"/>
      </w:pPr>
      <w:r>
        <w:rPr>
          <w:rFonts w:ascii="Calibri" w:cs="Calibri" w:eastAsia="Calibri" w:hAnsi="Calibri"/>
          <w:b w:val="false"/>
          <w:bCs w:val="false"/>
          <w:i w:val="false"/>
          <w:iCs w:val="false"/>
          <w:color w:val="404040"/>
          <w:sz w:val="22"/>
          <w:szCs w:val="22"/>
        </w:rPr>
        <w:t xml:space="preserve">Understanding where a brand sits in the hierarchy is the first and most important classification decision. Each tier has different economics, different recession resilience, and different valuation multiples.</w:t>
      </w:r>
    </w:p>
    <w:p>
      <w:pPr>
        <w:spacing w:after="0" w:before="6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400"/>
        <w:gridCol w:w="1600"/>
        <w:gridCol w:w="2000"/>
      </w:tblGrid>
      <w:tr>
        <w:tc>
          <w:tcPr>
            <w:tcW w:type="dxa" w:w="1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Brand Tier</w:t>
            </w:r>
          </w:p>
        </w:tc>
        <w:tc>
          <w:tcPr>
            <w:tcW w:type="dxa" w:w="1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Definition</w:t>
            </w:r>
          </w:p>
        </w:tc>
        <w:tc>
          <w:tcPr>
            <w:tcW w:type="dxa" w:w="1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Examples</w:t>
            </w:r>
          </w:p>
        </w:tc>
        <w:tc>
          <w:tcPr>
            <w:tcW w:type="dxa" w:w="1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Recession Resilience</w:t>
            </w:r>
          </w:p>
        </w:tc>
        <w:tc>
          <w:tcPr>
            <w:tcW w:type="dxa" w:w="1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Valuation Premium</w:t>
            </w:r>
          </w:p>
        </w:tc>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Key Risk</w:t>
            </w:r>
          </w:p>
        </w:tc>
      </w:tr>
      <w:tr>
        <w:tc>
          <w:tcPr>
            <w:tcW w:type="dxa" w:w="1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Absolute Luxury</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Price is irrelevant — product is a status symbol and store of value. Scarcity is managed deliberately.</w:t>
            </w:r>
          </w:p>
        </w:tc>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Hermès, Patek Philippe, Ferrari</w:t>
            </w:r>
          </w:p>
        </w:tc>
        <w:tc>
          <w:tcPr>
            <w:tcW w:type="dxa" w:w="1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Very high — target customer is largely insulated from economic cycles</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Very high — 30–50x EBITDA; scarcity justifies premium</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Counterfeiting and brand authenticity erosion</w:t>
            </w:r>
          </w:p>
        </w:tc>
      </w:tr>
      <w:tr>
        <w:tc>
          <w:tcPr>
            <w:tcW w:type="dxa" w:w="1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Aspirational Luxury</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Premium price but accessible to upper-middle class. Aspirational for many, affordable for some.</w:t>
            </w:r>
          </w:p>
        </w:tc>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LVMH brands, Burberry, Canada Goose, Moncler</w:t>
            </w:r>
          </w:p>
        </w:tc>
        <w:tc>
          <w:tcPr>
            <w:tcW w:type="dxa" w:w="1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Moderate — target customer cuts back in severe downturns</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 — 20–35x EBITDA</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Over-distribution — too many stores or discounting dilutes brand perception</w:t>
            </w:r>
          </w:p>
        </w:tc>
      </w:tr>
      <w:tr>
        <w:tc>
          <w:tcPr>
            <w:tcW w:type="dxa" w:w="1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Premium Mass Market</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Significantly above commodity pricing but broadly accessible. Lifestyle positioning.</w:t>
            </w:r>
          </w:p>
        </w:tc>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Nike, Lululemon, Ralph Lauren, Diageo</w:t>
            </w:r>
          </w:p>
        </w:tc>
        <w:tc>
          <w:tcPr>
            <w:tcW w:type="dxa" w:w="1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Moderate — some trading down in recessions but strong brand retention</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Moderate-high — 15–25x EBITDA</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Private label competition and fast fashion eroding price premium</w:t>
            </w:r>
          </w:p>
        </w:tc>
      </w:tr>
      <w:tr>
        <w:tc>
          <w:tcPr>
            <w:tcW w:type="dxa" w:w="1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Mass Market Brand</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Modest price premium over private label. Volume-driven.</w:t>
            </w:r>
          </w:p>
        </w:tc>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Gap, H&amp;M (at premium tier), PVH</w:t>
            </w:r>
          </w:p>
        </w:tc>
        <w:tc>
          <w:tcPr>
            <w:tcW w:type="dxa" w:w="1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Low — consumers trade down readily</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Moderate — 10–18x EBITDA</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Private label is structural competitive threat — winning on price alone is unsustainable</w:t>
            </w:r>
          </w:p>
        </w:tc>
      </w:tr>
      <w:tr>
        <w:tc>
          <w:tcPr>
            <w:tcW w:type="dxa" w:w="1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Commodity Brand</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Little or no sustainable pricing power. Competing on efficiency.</w:t>
            </w:r>
          </w:p>
        </w:tc>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Generic apparel, mass grocery brands</w:t>
            </w:r>
          </w:p>
        </w:tc>
        <w:tc>
          <w:tcPr>
            <w:tcW w:type="dxa" w:w="1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Very low — first to be cut</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Low — 6–12x EBITDA; no brand premium</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Permanent displacement by private label or low-cost competitor</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5 Metrics That Define Brand Investment Quality</w:t>
      </w:r>
    </w:p>
    <w:p>
      <w:pPr>
        <w:spacing w:after="0" w:before="60"/>
      </w:pPr>
      <w:r>
        <w:t xml:space="preserve"/>
      </w:r>
    </w:p>
    <w:p>
      <w:pPr>
        <w:spacing w:after="80" w:before="240"/>
      </w:pPr>
      <w:r>
        <w:rPr>
          <w:rFonts w:ascii="Calibri" w:cs="Calibri" w:eastAsia="Calibri" w:hAnsi="Calibri"/>
          <w:b/>
          <w:bCs/>
          <w:color w:val="2E75B6"/>
          <w:sz w:val="25"/>
          <w:szCs w:val="25"/>
        </w:rPr>
        <w:t xml:space="preserve">1. Organic Revenue Growth — The Purest Brand Health Signal</w:t>
      </w:r>
    </w:p>
    <w:p>
      <w:pPr>
        <w:spacing w:after="60" w:before="60" w:line="300"/>
        <w:jc w:val="left"/>
      </w:pPr>
      <w:r>
        <w:rPr>
          <w:rFonts w:ascii="Calibri" w:cs="Calibri" w:eastAsia="Calibri" w:hAnsi="Calibri"/>
          <w:b w:val="false"/>
          <w:bCs w:val="false"/>
          <w:i w:val="false"/>
          <w:iCs w:val="false"/>
          <w:color w:val="404040"/>
          <w:sz w:val="22"/>
          <w:szCs w:val="22"/>
        </w:rPr>
        <w:t xml:space="preserve">Organic revenue growth strips out currency effects, acquisitions, and divestments — leaving only what the brand is generating from its own operations. It is the single most honest measure of brand momentum because it cannot be inflated by buying another company's revenue.</w:t>
      </w:r>
    </w:p>
    <w:p>
      <w:pPr>
        <w:spacing w:after="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Organic Growth Level</w:t>
            </w:r>
          </w:p>
        </w:tc>
        <w:tc>
          <w:tcPr>
            <w:tcW w:type="dxa" w:w="35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Interpretation</w:t>
            </w:r>
          </w:p>
        </w:tc>
        <w:tc>
          <w:tcPr>
            <w:tcW w:type="dxa" w:w="35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Context</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 10% organic</w:t>
            </w:r>
          </w:p>
        </w:tc>
        <w:tc>
          <w:tcPr>
            <w:tcW w:type="dxa" w:w="3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Exceptional — brand is genuinely taking market share and/or expanding pricing</w:t>
            </w:r>
          </w:p>
        </w:tc>
        <w:tc>
          <w:tcPr>
            <w:tcW w:type="dxa" w:w="3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Rare for mature luxury brands; normal for high-growth aspirational brands</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5–10% organic</w:t>
            </w:r>
          </w:p>
        </w:tc>
        <w:tc>
          <w:tcPr>
            <w:tcW w:type="dxa" w:w="3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Strong — volume growth plus pricing ahead of inflation</w:t>
            </w:r>
          </w:p>
        </w:tc>
        <w:tc>
          <w:tcPr>
            <w:tcW w:type="dxa" w:w="3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The target zone for quality brands in normal economic conditions</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2–5% organic</w:t>
            </w:r>
          </w:p>
        </w:tc>
        <w:tc>
          <w:tcPr>
            <w:tcW w:type="dxa" w:w="3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Moderate — pricing covering inflation but limited volume growth</w:t>
            </w:r>
          </w:p>
        </w:tc>
        <w:tc>
          <w:tcPr>
            <w:tcW w:type="dxa" w:w="3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Acceptable for absolute luxury in a stable environment; concerning for aspirational brands</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0–2% organic</w:t>
            </w:r>
          </w:p>
        </w:tc>
        <w:tc>
          <w:tcPr>
            <w:tcW w:type="dxa" w:w="3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Weak — brand is not growing in real terms; losing ground to inflation</w:t>
            </w:r>
          </w:p>
        </w:tc>
        <w:tc>
          <w:tcPr>
            <w:tcW w:type="dxa" w:w="3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Warning: volume may be declining even if price masks it; check volume vs price breakdown</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Negative organic</w:t>
            </w:r>
          </w:p>
        </w:tc>
        <w:tc>
          <w:tcPr>
            <w:tcW w:type="dxa" w:w="3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Serious — volume declines are exceeding pricing gains</w:t>
            </w:r>
          </w:p>
        </w:tc>
        <w:tc>
          <w:tcPr>
            <w:tcW w:type="dxa" w:w="3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Investigate: is it a temporary stockist de-stocking, or genuine consumer rejection?</w:t>
            </w:r>
          </w:p>
        </w:tc>
      </w:tr>
    </w:tbl>
    <w:p>
      <w:pPr>
        <w:spacing w:after="0" w:before="40"/>
      </w:pPr>
      <w:r>
        <w:t xml:space="preserve"/>
      </w:r>
    </w:p>
    <w:p>
      <w:pPr>
        <w:pBdr>
          <w:left w:val="single" w:color="7F6000" w:sz="22" w:space="10"/>
        </w:pBdr>
        <w:shd w:fill="FFF2CC" w:val="clear"/>
        <w:spacing w:after="140" w:before="140" w:line="288"/>
        <w:ind w:left="440" w:right="440"/>
      </w:pPr>
      <w:r>
        <w:rPr>
          <w:rFonts w:ascii="Calibri" w:cs="Calibri" w:eastAsia="Calibri" w:hAnsi="Calibri"/>
          <w:i/>
          <w:iCs/>
          <w:color w:val="7F6000"/>
          <w:sz w:val="21"/>
          <w:szCs w:val="21"/>
        </w:rPr>
        <w:t xml:space="preserve">Always decompose organic growth into volume and price components. A luxury brand growing at 8% through 10% price increases and -2% volume is a very different business from one growing at 8% through 5% volume and 3% price. The first is aggressively repricing existing customers; the second is genuinely attracting new ones. Sustained volume declines masked by price increases is one of the most reliable early warning signals of brand erosion.</w:t>
      </w:r>
    </w:p>
    <w:p>
      <w:pPr>
        <w:spacing w:after="0" w:before="80"/>
      </w:pPr>
      <w:r>
        <w:t xml:space="preserve"/>
      </w:r>
    </w:p>
    <w:p>
      <w:pPr>
        <w:spacing w:after="80" w:before="240"/>
      </w:pPr>
      <w:r>
        <w:rPr>
          <w:rFonts w:ascii="Calibri" w:cs="Calibri" w:eastAsia="Calibri" w:hAnsi="Calibri"/>
          <w:b/>
          <w:bCs/>
          <w:color w:val="2E75B6"/>
          <w:sz w:val="25"/>
          <w:szCs w:val="25"/>
        </w:rPr>
        <w:t xml:space="preserve">2. Gross Margin — The Pricing Power Quantifier</w:t>
      </w:r>
    </w:p>
    <w:p>
      <w:pPr>
        <w:spacing w:after="60" w:before="60" w:line="300"/>
        <w:jc w:val="left"/>
      </w:pPr>
      <w:r>
        <w:rPr>
          <w:rFonts w:ascii="Calibri" w:cs="Calibri" w:eastAsia="Calibri" w:hAnsi="Calibri"/>
          <w:b w:val="false"/>
          <w:bCs w:val="false"/>
          <w:i w:val="false"/>
          <w:iCs w:val="false"/>
          <w:color w:val="404040"/>
          <w:sz w:val="22"/>
          <w:szCs w:val="22"/>
        </w:rPr>
        <w:t xml:space="preserve">Gross margin is the most direct financial measure of pricing power. A brand that commands a significant gross margin premium over its production cost has genuine pricing power. The margin should be stable or expanding over time — expansion signals improving pricing power; contraction signals that competition or input cost inflation is eroding the premium.</w:t>
      </w:r>
    </w:p>
    <w:p>
      <w:pPr>
        <w:spacing w:after="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Category</w:t>
            </w:r>
          </w:p>
        </w:tc>
        <w:tc>
          <w:tcPr>
            <w:tcW w:type="dxa" w:w="2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Typical Gross Margin Range</w:t>
            </w:r>
          </w:p>
        </w:tc>
        <w:tc>
          <w:tcPr>
            <w:tcW w:type="dxa" w:w="4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What Drives It</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Absolute luxury (Hermès, Ferrari)</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65–75%+</w:t>
            </w:r>
          </w:p>
        </w:tc>
        <w:tc>
          <w:tcPr>
            <w:tcW w:type="dxa" w:w="4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Extreme scarcity, handcraft premium, no discounting ever — margin is structurally protected</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Aspirational luxury (LVMH, Burberry)</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55–70%</w:t>
            </w:r>
          </w:p>
        </w:tc>
        <w:tc>
          <w:tcPr>
            <w:tcW w:type="dxa" w:w="4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Brand heritage plus controlled distribution — managing supply to maintain scarcity perception</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Premium mass market (Nike, Lululemon)</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45–58%</w:t>
            </w:r>
          </w:p>
        </w:tc>
        <w:tc>
          <w:tcPr>
            <w:tcW w:type="dxa" w:w="4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Performance positioning plus marketing investment — innovation creates pricing separation from commodity</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Mass market brand (Gap, PVH)</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35–50%</w:t>
            </w:r>
          </w:p>
        </w:tc>
        <w:tc>
          <w:tcPr>
            <w:tcW w:type="dxa" w:w="4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Volume scale plus some brand premium — more sensitive to raw material costs</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Declining brand</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Falling gross margin over 3+ years — even if absolute level is OK</w:t>
            </w:r>
          </w:p>
        </w:tc>
        <w:tc>
          <w:tcPr>
            <w:tcW w:type="dxa" w:w="4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Discounting, private label pressure, or commodity competition eroding the premium</w:t>
            </w:r>
          </w:p>
        </w:tc>
      </w:tr>
    </w:tbl>
    <w:p>
      <w:pPr>
        <w:spacing w:after="0" w:before="80"/>
      </w:pPr>
      <w:r>
        <w:t xml:space="preserve"/>
      </w:r>
    </w:p>
    <w:p>
      <w:pPr>
        <w:spacing w:after="80" w:before="240"/>
      </w:pPr>
      <w:r>
        <w:rPr>
          <w:rFonts w:ascii="Calibri" w:cs="Calibri" w:eastAsia="Calibri" w:hAnsi="Calibri"/>
          <w:b/>
          <w:bCs/>
          <w:color w:val="2E75B6"/>
          <w:sz w:val="25"/>
          <w:szCs w:val="25"/>
        </w:rPr>
        <w:t xml:space="preserve">3. Same-Store Sales (Comparable Store Sales) Growth</w:t>
      </w:r>
    </w:p>
    <w:p>
      <w:pPr>
        <w:spacing w:after="60" w:before="60" w:line="300"/>
        <w:jc w:val="left"/>
      </w:pPr>
      <w:r>
        <w:rPr>
          <w:rFonts w:ascii="Calibri" w:cs="Calibri" w:eastAsia="Calibri" w:hAnsi="Calibri"/>
          <w:b w:val="false"/>
          <w:bCs w:val="false"/>
          <w:i w:val="false"/>
          <w:iCs w:val="false"/>
          <w:color w:val="404040"/>
          <w:sz w:val="22"/>
          <w:szCs w:val="22"/>
        </w:rPr>
        <w:t xml:space="preserve">Same-store sales — or comparable store sales — measures revenue growth from stores open for at least 12 months. It strips out the contribution of new store openings and isolates organic productivity. It is the most honest measure of whether an existing retail footprint is growing or declining.</w:t>
      </w:r>
    </w:p>
    <w:p>
      <w:pPr>
        <w:spacing w:after="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400"/>
      </w:tblGrid>
      <w:tr>
        <w:tc>
          <w:tcPr>
            <w:tcW w:type="dxa" w:w="1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SSS Level</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Interpretation</w:t>
            </w:r>
          </w:p>
        </w:tc>
        <w:tc>
          <w:tcPr>
            <w:tcW w:type="dxa" w:w="4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What Investors Should Do</w:t>
            </w:r>
          </w:p>
        </w:tc>
      </w:tr>
      <w:tr>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 5%</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Strong — existing stores are productively growing</w:t>
            </w:r>
          </w:p>
        </w:tc>
        <w:tc>
          <w:tcPr>
            <w:tcW w:type="dxa" w:w="4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Confirms brand health; look for whether growth is volume or price-driven</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2–5%</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Good — ahead of inflation, demonstrating genuine consumer demand</w:t>
            </w:r>
          </w:p>
        </w:tc>
        <w:tc>
          <w:tcPr>
            <w:tcW w:type="dxa" w:w="4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Acceptable; monitor for trend direction</w:t>
            </w:r>
          </w:p>
        </w:tc>
      </w:tr>
      <w:tr>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0–2%</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Weak — barely keeping pace with inflation; real productivity is flat</w:t>
            </w:r>
          </w:p>
        </w:tc>
        <w:tc>
          <w:tcPr>
            <w:tcW w:type="dxa" w:w="4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Warning: new stores may be cannibalising existing ones, or traffic is declining</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Negative</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 existing stores are getting worse, not better</w:t>
            </w:r>
          </w:p>
        </w:tc>
        <w:tc>
          <w:tcPr>
            <w:tcW w:type="dxa" w:w="4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Investigate: is it temporary (weather, one-off events) or structural (consumer rejection)?</w:t>
            </w:r>
          </w:p>
        </w:tc>
      </w:tr>
      <w:tr>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Strong SSS despite no new stores</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Best signal of brand health — pure demand-driven growth</w:t>
            </w:r>
          </w:p>
        </w:tc>
        <w:tc>
          <w:tcPr>
            <w:tcW w:type="dxa" w:w="4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Premium valuation justified — brand is growing on its own merit</w:t>
            </w:r>
          </w:p>
        </w:tc>
      </w:tr>
    </w:tbl>
    <w:p>
      <w:pPr>
        <w:spacing w:after="0" w:before="80"/>
      </w:pPr>
      <w:r>
        <w:t xml:space="preserve"/>
      </w:r>
    </w:p>
    <w:p>
      <w:pPr>
        <w:spacing w:after="80" w:before="240"/>
      </w:pPr>
      <w:r>
        <w:rPr>
          <w:rFonts w:ascii="Calibri" w:cs="Calibri" w:eastAsia="Calibri" w:hAnsi="Calibri"/>
          <w:b/>
          <w:bCs/>
          <w:color w:val="2E75B6"/>
          <w:sz w:val="25"/>
          <w:szCs w:val="25"/>
        </w:rPr>
        <w:t xml:space="preserve">4. Operating Margin and EBIT Margin — The Profitability Compounding Engine</w:t>
      </w:r>
    </w:p>
    <w:p>
      <w:pPr>
        <w:spacing w:after="60" w:before="60" w:line="300"/>
        <w:jc w:val="left"/>
      </w:pPr>
      <w:r>
        <w:rPr>
          <w:rFonts w:ascii="Calibri" w:cs="Calibri" w:eastAsia="Calibri" w:hAnsi="Calibri"/>
          <w:b w:val="false"/>
          <w:bCs w:val="false"/>
          <w:i w:val="false"/>
          <w:iCs w:val="false"/>
          <w:color w:val="404040"/>
          <w:sz w:val="22"/>
          <w:szCs w:val="22"/>
        </w:rPr>
        <w:t xml:space="preserve">For brand businesses, the operating margin tells you how much of the pricing premium falls through to the bottom line after marketing, distribution, and retail costs. A brand with expanding operating margins is demonstrating that pricing power is growing faster than costs — the hallmark of a truly compounding brand asset.</w:t>
      </w:r>
    </w:p>
    <w:p>
      <w:pPr>
        <w:spacing w:after="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00"/>
      </w:tblGrid>
      <w:tr>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Brand Tier</w:t>
            </w:r>
          </w:p>
        </w:tc>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Target EBIT Margin</w:t>
            </w:r>
          </w:p>
        </w:tc>
        <w:tc>
          <w:tcPr>
            <w:tcW w:type="dxa" w:w="4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What Sustains It</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Absolute luxury</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30–45%+</w:t>
            </w:r>
          </w:p>
        </w:tc>
        <w:tc>
          <w:tcPr>
            <w:tcW w:type="dxa" w:w="4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No discounting, controlled supply, minimal marketing spend (the product sells itself)</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Aspirational luxury</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20–35%</w:t>
            </w:r>
          </w:p>
        </w:tc>
        <w:tc>
          <w:tcPr>
            <w:tcW w:type="dxa" w:w="4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Controlled distribution, premium wholesale pricing, selective entry into direct-to-consumer</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Premium mass market</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15–25%</w:t>
            </w:r>
          </w:p>
        </w:tc>
        <w:tc>
          <w:tcPr>
            <w:tcW w:type="dxa" w:w="4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Marketing scale efficiency, global sourcing, brand loyalty reducing CAC over time</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Mass market brand</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8–15%</w:t>
            </w:r>
          </w:p>
        </w:tc>
        <w:tc>
          <w:tcPr>
            <w:tcW w:type="dxa" w:w="4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Operating leverage on volume, cost discipline, selective brand investment</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Under-earning brand (margin below peer average)</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May be an opportunity — investigate why</w:t>
            </w:r>
          </w:p>
        </w:tc>
        <w:tc>
          <w:tcPr>
            <w:tcW w:type="dxa" w:w="4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Could be turnaround opportunity if brand is intact but cost structure is fixable</w:t>
            </w:r>
          </w:p>
        </w:tc>
      </w:tr>
    </w:tbl>
    <w:p>
      <w:pPr>
        <w:spacing w:after="0" w:before="80"/>
      </w:pPr>
      <w:r>
        <w:t xml:space="preserve"/>
      </w:r>
    </w:p>
    <w:p>
      <w:pPr>
        <w:spacing w:after="80" w:before="240"/>
      </w:pPr>
      <w:r>
        <w:rPr>
          <w:rFonts w:ascii="Calibri" w:cs="Calibri" w:eastAsia="Calibri" w:hAnsi="Calibri"/>
          <w:b/>
          <w:bCs/>
          <w:color w:val="2E75B6"/>
          <w:sz w:val="25"/>
          <w:szCs w:val="25"/>
        </w:rPr>
        <w:t xml:space="preserve">5. Direct-to-Consumer (DTC) Mix — The Distribution Quality Indicator</w:t>
      </w:r>
    </w:p>
    <w:p>
      <w:pPr>
        <w:spacing w:after="60" w:before="60" w:line="300"/>
        <w:jc w:val="left"/>
      </w:pPr>
      <w:r>
        <w:rPr>
          <w:rFonts w:ascii="Calibri" w:cs="Calibri" w:eastAsia="Calibri" w:hAnsi="Calibri"/>
          <w:b w:val="false"/>
          <w:bCs w:val="false"/>
          <w:i w:val="false"/>
          <w:iCs w:val="false"/>
          <w:color w:val="404040"/>
          <w:sz w:val="22"/>
          <w:szCs w:val="22"/>
        </w:rPr>
        <w:t xml:space="preserve">DTC revenue — sales made directly to consumers through own stores or e-commerce rather than through wholesale partners — generates higher revenue per unit (no wholesale margin given away) and provides richer customer data. The shift toward higher DTC mix is one of the most reliable signals of a brand taking control of its own destiny.</w:t>
      </w:r>
    </w:p>
    <w:p>
      <w:pPr>
        <w:spacing w:after="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000"/>
      </w:tblGrid>
      <w:tr>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DTC % of Revenue</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Brand Implication</w:t>
            </w:r>
          </w:p>
        </w:tc>
        <w:tc>
          <w:tcPr>
            <w:tcW w:type="dxa" w:w="4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Investor Interpretation</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 60% DTC</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Brand has strong direct relationship with consumers; maximum margin capture</w:t>
            </w:r>
          </w:p>
        </w:tc>
        <w:tc>
          <w:tcPr>
            <w:tcW w:type="dxa" w:w="4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Premium valuation justified — brand controls price, experience, and data</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40–60% DTC</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Healthy balance — wholesale provides distribution; DTC captures margin</w:t>
            </w:r>
          </w:p>
        </w:tc>
        <w:tc>
          <w:tcPr>
            <w:tcW w:type="dxa" w:w="4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Good; track the direction of mix — rising DTC is positive regardless of starting point</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20–40% DTC and rising</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Brand in transition — pulling away from wholesale dependency</w:t>
            </w:r>
          </w:p>
        </w:tc>
        <w:tc>
          <w:tcPr>
            <w:tcW w:type="dxa" w:w="4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Temporary margin headwind as wholesale volumes fall, but long-term positive</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&lt; 20% DTC and flat</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Highly wholesale-dependent — brand has limited control over pricing and experience</w:t>
            </w:r>
          </w:p>
        </w:tc>
        <w:tc>
          <w:tcPr>
            <w:tcW w:type="dxa" w:w="4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Wholesale dependency means margin is permanently shared; multiple should reflect this</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DTC % declining</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Brand is losing direct consumer relationships — serious problem</w:t>
            </w:r>
          </w:p>
        </w:tc>
        <w:tc>
          <w:tcPr>
            <w:tcW w:type="dxa" w:w="4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Investigate why: is DTC unprofitable, or is the brand losing relevance in its own channels?</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Luxury &amp; Brand Valuation Framework</w:t>
      </w:r>
    </w:p>
    <w:p>
      <w:pPr>
        <w:spacing w:after="0" w:before="6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00"/>
      </w:tblGrid>
      <w:tr>
        <w:tc>
          <w:tcPr>
            <w:tcW w:type="dxa" w:w="1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Method</w:t>
            </w:r>
          </w:p>
        </w:tc>
        <w:tc>
          <w:tcPr>
            <w:tcW w:type="dxa" w:w="1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When to Use</w:t>
            </w:r>
          </w:p>
        </w:tc>
        <w:tc>
          <w:tcPr>
            <w:tcW w:type="dxa" w:w="3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How to Apply</w:t>
            </w:r>
          </w:p>
        </w:tc>
        <w:tc>
          <w:tcPr>
            <w:tcW w:type="dxa" w:w="29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Key Consideration</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EV/EBITDA</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Primary for all brand companies</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Compare to peer group average; absolute luxury 30–50x, aspirational 18–30x, premium mass 14–22x</w:t>
            </w:r>
          </w:p>
        </w:tc>
        <w:tc>
          <w:tcPr>
            <w:tcW w:type="dxa" w:w="29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Multiple reflects brand quality, growth durability, and moat strength — not just current earnings</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EV/EBIT</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Better than EBITDA for asset-light brands</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Strip out D&amp;A to see real cash earnings; brands have minimal depreciation on their core asset (the brand itself)</w:t>
            </w:r>
          </w:p>
        </w:tc>
        <w:tc>
          <w:tcPr>
            <w:tcW w:type="dxa" w:w="2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Brand intangible assets are not amortised in many cases — EV/EBIT is cleaner</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P/E (NTM)</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Secondary — useful for stable, mature brands</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Forward P/E on consensus NTM estimates; compare to 5yr historical range</w:t>
            </w:r>
          </w:p>
        </w:tc>
        <w:tc>
          <w:tcPr>
            <w:tcW w:type="dxa" w:w="29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Accounting choices (IFRS vs GAAP) can distort; prefer EV/EBITDA for cross-border comparisons</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Organic Growth-Adjusted EV/EBITDA</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Best for comparing across tiers</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EV/EBITDA divided by organic growth rate — similar to PEG for brands</w:t>
            </w:r>
          </w:p>
        </w:tc>
        <w:tc>
          <w:tcPr>
            <w:tcW w:type="dxa" w:w="2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 brand at 30x EV/EBITDA with 15% organic growth may be cheaper than one at 18x with 3% growth</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Brand Premium vs. Unbranded Equivalent</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Qualitative anchor for brand strength</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What is the price premium the brand charges? Is it growing or shrinking?</w:t>
            </w:r>
          </w:p>
        </w:tc>
        <w:tc>
          <w:tcPr>
            <w:tcW w:type="dxa" w:w="29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price premium is the earliest signal of brand erosion — often before financials show it</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How to Identify Genuinely Undervalued Brand Companies</w:t>
      </w:r>
    </w:p>
    <w:p>
      <w:pPr>
        <w:spacing w:after="0" w:before="60"/>
      </w:pPr>
      <w:r>
        <w:t xml:space="preserve"/>
      </w:r>
    </w:p>
    <w:p>
      <w:pPr>
        <w:spacing w:after="80" w:before="240"/>
      </w:pPr>
      <w:r>
        <w:rPr>
          <w:rFonts w:ascii="Calibri" w:cs="Calibri" w:eastAsia="Calibri" w:hAnsi="Calibri"/>
          <w:b/>
          <w:bCs/>
          <w:color w:val="2E75B6"/>
          <w:sz w:val="25"/>
          <w:szCs w:val="25"/>
        </w:rPr>
        <w:t xml:space="preserve">Scenario A — Cyclical Selloff Treating a Structural Brand as Economically Sensitive</w:t>
      </w:r>
    </w:p>
    <w:p>
      <w:pPr>
        <w:spacing w:after="60" w:before="60" w:line="300"/>
        <w:jc w:val="left"/>
      </w:pPr>
      <w:r>
        <w:rPr>
          <w:rFonts w:ascii="Calibri" w:cs="Calibri" w:eastAsia="Calibri" w:hAnsi="Calibri"/>
          <w:b w:val="false"/>
          <w:bCs w:val="false"/>
          <w:i w:val="false"/>
          <w:iCs w:val="false"/>
          <w:color w:val="404040"/>
          <w:sz w:val="22"/>
          <w:szCs w:val="22"/>
        </w:rPr>
        <w:t xml:space="preserve">In recessions, the market sells all consumer discretionary stocks indiscriminately — absolute luxury, aspirational brands, and mass market together. But absolute luxury brands (Hermès, Ferrari) are largely insulated from economic cycles because their target customer is the top 1–2% of earners. When they get dragged down in a sector-wide selloff, the opportunity is significant.</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An absolute or near-absolute luxury brand is trading at a significant discount to its 5-year average EV/EBITDA multiple due to a macro-driven sector selloff — but organic revenue growth is still positive, gross margin is intact, and waitlists for products are as long as ever. The market is pricing cyclical risk into a largely acyclical business.</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The Hermès test: If the brand's waiting list for Birkin bags is still 2+ years long, the brand has not lost its pricing power regardless of what the macro environment looks like. Physical demand signals like this are often more reliable than any financial metric.</w:t>
      </w:r>
    </w:p>
    <w:p>
      <w:pPr>
        <w:spacing w:after="0" w:before="80"/>
      </w:pPr>
      <w:r>
        <w:t xml:space="preserve"/>
      </w:r>
    </w:p>
    <w:p>
      <w:pPr>
        <w:spacing w:after="80" w:before="240"/>
      </w:pPr>
      <w:r>
        <w:rPr>
          <w:rFonts w:ascii="Calibri" w:cs="Calibri" w:eastAsia="Calibri" w:hAnsi="Calibri"/>
          <w:b/>
          <w:bCs/>
          <w:color w:val="2E75B6"/>
          <w:sz w:val="25"/>
          <w:szCs w:val="25"/>
        </w:rPr>
        <w:t xml:space="preserve">Scenario B — Brand Turnaround Discounted Too Heavily</w:t>
      </w:r>
    </w:p>
    <w:p>
      <w:pPr>
        <w:spacing w:after="60" w:before="60" w:line="300"/>
        <w:jc w:val="left"/>
      </w:pPr>
      <w:r>
        <w:rPr>
          <w:rFonts w:ascii="Calibri" w:cs="Calibri" w:eastAsia="Calibri" w:hAnsi="Calibri"/>
          <w:b w:val="false"/>
          <w:bCs w:val="false"/>
          <w:i w:val="false"/>
          <w:iCs w:val="false"/>
          <w:color w:val="404040"/>
          <w:sz w:val="22"/>
          <w:szCs w:val="22"/>
        </w:rPr>
        <w:t xml:space="preserve">Premium brands occasionally go through periods of brand dilution — too many outlet stores, too much product extension, loss of premium positioning — and then undertake a deliberate strategy to re-premiumise. During the re-premiumisation period, revenue and margins are often temporarily suppressed (pulling back from wholesale, closing outlets) while the brand recovers. The market often applies a distressed multiple at precisely the point when the recovery is becoming visible.</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A premium brand has been deliberately reducing discounting and wholesale exposure for 2+ years. Same-store sales are recovering, DTC mix is rising, gross margin has bottomed and is expanding, and the CEO is consistently discussing brand equity rather than volume targets. The stock is still priced at a discount to peers because the market remembers the diluted brand, not the recovering one.</w:t>
      </w:r>
    </w:p>
    <w:p>
      <w:pPr>
        <w:spacing w:after="0" w:before="4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Burberry under CEO Jonathan Akeroyd (2022–present) is a live example of this dynamic — attempting to re-premiumise a brand that had been over-extended in accessible price points. The transition creates near-term revenue headwinds that mask the strategic intent.</w:t>
      </w:r>
    </w:p>
    <w:p>
      <w:pPr>
        <w:spacing w:after="0" w:before="80"/>
      </w:pPr>
      <w:r>
        <w:t xml:space="preserve"/>
      </w:r>
    </w:p>
    <w:p>
      <w:pPr>
        <w:spacing w:after="80" w:before="240"/>
      </w:pPr>
      <w:r>
        <w:rPr>
          <w:rFonts w:ascii="Calibri" w:cs="Calibri" w:eastAsia="Calibri" w:hAnsi="Calibri"/>
          <w:b/>
          <w:bCs/>
          <w:color w:val="2E75B6"/>
          <w:sz w:val="25"/>
          <w:szCs w:val="25"/>
        </w:rPr>
        <w:t xml:space="preserve">Scenario C — Chinese Consumer Normalisation</w:t>
      </w:r>
    </w:p>
    <w:p>
      <w:pPr>
        <w:spacing w:after="60" w:before="60" w:line="300"/>
        <w:jc w:val="left"/>
      </w:pPr>
      <w:r>
        <w:rPr>
          <w:rFonts w:ascii="Calibri" w:cs="Calibri" w:eastAsia="Calibri" w:hAnsi="Calibri"/>
          <w:b w:val="false"/>
          <w:bCs w:val="false"/>
          <w:i w:val="false"/>
          <w:iCs w:val="false"/>
          <w:color w:val="404040"/>
          <w:sz w:val="22"/>
          <w:szCs w:val="22"/>
        </w:rPr>
        <w:t xml:space="preserve">Chinese consumers represent 35–40% of global luxury spending and are the marginal buyer for most aspirational luxury brands. Any geopolitical tension, economic slowdown in China, or regulatory action affecting luxury consumption creates significant near-term revenue headwinds for European luxury companies. The market tends to price this as permanent when it is often cyclical.</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A quality aspirational luxury brand with strong fundamentals is trading at a 20–30% discount to fair value primarily because of China exposure concerns. The brand's US and European business is growing solidly, domestic Chinese brand loyalty (measured by store traffic and waitlists) remains intact, and the multiple has compressed to historically low levels. Chinese demand normalisation is a when, not an if, for genuinely aspirational brands.</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Luxury &amp; Brand Undervaluation Checklist</w:t>
      </w:r>
    </w:p>
    <w:p>
      <w:pPr>
        <w:spacing w:after="0" w:before="4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600"/>
        <w:gridCol w:w="3100"/>
      </w:tblGrid>
      <w:tr>
        <w:tc>
          <w:tcPr>
            <w:tcW w:type="dxa" w:w="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Question</w:t>
            </w:r>
          </w:p>
        </w:tc>
        <w:tc>
          <w:tcPr>
            <w:tcW w:type="dxa" w:w="2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Green Flag</w:t>
            </w:r>
          </w:p>
        </w:tc>
        <w:tc>
          <w:tcPr>
            <w:tcW w:type="dxa" w:w="31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Red Flag</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organic revenue growth ≥ 5%?</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brand is genuinely growing in real terms</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Negative organic growth — brand is losing ground even before currency effects</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2</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gross margin stable or expanding?</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pricing power is holding or improving</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Gross margin declining for 3+ consecutive years — discounting or competition eroding premium</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3</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same-store sales growth positive?</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existing stores are productive and growing</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Negative SSS despite overall revenue growth — growth is entirely from new store openings</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4</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DTC mix growing?</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brand is taking control of pricing and customer relationship</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DTC mix falling — wholesale dependency increasing; margin will follow</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5</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 brand raising prices without significant volume loss?</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volume/price decomposition shows both positive</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Price up but volume significantly negative — customers are being priced out</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6</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 target customer resilient to economic cycles?</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top 10% of earners, financially insulated</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Mass market exposure — brand is competing on price and will face cyclical pressure</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7</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operating margin at or above historical average?</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earnings quality is intact</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Operating margin well below peers and historical average — structural cost problem</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8</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management focused on brand equity over volume?</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resisting discounting, controlling distribution</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Volume-chasing behaviour — discount outlet expansion, aggressive wholesale push</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9</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EV/EBITDA at a significant discount to 5yr average and peers?</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 20% below historical average and below peer group</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At or above peer average — limited margin of safety</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10</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there a specific catalyst — China recovery, re-premiumisation visible, new CEO with track record?</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Specific, identifiable event that will re-rate the stock</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No catalyst — undervaluation may persist as a cheap brand stays cheap</w:t>
            </w:r>
          </w:p>
        </w:tc>
      </w:tr>
    </w:tbl>
    <w:p>
      <w:pPr>
        <w:spacing w:after="0" w:before="80"/>
      </w:pPr>
      <w:r>
        <w:t xml:space="preserve"/>
      </w:r>
    </w:p>
    <w:p>
      <w:pPr>
        <w:pBdr>
          <w:left w:val="single" w:color="1B6B5A" w:sz="22" w:space="10"/>
        </w:pBdr>
        <w:shd w:fill="D9F0E8" w:val="clear"/>
        <w:spacing w:after="140" w:before="140" w:line="288"/>
        <w:ind w:left="440" w:right="440"/>
      </w:pPr>
      <w:r>
        <w:rPr>
          <w:rFonts w:ascii="Calibri" w:cs="Calibri" w:eastAsia="Calibri" w:hAnsi="Calibri"/>
          <w:i/>
          <w:iCs/>
          <w:color w:val="1B6B5A"/>
          <w:sz w:val="21"/>
          <w:szCs w:val="21"/>
        </w:rPr>
        <w:t xml:space="preserve">Margin of Safety for Brand Companies: Absolute luxury (Hermès, Ferrari): 15–20% below fair value — these are the highest-quality consumer assets in the world; excessive discount targets are unrealistic. Aspirational luxury (LVMH, Burberry): 20–25%. Premium mass market (Nike, Lululemon): 25–30% — more cyclical and more vulnerable to private label. Declining brands: avoid or ≥ 40% if there is a credible turnaround case.</w:t>
      </w:r>
    </w:p>
    <w:p>
      <w:r>
        <w:br w:type="page"/>
      </w:r>
    </w:p>
    <w:p>
      <w:pPr>
        <w:pStyle w:val="Heading1"/>
        <w:shd w:fill="1E4D2B" w:val="clear"/>
        <w:spacing w:after="180" w:before="400"/>
        <w:ind w:left="240"/>
      </w:pPr>
      <w:r>
        <w:rPr>
          <w:rFonts w:ascii="Calibri" w:cs="Calibri" w:eastAsia="Calibri" w:hAnsi="Calibri"/>
          <w:b/>
          <w:bCs/>
          <w:color w:val="FFFFFF"/>
          <w:sz w:val="40"/>
          <w:szCs w:val="40"/>
        </w:rPr>
        <w:t xml:space="preserve">Part 3 — Restaurants &amp; Experiences</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Restaurants and experience-based businesses are among the most operationally complex investments in Consumer Discretionary — not because the business model is difficult to understand, but because the financial statements hide the most important metrics. A restaurant chain can report growing revenue and even growing EPS while every individual restaurant in the system is getting worse. The unit-level economics — what happens inside each restaurant — are the only metrics that tell the true story.</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For experience companies like Airbnb, the framework is different but the principle is the same: the platform economics and the underlying host/guest unit economics must be separated from the consolidated reported financials to understand what is really happening.</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Restaurant Business Model: Franchise vs. Company-Owned</w:t>
      </w:r>
    </w:p>
    <w:p>
      <w:pPr>
        <w:spacing w:after="60" w:before="60" w:line="300"/>
        <w:jc w:val="left"/>
      </w:pPr>
      <w:r>
        <w:rPr>
          <w:rFonts w:ascii="Calibri" w:cs="Calibri" w:eastAsia="Calibri" w:hAnsi="Calibri"/>
          <w:b w:val="false"/>
          <w:bCs w:val="false"/>
          <w:i w:val="false"/>
          <w:iCs w:val="false"/>
          <w:color w:val="404040"/>
          <w:sz w:val="22"/>
          <w:szCs w:val="22"/>
        </w:rPr>
        <w:t xml:space="preserve">The most important structural decision in restaurant investing is understanding how much of the system is franchised versus company-owned. This single variable determines capital intensity, FCF quality, recession resilience, and appropriate valuation multiples.</w:t>
      </w:r>
    </w:p>
    <w:p>
      <w:pPr>
        <w:spacing w:after="0" w:before="6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1400"/>
        <w:gridCol w:w="1400"/>
        <w:gridCol w:w="2200"/>
      </w:tblGrid>
      <w:tr>
        <w:tc>
          <w:tcPr>
            <w:tcW w:type="dxa" w:w="1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Model</w:t>
            </w:r>
          </w:p>
        </w:tc>
        <w:tc>
          <w:tcPr>
            <w:tcW w:type="dxa" w:w="2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Description</w:t>
            </w:r>
          </w:p>
        </w:tc>
        <w:tc>
          <w:tcPr>
            <w:tcW w:type="dxa" w:w="1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Capital Intensity</w:t>
            </w:r>
          </w:p>
        </w:tc>
        <w:tc>
          <w:tcPr>
            <w:tcW w:type="dxa" w:w="1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FCF Quality</w:t>
            </w:r>
          </w:p>
        </w:tc>
        <w:tc>
          <w:tcPr>
            <w:tcW w:type="dxa" w:w="1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Recession Resilience</w:t>
            </w:r>
          </w:p>
        </w:tc>
        <w:tc>
          <w:tcPr>
            <w:tcW w:type="dxa" w:w="2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Examples</w:t>
            </w:r>
          </w:p>
        </w:tc>
      </w:tr>
      <w:tr>
        <w:tc>
          <w:tcPr>
            <w:tcW w:type="dxa" w:w="1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Pure franchise (≥ 90% franchised)</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Franchisor collects royalties (% of sales) from franchisees; minimal capital deployed</w:t>
            </w:r>
          </w:p>
        </w:tc>
        <w:tc>
          <w:tcPr>
            <w:tcW w:type="dxa" w:w="1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Very low — franchisees own the assets</w:t>
            </w:r>
          </w:p>
        </w:tc>
        <w:tc>
          <w:tcPr>
            <w:tcW w:type="dxa" w:w="1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Very high — royalty income is recurring; franchisee P&amp;L absorbs shocks</w:t>
            </w:r>
          </w:p>
        </w:tc>
        <w:tc>
          <w:tcPr>
            <w:tcW w:type="dxa" w:w="1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 — royalty income is resilient; franchisees bear the operational risk</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McDonald's, Restaurant Brands International, Domino's</w:t>
            </w:r>
          </w:p>
        </w:tc>
      </w:tr>
      <w:tr>
        <w:tc>
          <w:tcPr>
            <w:tcW w:type="dxa" w:w="1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Hybrid (50–90% franchised)</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Mix of franchise royalties and company-owned restaurant revenue</w:t>
            </w:r>
          </w:p>
        </w:tc>
        <w:tc>
          <w:tcPr>
            <w:tcW w:type="dxa" w:w="1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Moderate — owns some restaurants</w:t>
            </w:r>
          </w:p>
        </w:tc>
        <w:tc>
          <w:tcPr>
            <w:tcW w:type="dxa" w:w="1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Good — franchise portion is high-quality; company stores add volatility</w:t>
            </w:r>
          </w:p>
        </w:tc>
        <w:tc>
          <w:tcPr>
            <w:tcW w:type="dxa" w:w="1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Moderate — company stores exposed to volume risk</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Yum! Brands, Darden Restaurants (less franchised)</w:t>
            </w:r>
          </w:p>
        </w:tc>
      </w:tr>
      <w:tr>
        <w:tc>
          <w:tcPr>
            <w:tcW w:type="dxa" w:w="1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Company-owned (&lt; 50% franchised)</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Owns and operates most restaurants directly — maximum operational control but capital-intensive</w:t>
            </w:r>
          </w:p>
        </w:tc>
        <w:tc>
          <w:tcPr>
            <w:tcW w:type="dxa" w:w="1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 — owns buildings, equipment, inventory</w:t>
            </w:r>
          </w:p>
        </w:tc>
        <w:tc>
          <w:tcPr>
            <w:tcW w:type="dxa" w:w="1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Lower — restaurant-level margins are thin; high fixed costs</w:t>
            </w:r>
          </w:p>
        </w:tc>
        <w:tc>
          <w:tcPr>
            <w:tcW w:type="dxa" w:w="1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Lower — fixed restaurant costs remain even when revenue falls</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Shake Shack, Sweetgreen, Nando's (private)</w:t>
            </w:r>
          </w:p>
        </w:tc>
      </w:tr>
      <w:tr>
        <w:tc>
          <w:tcPr>
            <w:tcW w:type="dxa" w:w="1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Asset-light management contract</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Manages hotels/venues on behalf of property owners; earns management fee</w:t>
            </w:r>
          </w:p>
        </w:tc>
        <w:tc>
          <w:tcPr>
            <w:tcW w:type="dxa" w:w="1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Near zero — owns no real estate</w:t>
            </w:r>
          </w:p>
        </w:tc>
        <w:tc>
          <w:tcPr>
            <w:tcW w:type="dxa" w:w="1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 — fee-based, recurring, scalable</w:t>
            </w:r>
          </w:p>
        </w:tc>
        <w:tc>
          <w:tcPr>
            <w:tcW w:type="dxa" w:w="1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 — fee income is more resilient than owned revenue</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Compass Group, Aramark (contract catering)</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Metrics That Define Restaurant Investment Quality</w:t>
      </w:r>
    </w:p>
    <w:p>
      <w:pPr>
        <w:spacing w:after="0" w:before="60"/>
      </w:pPr>
      <w:r>
        <w:t xml:space="preserve"/>
      </w:r>
    </w:p>
    <w:p>
      <w:pPr>
        <w:spacing w:after="80" w:before="240"/>
      </w:pPr>
      <w:r>
        <w:rPr>
          <w:rFonts w:ascii="Calibri" w:cs="Calibri" w:eastAsia="Calibri" w:hAnsi="Calibri"/>
          <w:b/>
          <w:bCs/>
          <w:color w:val="2E75B6"/>
          <w:sz w:val="25"/>
          <w:szCs w:val="25"/>
        </w:rPr>
        <w:t xml:space="preserve">1. Same-Store Sales (SSS) Growth — The Heartbeat of the System</w:t>
      </w:r>
    </w:p>
    <w:p>
      <w:pPr>
        <w:spacing w:after="60" w:before="60" w:line="300"/>
        <w:jc w:val="left"/>
      </w:pPr>
      <w:r>
        <w:rPr>
          <w:rFonts w:ascii="Calibri" w:cs="Calibri" w:eastAsia="Calibri" w:hAnsi="Calibri"/>
          <w:b w:val="false"/>
          <w:bCs w:val="false"/>
          <w:i w:val="false"/>
          <w:iCs w:val="false"/>
          <w:color w:val="404040"/>
          <w:sz w:val="22"/>
          <w:szCs w:val="22"/>
        </w:rPr>
        <w:t xml:space="preserve">Same-store sales growth — comparable restaurant sales for units open at least 12 months — is the most important metric in restaurant investing. It tells you whether the existing restaurant base is growing, flat, or declining. A chain opening new restaurants while existing ones decline is destroying value, not creating it.</w:t>
      </w:r>
    </w:p>
    <w:p>
      <w:pPr>
        <w:spacing w:after="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c>
          <w:tcPr>
            <w:tcW w:type="dxa" w:w="1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SSS Trend</w:t>
            </w:r>
          </w:p>
        </w:tc>
        <w:tc>
          <w:tcPr>
            <w:tcW w:type="dxa" w:w="3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Interpretation</w:t>
            </w:r>
          </w:p>
        </w:tc>
        <w:tc>
          <w:tcPr>
            <w:tcW w:type="dxa" w:w="4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Investor Action</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 4% SSS</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Strong — combination of price and traffic driving meaningful growth</w:t>
            </w:r>
          </w:p>
        </w:tc>
        <w:tc>
          <w:tcPr>
            <w:tcW w:type="dxa" w:w="4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Positive; check decomposition — is it price or traffic? Traffic growth is higher quality</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2–4% SSS</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Good — ahead of typical food cost inflation; genuine productivity growth</w:t>
            </w:r>
          </w:p>
        </w:tc>
        <w:tc>
          <w:tcPr>
            <w:tcW w:type="dxa" w:w="4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Acceptable; monitor for direction of trend</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0–2% SSS</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Weak — barely covering cost inflation; real productivity is flat or declining</w:t>
            </w:r>
          </w:p>
        </w:tc>
        <w:tc>
          <w:tcPr>
            <w:tcW w:type="dxa" w:w="4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Warning: investigate whether traffic is declining and being masked by price increases</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Negative SSS</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 existing restaurants are getting worse</w:t>
            </w:r>
          </w:p>
        </w:tc>
        <w:tc>
          <w:tcPr>
            <w:tcW w:type="dxa" w:w="4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Serious; determine if temporary (weather, construction) or structural (menu, competition, value perception)</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Positive SSS despite no menu price increases</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Best possible signal — traffic-driven growth</w:t>
            </w:r>
          </w:p>
        </w:tc>
        <w:tc>
          <w:tcPr>
            <w:tcW w:type="dxa" w:w="4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Premium valuation justified — consumers are choosing the brand more frequently without being pushed by price</w:t>
            </w:r>
          </w:p>
        </w:tc>
      </w:tr>
    </w:tbl>
    <w:p>
      <w:pPr>
        <w:spacing w:after="0" w:before="60"/>
      </w:pPr>
      <w:r>
        <w:t xml:space="preserve"/>
      </w:r>
    </w:p>
    <w:p>
      <w:pPr>
        <w:pBdr>
          <w:left w:val="single" w:color="7F6000" w:sz="22" w:space="10"/>
        </w:pBdr>
        <w:shd w:fill="FFF2CC" w:val="clear"/>
        <w:spacing w:after="140" w:before="140" w:line="288"/>
        <w:ind w:left="440" w:right="440"/>
      </w:pPr>
      <w:r>
        <w:rPr>
          <w:rFonts w:ascii="Calibri" w:cs="Calibri" w:eastAsia="Calibri" w:hAnsi="Calibri"/>
          <w:i/>
          <w:iCs/>
          <w:color w:val="7F6000"/>
          <w:sz w:val="21"/>
          <w:szCs w:val="21"/>
        </w:rPr>
        <w:t xml:space="preserve">SSS decomposition is critical: separate price and traffic components. McDonald's, for example, raised menu prices 10%+ in 2022–2023. If SSS was 8% during that period, it implies traffic was actually declining (-2%). This is very different from 8% SSS driven by 3% price + 5% traffic. Always ask management to break out price vs traffic in earnings calls.</w:t>
      </w:r>
    </w:p>
    <w:p>
      <w:pPr>
        <w:spacing w:after="0" w:before="80"/>
      </w:pPr>
      <w:r>
        <w:t xml:space="preserve"/>
      </w:r>
    </w:p>
    <w:p>
      <w:pPr>
        <w:spacing w:after="80" w:before="240"/>
      </w:pPr>
      <w:r>
        <w:rPr>
          <w:rFonts w:ascii="Calibri" w:cs="Calibri" w:eastAsia="Calibri" w:hAnsi="Calibri"/>
          <w:b/>
          <w:bCs/>
          <w:color w:val="2E75B6"/>
          <w:sz w:val="25"/>
          <w:szCs w:val="25"/>
        </w:rPr>
        <w:t xml:space="preserve">2. Restaurant-Level Margin — The True Profitability Measure</w:t>
      </w:r>
    </w:p>
    <w:p>
      <w:pPr>
        <w:spacing w:after="60" w:before="60" w:line="300"/>
        <w:jc w:val="left"/>
      </w:pPr>
      <w:r>
        <w:rPr>
          <w:rFonts w:ascii="Calibri" w:cs="Calibri" w:eastAsia="Calibri" w:hAnsi="Calibri"/>
          <w:b w:val="false"/>
          <w:bCs w:val="false"/>
          <w:i w:val="false"/>
          <w:iCs w:val="false"/>
          <w:color w:val="404040"/>
          <w:sz w:val="22"/>
          <w:szCs w:val="22"/>
        </w:rPr>
        <w:t xml:space="preserve">Restaurant-level margin (or restaurant operating margin) is the profit margin generated at the individual restaurant level, before corporate overhead, G&amp;A, and depreciation. It is the most important measure of unit economics because it tells you how profitable each restaurant is as a standalone business — before the corporate structure takes its cut.</w:t>
      </w:r>
    </w:p>
    <w:p>
      <w:pPr>
        <w:spacing w:after="0" w:before="40"/>
      </w:pPr>
      <w:r>
        <w:t xml:space="preserve"/>
      </w:r>
    </w:p>
    <w:p>
      <w:pPr>
        <w:pBdr>
          <w:left w:val="single" w:color="2E75B6" w:sz="22" w:space="10"/>
        </w:pBdr>
        <w:shd w:fill="DEEAF1" w:val="clear"/>
        <w:spacing w:after="140" w:before="140" w:line="288"/>
        <w:ind w:left="440" w:right="440"/>
      </w:pPr>
      <w:r>
        <w:rPr>
          <w:rFonts w:ascii="Calibri" w:cs="Calibri" w:eastAsia="Calibri" w:hAnsi="Calibri"/>
          <w:i/>
          <w:iCs/>
          <w:color w:val="1F3864"/>
          <w:sz w:val="21"/>
          <w:szCs w:val="21"/>
        </w:rPr>
        <w:t xml:space="preserve">Restaurant-Level Margin = Restaurant Revenue – Food &amp; Beverage Cost – Labour Cost – Occupancy Cost – Other Direct Restaurant Costs
This is expressed as a % of restaurant revenue. It is distinct from overall operating margin, which includes corporate costs.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c>
          <w:tcPr>
            <w:tcW w:type="dxa" w:w="2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Restaurant Type</w:t>
            </w:r>
          </w:p>
        </w:tc>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Target Restaurant-Level Margin</w:t>
            </w:r>
          </w:p>
        </w:tc>
        <w:tc>
          <w:tcPr>
            <w:tcW w:type="dxa" w:w="4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What Drives It</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QSR (Quick Service Restaurant)</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18–25%</w:t>
            </w:r>
          </w:p>
        </w:tc>
        <w:tc>
          <w:tcPr>
            <w:tcW w:type="dxa" w:w="4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 throughput volume, limited labour, standardised menu, drive-through efficiency</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Fast Casual</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15–22%</w:t>
            </w:r>
          </w:p>
        </w:tc>
        <w:tc>
          <w:tcPr>
            <w:tcW w:type="dxa" w:w="4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Better food quality requires more labour and higher COGS; offset by premium pricing</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Casual Dining</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12–18%</w:t>
            </w:r>
          </w:p>
        </w:tc>
        <w:tc>
          <w:tcPr>
            <w:tcW w:type="dxa" w:w="4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Full service labour intensive; lower throughput; drinks margin helps</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Fine Dining</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8–15%</w:t>
            </w:r>
          </w:p>
        </w:tc>
        <w:tc>
          <w:tcPr>
            <w:tcW w:type="dxa" w:w="4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Highest labour cost as % of revenue; offset by very high ARPU</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Contract Catering (Compass)</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5–10%</w:t>
            </w:r>
          </w:p>
        </w:tc>
        <w:tc>
          <w:tcPr>
            <w:tcW w:type="dxa" w:w="4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Low-margin but highly predictable; long-term contracts with volume guarantees</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
            </w:r>
          </w:p>
        </w:tc>
      </w:tr>
    </w:tbl>
    <w:p>
      <w:pPr>
        <w:spacing w:after="0" w:before="80"/>
      </w:pPr>
      <w:r>
        <w:t xml:space="preserve"/>
      </w:r>
    </w:p>
    <w:p>
      <w:pPr>
        <w:spacing w:after="80" w:before="240"/>
      </w:pPr>
      <w:r>
        <w:rPr>
          <w:rFonts w:ascii="Calibri" w:cs="Calibri" w:eastAsia="Calibri" w:hAnsi="Calibri"/>
          <w:b/>
          <w:bCs/>
          <w:color w:val="2E75B6"/>
          <w:sz w:val="25"/>
          <w:szCs w:val="25"/>
        </w:rPr>
        <w:t xml:space="preserve">3. Restaurant-Level Cash-on-Cash Return — The New Unit Investment Test</w:t>
      </w:r>
    </w:p>
    <w:p>
      <w:pPr>
        <w:spacing w:after="60" w:before="60" w:line="300"/>
        <w:jc w:val="left"/>
      </w:pPr>
      <w:r>
        <w:rPr>
          <w:rFonts w:ascii="Calibri" w:cs="Calibri" w:eastAsia="Calibri" w:hAnsi="Calibri"/>
          <w:b w:val="false"/>
          <w:bCs w:val="false"/>
          <w:i w:val="false"/>
          <w:iCs w:val="false"/>
          <w:color w:val="404040"/>
          <w:sz w:val="22"/>
          <w:szCs w:val="22"/>
        </w:rPr>
        <w:t xml:space="preserve">The cash-on-cash return measures how quickly a new restaurant recoups its opening investment from annual cash profits. This is the most important metric for assessing whether a restaurant chain should be expanding — and how much the expansion is worth. A chain that earns a 30% cash-on-cash return on new restaurants is making an exceptional investment. One earning 8% return should question why it is opening new units.</w:t>
      </w:r>
    </w:p>
    <w:p>
      <w:pPr>
        <w:spacing w:after="0" w:before="40"/>
      </w:pPr>
      <w:r>
        <w:t xml:space="preserve"/>
      </w:r>
    </w:p>
    <w:p>
      <w:pPr>
        <w:pBdr>
          <w:left w:val="single" w:color="1E4D2B" w:sz="22" w:space="10"/>
        </w:pBdr>
        <w:shd w:fill="E6F4EA" w:val="clear"/>
        <w:spacing w:after="140" w:before="140" w:line="288"/>
        <w:ind w:left="440" w:right="440"/>
      </w:pPr>
      <w:r>
        <w:rPr>
          <w:rFonts w:ascii="Calibri" w:cs="Calibri" w:eastAsia="Calibri" w:hAnsi="Calibri"/>
          <w:i/>
          <w:iCs/>
          <w:color w:val="1E4D2B"/>
          <w:sz w:val="21"/>
          <w:szCs w:val="21"/>
        </w:rPr>
        <w:t xml:space="preserve">Cash-on-Cash Return = Annual Restaurant-Level Cash Profit / Total Investment to Open the Restaurant
Example: A restaurant costs $1.5m to open and generates $400k of annual restaurant-level cash profit → 400/1,500 = 27% cash-on-cash return. This is excellent.</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00"/>
      </w:tblGrid>
      <w:tr>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Cash-on-Cash Return</w:t>
            </w:r>
          </w:p>
        </w:tc>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Assessment</w:t>
            </w:r>
          </w:p>
        </w:tc>
        <w:tc>
          <w:tcPr>
            <w:tcW w:type="dxa" w:w="4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Implication for Expansion</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 30%</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Exceptional — among the best capital allocations in consumer</w:t>
            </w:r>
          </w:p>
        </w:tc>
        <w:tc>
          <w:tcPr>
            <w:tcW w:type="dxa" w:w="4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Aggressive expansion is highly value-accretive; prioritise unit growth</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20–30%</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Strong — excellent risk-adjusted return</w:t>
            </w:r>
          </w:p>
        </w:tc>
        <w:tc>
          <w:tcPr>
            <w:tcW w:type="dxa" w:w="4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Continued expansion is clearly value-creating</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15–20%</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Good — above cost of capital; expansion justified</w:t>
            </w:r>
          </w:p>
        </w:tc>
        <w:tc>
          <w:tcPr>
            <w:tcW w:type="dxa" w:w="4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Expand but be selective about site quality</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10–15%</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Average — barely justifying new investment</w:t>
            </w:r>
          </w:p>
        </w:tc>
        <w:tc>
          <w:tcPr>
            <w:tcW w:type="dxa" w:w="4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Question whether expansion is worth the management attention and capital</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&lt; 10%</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Poor — below most companies' cost of capital</w:t>
            </w:r>
          </w:p>
        </w:tc>
        <w:tc>
          <w:tcPr>
            <w:tcW w:type="dxa" w:w="4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Stop expansion; focus on improving existing unit productivity</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&lt; 5%</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Value-destroying — each new unit is destroying shareholder wealth</w:t>
            </w:r>
          </w:p>
        </w:tc>
        <w:tc>
          <w:tcPr>
            <w:tcW w:type="dxa" w:w="4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Immediately cease expansion; fix the model before opening another unit</w:t>
            </w:r>
          </w:p>
        </w:tc>
      </w:tr>
    </w:tbl>
    <w:p>
      <w:pPr>
        <w:spacing w:after="0" w:before="80"/>
      </w:pPr>
      <w:r>
        <w:t xml:space="preserve"/>
      </w:r>
    </w:p>
    <w:p>
      <w:pPr>
        <w:spacing w:after="80" w:before="240"/>
      </w:pPr>
      <w:r>
        <w:rPr>
          <w:rFonts w:ascii="Calibri" w:cs="Calibri" w:eastAsia="Calibri" w:hAnsi="Calibri"/>
          <w:b/>
          <w:bCs/>
          <w:color w:val="2E75B6"/>
          <w:sz w:val="25"/>
          <w:szCs w:val="25"/>
        </w:rPr>
        <w:t xml:space="preserve">4. Average Unit Volume (AUV) — Revenue Productivity per Restaurant</w:t>
      </w:r>
    </w:p>
    <w:p>
      <w:pPr>
        <w:spacing w:after="60" w:before="60" w:line="300"/>
        <w:jc w:val="left"/>
      </w:pPr>
      <w:r>
        <w:rPr>
          <w:rFonts w:ascii="Calibri" w:cs="Calibri" w:eastAsia="Calibri" w:hAnsi="Calibri"/>
          <w:b w:val="false"/>
          <w:bCs w:val="false"/>
          <w:i w:val="false"/>
          <w:iCs w:val="false"/>
          <w:color w:val="404040"/>
          <w:sz w:val="22"/>
          <w:szCs w:val="22"/>
        </w:rPr>
        <w:t xml:space="preserve">AUV is the average annual revenue generated per restaurant in the system. It measures the productivity of the individual unit — how much revenue each restaurant location generates. High and growing AUV means each restaurant is becoming more productive over time, which generates the operating leverage that drives margin expansion.</w:t>
      </w:r>
    </w:p>
    <w:p>
      <w:pPr>
        <w:spacing w:after="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AUV Trend</w:t>
            </w:r>
          </w:p>
        </w:tc>
        <w:tc>
          <w:tcPr>
            <w:tcW w:type="dxa" w:w="3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Interpretation</w:t>
            </w:r>
          </w:p>
        </w:tc>
        <w:tc>
          <w:tcPr>
            <w:tcW w:type="dxa" w:w="4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Investment Signal</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AUV growing ≥ 4%</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Existing restaurants becoming more productive — SSS driving earnings power</w:t>
            </w:r>
          </w:p>
        </w:tc>
        <w:tc>
          <w:tcPr>
            <w:tcW w:type="dxa" w:w="4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Positive compounding signal: same base generates more revenue and profit each year</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AUV flat</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Productivity stagnant — growth is entirely from new units</w:t>
            </w:r>
          </w:p>
        </w:tc>
        <w:tc>
          <w:tcPr>
            <w:tcW w:type="dxa" w:w="4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Marginal; acceptable if new unit economics are strong</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AUV declining despite positive SSS</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New unit mix is diluting average — newer restaurants less productive than older ones</w:t>
            </w:r>
          </w:p>
        </w:tc>
        <w:tc>
          <w:tcPr>
            <w:tcW w:type="dxa" w:w="4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Warning: expansion quality may be deteriorating; scrutinise new unit cash-on-cash returns</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AUV declining with negative SSS</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Existing restaurants losing productivity — most serious signal</w:t>
            </w:r>
          </w:p>
        </w:tc>
        <w:tc>
          <w:tcPr>
            <w:tcW w:type="dxa" w:w="4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Major red flag: investigate immediately — is it competition, menu, value perception, or demographic shift?</w:t>
            </w:r>
          </w:p>
        </w:tc>
      </w:tr>
    </w:tbl>
    <w:p>
      <w:pPr>
        <w:spacing w:after="0" w:before="80"/>
      </w:pPr>
      <w:r>
        <w:t xml:space="preserve"/>
      </w:r>
    </w:p>
    <w:p>
      <w:pPr>
        <w:spacing w:after="80" w:before="240"/>
      </w:pPr>
      <w:r>
        <w:rPr>
          <w:rFonts w:ascii="Calibri" w:cs="Calibri" w:eastAsia="Calibri" w:hAnsi="Calibri"/>
          <w:b/>
          <w:bCs/>
          <w:color w:val="2E75B6"/>
          <w:sz w:val="25"/>
          <w:szCs w:val="25"/>
        </w:rPr>
        <w:t xml:space="preserve">5. Airbnb and Experience Platforms — Different Framework</w:t>
      </w:r>
    </w:p>
    <w:p>
      <w:pPr>
        <w:spacing w:after="60" w:before="60" w:line="300"/>
        <w:jc w:val="left"/>
      </w:pPr>
      <w:r>
        <w:rPr>
          <w:rFonts w:ascii="Calibri" w:cs="Calibri" w:eastAsia="Calibri" w:hAnsi="Calibri"/>
          <w:b w:val="false"/>
          <w:bCs w:val="false"/>
          <w:i w:val="false"/>
          <w:iCs w:val="false"/>
          <w:color w:val="404040"/>
          <w:sz w:val="22"/>
          <w:szCs w:val="22"/>
        </w:rPr>
        <w:t xml:space="preserve">Airbnb is not a restaurant business — it is a two-sided marketplace connecting hosts (supply) and guests (demand). The restaurant unit economics framework does not apply. Instead, the relevant metrics are platform-specific:</w:t>
      </w:r>
    </w:p>
    <w:p>
      <w:pPr>
        <w:spacing w:after="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400"/>
      </w:tblGrid>
      <w:tr>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Airbnb Metric</w:t>
            </w:r>
          </w:p>
        </w:tc>
        <w:tc>
          <w:tcPr>
            <w:tcW w:type="dxa" w:w="2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What to Measure</w:t>
            </w:r>
          </w:p>
        </w:tc>
        <w:tc>
          <w:tcPr>
            <w:tcW w:type="dxa" w:w="2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Healthy Level</w:t>
            </w:r>
          </w:p>
        </w:tc>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Warning Sign</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Nights &amp; Experiences Booked</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Total volume of bookings through the platform</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Growing ≥ 10% annually</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or flat — demand is not growing; platform may be losing to competitors</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Average Daily Rate (ADR)</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Revenue per night booked</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Stable or growing — pricing power is intact</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ADR despite stable bookings — competitive pricing pressure from hotels or VRBO</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Revenue per Available Night (RevPAN)</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ADR × Occupancy rate — equivalent to RevPAR in hotels</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Growing YoY — platform efficiency improving</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RevPAN — either occupancy or pricing is weakening</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Take Rate</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Revenue / Gross Booking Value</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~12–14% and stable</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 Airbnb reducing fees to compete; margin impact is direct</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Host count and quality</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Number of active hosts and average quality rating</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Growing host supply in underserved markets</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Host attrition in key markets — local regulation or economics driving hosts off platform</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FCF Margin</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Free Cash Flow / Revenue</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 20% — platform economics delivering cash</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FCF margin despite revenue growth — rising costs offsetting scale benefits</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Restaurant &amp; Experience Valuation Framework</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800"/>
      </w:tblGrid>
      <w:tr>
        <w:tc>
          <w:tcPr>
            <w:tcW w:type="dxa" w:w="1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Method</w:t>
            </w:r>
          </w:p>
        </w:tc>
        <w:tc>
          <w:tcPr>
            <w:tcW w:type="dxa" w:w="1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When to Use</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How to Apply</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Key Consideration</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EV/EBITDA</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Primary for all restaurant companies</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Franchise-heavy QSR: 18–28x. Casual dining: 10–16x. Asset-light catering: 12–18x</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Multiple reflects franchise mix, brand quality, and growth runway — not just current earnings</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P/FCF</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Excellent for pure-play franchise companies</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Franchise royalties are nearly 100% FCF — P/FCF reflects this quality</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More meaningful than EV/EBITDA for companies with minimal capex</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EV/System Sales</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Secondary — normalises for franchise vs company-owned mix</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Apply 1–3x system sales depending on profitability and growth</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Allows comparison across different ownership structures</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Sum-of-Parts (franchise vs. owned)</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Valuable for hybrids</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Value franchise royalty stream separately (high multiple); value owned restaurants at restaurant-level EBITDA</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Most investors miss the difference in multiple warranted by each component</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DCF on Royalty Stream</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Best for mature franchise companies</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Project 10–15 years of royalty income; discount at 7–9% for investment-grade franchises</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Royalty income is highly predictable — DCF is appropriate and reliable here</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How to Identify Genuinely Undervalued Restaurant &amp; Experience Companies</w:t>
      </w:r>
    </w:p>
    <w:p>
      <w:pPr>
        <w:spacing w:after="0" w:before="60"/>
      </w:pPr>
      <w:r>
        <w:t xml:space="preserve"/>
      </w:r>
    </w:p>
    <w:p>
      <w:pPr>
        <w:spacing w:after="80" w:before="240"/>
      </w:pPr>
      <w:r>
        <w:rPr>
          <w:rFonts w:ascii="Calibri" w:cs="Calibri" w:eastAsia="Calibri" w:hAnsi="Calibri"/>
          <w:b/>
          <w:bCs/>
          <w:color w:val="2E75B6"/>
          <w:sz w:val="25"/>
          <w:szCs w:val="25"/>
        </w:rPr>
        <w:t xml:space="preserve">Scenario A — Recession-Driven Multiple Compression on a Dominant Franchise</w:t>
      </w:r>
    </w:p>
    <w:p>
      <w:pPr>
        <w:spacing w:after="60" w:before="60" w:line="300"/>
        <w:jc w:val="left"/>
      </w:pPr>
      <w:r>
        <w:rPr>
          <w:rFonts w:ascii="Calibri" w:cs="Calibri" w:eastAsia="Calibri" w:hAnsi="Calibri"/>
          <w:b w:val="false"/>
          <w:bCs w:val="false"/>
          <w:i w:val="false"/>
          <w:iCs w:val="false"/>
          <w:color w:val="404040"/>
          <w:sz w:val="22"/>
          <w:szCs w:val="22"/>
        </w:rPr>
        <w:t xml:space="preserve">The best restaurant investments are made during recessions when same-store sales are declining and investors are pessimistic about consumer spending. The companies worth buying are those whose brand is strong enough that the SSS decline is temporary — and whose franchise model insulates the corporate P&amp;L from the full impact of the downturn.</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A dominant QSR or fast casual franchise (McDonald's, Restaurant Brands International) is trading at a 20–25% discount to its 5-year average EV/EBITDA because SSS has temporarily turned negative during a recession. Restaurant-level margins are intact, new unit cash-on-cash returns are still ≥ 25%, and the franchise system is not closing restaurants. The corporate P&amp;L is largely protected by royalties — the franchisee absorbs the traffic decline.</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The McDonald's test: Has the brand maintained or gained market share during the downturn? In recessions, QSR tends to benefit from trading-down from casual dining — so McDonald's SSS may actually be better than the broader restaurant sector, not worse. If so, the recession narrative is actively wrong.</w:t>
      </w:r>
    </w:p>
    <w:p>
      <w:pPr>
        <w:spacing w:after="0" w:before="80"/>
      </w:pPr>
      <w:r>
        <w:t xml:space="preserve"/>
      </w:r>
    </w:p>
    <w:p>
      <w:pPr>
        <w:spacing w:after="80" w:before="240"/>
      </w:pPr>
      <w:r>
        <w:rPr>
          <w:rFonts w:ascii="Calibri" w:cs="Calibri" w:eastAsia="Calibri" w:hAnsi="Calibri"/>
          <w:b/>
          <w:bCs/>
          <w:color w:val="2E75B6"/>
          <w:sz w:val="25"/>
          <w:szCs w:val="25"/>
        </w:rPr>
        <w:t xml:space="preserve">Scenario B — New Unit Economics Misunderstood as Dilutive</w:t>
      </w:r>
    </w:p>
    <w:p>
      <w:pPr>
        <w:spacing w:after="60" w:before="60" w:line="300"/>
        <w:jc w:val="left"/>
      </w:pPr>
      <w:r>
        <w:rPr>
          <w:rFonts w:ascii="Calibri" w:cs="Calibri" w:eastAsia="Calibri" w:hAnsi="Calibri"/>
          <w:b w:val="false"/>
          <w:bCs w:val="false"/>
          <w:i w:val="false"/>
          <w:iCs w:val="false"/>
          <w:color w:val="404040"/>
          <w:sz w:val="22"/>
          <w:szCs w:val="22"/>
        </w:rPr>
        <w:t xml:space="preserve">When a restaurant chain is in heavy expansion mode, reported earnings per share often look disappointing because of pre-opening costs, initial ramp-up losses on new units, and the dilution of rising share counts from equity-funded expansion. The market sometimes penalises this as if new units are value-destroying — when the cash-on-cash returns on new units are excellent.</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EPS growth is below consensus expectations because of aggressive new unit expansion, but cash-on-cash returns on new units are ≥ 25%, AUV is growing, and same-store sales at mature units are positive. The market is applying a short-term earnings lens to a long-term compounding investment. The stock is trading at a discount to the intrinsic value of the existing restaurant base plus the NPV of the expansion pipeline.</w:t>
      </w:r>
    </w:p>
    <w:p>
      <w:pPr>
        <w:spacing w:after="0" w:before="80"/>
      </w:pPr>
      <w:r>
        <w:t xml:space="preserve"/>
      </w:r>
    </w:p>
    <w:p>
      <w:pPr>
        <w:spacing w:after="80" w:before="240"/>
      </w:pPr>
      <w:r>
        <w:rPr>
          <w:rFonts w:ascii="Calibri" w:cs="Calibri" w:eastAsia="Calibri" w:hAnsi="Calibri"/>
          <w:b/>
          <w:bCs/>
          <w:color w:val="2E75B6"/>
          <w:sz w:val="25"/>
          <w:szCs w:val="25"/>
        </w:rPr>
        <w:t xml:space="preserve">Scenario C — Airbnb / Experience Platform Cycle Trough</w:t>
      </w:r>
    </w:p>
    <w:p>
      <w:pPr>
        <w:spacing w:after="60" w:before="60" w:line="300"/>
        <w:jc w:val="left"/>
      </w:pPr>
      <w:r>
        <w:rPr>
          <w:rFonts w:ascii="Calibri" w:cs="Calibri" w:eastAsia="Calibri" w:hAnsi="Calibri"/>
          <w:b w:val="false"/>
          <w:bCs w:val="false"/>
          <w:i w:val="false"/>
          <w:iCs w:val="false"/>
          <w:color w:val="404040"/>
          <w:sz w:val="22"/>
          <w:szCs w:val="22"/>
        </w:rPr>
        <w:t xml:space="preserve">Experience businesses are highly cyclical — travel and leisure spending falls sharply in recessions and geopolitical uncertainty. Airbnb, in particular, saw dramatic revenue swings during COVID. The recovery from these troughs is typically equally fast — pent-up demand for experience releases quickly as confidence recovers.</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An experience platform with proven unit economics, improving take rate, and expanding host supply is trading at a significant discount to fair value because bookings have temporarily declined due to macro uncertainty or a specific external shock. FCF is positive, balance sheet is clean, and the underlying product quality (average review score, host retention) is intact. The platform has demonstrated through multiple cycles that demand recovers rapidly once the external shock passes.</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Restaurant &amp; Experience Undervaluation Checklist</w:t>
      </w:r>
    </w:p>
    <w:p>
      <w:pPr>
        <w:spacing w:after="0" w:before="4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600"/>
        <w:gridCol w:w="3100"/>
      </w:tblGrid>
      <w:tr>
        <w:tc>
          <w:tcPr>
            <w:tcW w:type="dxa" w:w="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Question</w:t>
            </w:r>
          </w:p>
        </w:tc>
        <w:tc>
          <w:tcPr>
            <w:tcW w:type="dxa" w:w="2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Green Flag</w:t>
            </w:r>
          </w:p>
        </w:tc>
        <w:tc>
          <w:tcPr>
            <w:tcW w:type="dxa" w:w="31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Red Flag</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same-store sales growth positive or recovering?</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or clearly bouncing back from a temporary trough</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Negative and declining for 3+ consecutive quarters with no identifiable external cause</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2</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restaurant-level margin above 18% (QSR) or 14% (casual)?</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unit profitability is intact</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Below target and declining — labour or food inflation is eroding the model</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3</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cash-on-cash return on new units above 20%?</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expansion is genuinely value-accretive</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Below 15% — expansion is destroying value; management should focus on existing units</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4</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 system predominantly franchised (for QSR)?</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 70% franchised — corporate P&amp;L is insulated from unit-level shocks</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Primarily company-owned — full exposure to cost inflation and revenue declines</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5</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AUV growing or stable?</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Growing — existing restaurants are becoming more productive</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 productivity per restaurant is falling; competition or concept fatigue</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6</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 brand gaining or holding market share?</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Flat or gaining — brand is resilient in the competitive landscape</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Losing share even before applying recession adjustment</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7</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For experience platforms: is take rate stable or rising?</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Stable or rising — platform pricing power intact</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take rate — competitive pressure forcing fee concessions</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8</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FCF yield above 4% (restaurant) or 3% (experience platform)?</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attractive income return on top of potential capital appreciation</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Below 2% — expensive relative to FCF generation</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9</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EV/EBITDA at a meaningful discount to 5yr average?</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 20% below historical average</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At or above historical average — limited room for re-rating</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10</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there a specific catalyst within 12–18 months?</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SSS recovery trajectory, new market expansion, franchise conversion, share buyback acceleration</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No catalyst — value may be trapped for years in a low-growth sector</w:t>
            </w:r>
          </w:p>
        </w:tc>
      </w:tr>
    </w:tbl>
    <w:p>
      <w:pPr>
        <w:spacing w:after="0" w:before="80"/>
      </w:pPr>
      <w:r>
        <w:t xml:space="preserve"/>
      </w:r>
    </w:p>
    <w:p>
      <w:pPr>
        <w:pBdr>
          <w:left w:val="single" w:color="1B6B5A" w:sz="22" w:space="10"/>
        </w:pBdr>
        <w:shd w:fill="D9F0E8" w:val="clear"/>
        <w:spacing w:after="140" w:before="140" w:line="288"/>
        <w:ind w:left="440" w:right="440"/>
      </w:pPr>
      <w:r>
        <w:rPr>
          <w:rFonts w:ascii="Calibri" w:cs="Calibri" w:eastAsia="Calibri" w:hAnsi="Calibri"/>
          <w:i/>
          <w:iCs/>
          <w:color w:val="1B6B5A"/>
          <w:sz w:val="21"/>
          <w:szCs w:val="21"/>
        </w:rPr>
        <w:t xml:space="preserve">Margin of Safety for Restaurants &amp; Experiences: Dominant franchise QSR (McDonald's, Restaurant Brands): 15–20% below fair value — royalty stream is highly predictable. Fast casual growth (Chipotle, Shake Shack): 25–30% — more capital intensive and concept risk is higher. Casual dining: 30–35% — structurally challenged by labour costs and delivery platform disruption. Experience platforms (Airbnb): 25–30% with clean balance sheet; add 10% for any significant debt.</w:t>
      </w:r>
    </w:p>
    <w:p>
      <w:r>
        <w:br w:type="page"/>
      </w:r>
    </w:p>
    <w:p>
      <w:pPr>
        <w:pStyle w:val="Heading1"/>
        <w:shd w:fill="1F3864" w:val="clear"/>
        <w:spacing w:after="180" w:before="400"/>
        <w:ind w:left="240"/>
      </w:pPr>
      <w:r>
        <w:rPr>
          <w:rFonts w:ascii="Calibri" w:cs="Calibri" w:eastAsia="Calibri" w:hAnsi="Calibri"/>
          <w:b/>
          <w:bCs/>
          <w:color w:val="FFFFFF"/>
          <w:sz w:val="40"/>
          <w:szCs w:val="40"/>
        </w:rPr>
        <w:t xml:space="preserve">Part 4 — Putting It Together: The Consumer Discretionary Decision Map</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Consumer Discretionary is unified by one principle — the quality of the brand or experience determines the durability of the investment — but the three company types require very different execution of that principle. Here is the consolidated framework for navigating across all three.</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Classification Decision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2000"/>
        <w:gridCol w:w="2800"/>
      </w:tblGrid>
      <w:tr>
        <w:tc>
          <w:tcPr>
            <w:tcW w:type="dxa" w:w="3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First Question</w:t>
            </w:r>
          </w:p>
        </w:tc>
        <w:tc>
          <w:tcPr>
            <w:tcW w:type="dxa" w:w="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Answer →</w:t>
            </w:r>
          </w:p>
        </w:tc>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Company Type</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Starting Framework</w:t>
            </w:r>
          </w:p>
        </w:tc>
      </w:tr>
      <w:tr>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Does the company primarily sell goods online or operate a commerce marketplace?</w:t>
            </w:r>
          </w:p>
        </w:tc>
        <w:tc>
          <w:tcPr>
            <w:tcW w:type="dxa" w:w="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E-commerce &amp; Retail</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Start with contribution margin, take rate, and SOTP if multi-business</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Does the company's primary value derive from an intangible brand premium that enables above-market pricing?</w:t>
            </w:r>
          </w:p>
        </w:tc>
        <w:tc>
          <w:tcPr>
            <w:tcW w:type="dxa" w:w="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Luxury &amp; Brands</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Start with organic revenue growth, gross margin, SSS, and DTC mix</w:t>
            </w:r>
          </w:p>
        </w:tc>
      </w:tr>
      <w:tr>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Does the company generate revenue from physical restaurant visits or experience bookings?</w:t>
            </w:r>
          </w:p>
        </w:tc>
        <w:tc>
          <w:tcPr>
            <w:tcW w:type="dxa" w:w="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Restaurants &amp; Experiences</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Start with SSS, restaurant-level margin, cash-on-cash returns, and franchise mix</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Does the company combine elements of multiple types (e.g. Nike DTC + brand + digital)?</w:t>
            </w:r>
          </w:p>
        </w:tc>
        <w:tc>
          <w:tcPr>
            <w:tcW w:type="dxa" w:w="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Hybrid</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Apply the dominant framework; value each business stream separately</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Cross-Sector Comparison: What 'Undervalued' Looks Like in Each Type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300"/>
      </w:tblGrid>
      <w:tr>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Signal</w:t>
            </w:r>
          </w:p>
        </w:tc>
        <w:tc>
          <w:tcPr>
            <w:tcW w:type="dxa" w:w="23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E-commerce</w:t>
            </w:r>
          </w:p>
        </w:tc>
        <w:tc>
          <w:tcPr>
            <w:tcW w:type="dxa" w:w="23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Luxury &amp; Brands</w:t>
            </w:r>
          </w:p>
        </w:tc>
        <w:tc>
          <w:tcPr>
            <w:tcW w:type="dxa" w:w="23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Restaurants &amp; Experiences</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Valuation metric below historical avg</w:t>
            </w:r>
          </w:p>
        </w:tc>
        <w:tc>
          <w:tcPr>
            <w:tcW w:type="dxa" w:w="23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EV/Revenue or EV/GMV ≥ 30% below 3yr avg</w:t>
            </w:r>
          </w:p>
        </w:tc>
        <w:tc>
          <w:tcPr>
            <w:tcW w:type="dxa" w:w="23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EV/EBITDA ≥ 20% below 5yr avg</w:t>
            </w:r>
          </w:p>
        </w:tc>
        <w:tc>
          <w:tcPr>
            <w:tcW w:type="dxa" w:w="23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EV/EBITDA ≥ 20% below 5yr avg; FCF yield ≥ 4%</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Business quality intact</w:t>
            </w:r>
          </w:p>
        </w:tc>
        <w:tc>
          <w:tcPr>
            <w:tcW w:type="dxa" w:w="2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Contribution margin positive and improving</w:t>
            </w:r>
          </w:p>
        </w:tc>
        <w:tc>
          <w:tcPr>
            <w:tcW w:type="dxa" w:w="2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Gross margin stable; SSS positive; no discounting</w:t>
            </w:r>
          </w:p>
        </w:tc>
        <w:tc>
          <w:tcPr>
            <w:tcW w:type="dxa" w:w="2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SSS ≥ 2%; restaurant-level margin above sector avg</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Market is wrong about</w:t>
            </w:r>
          </w:p>
        </w:tc>
        <w:tc>
          <w:tcPr>
            <w:tcW w:type="dxa" w:w="23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SOTP — market applying retail multiple to cloud/ad business</w:t>
            </w:r>
          </w:p>
        </w:tc>
        <w:tc>
          <w:tcPr>
            <w:tcW w:type="dxa" w:w="23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Applying cyclical multiple to acyclical brand</w:t>
            </w:r>
          </w:p>
        </w:tc>
        <w:tc>
          <w:tcPr>
            <w:tcW w:type="dxa" w:w="23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Applying short-term recession multiple to franchise royalty stream</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Catalyst</w:t>
            </w:r>
          </w:p>
        </w:tc>
        <w:tc>
          <w:tcPr>
            <w:tcW w:type="dxa" w:w="2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FCF inflection, segment spin-off, AI-driven efficiency</w:t>
            </w:r>
          </w:p>
        </w:tc>
        <w:tc>
          <w:tcPr>
            <w:tcW w:type="dxa" w:w="2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China recovery, re-premiumisation visible, brand milestone</w:t>
            </w:r>
          </w:p>
        </w:tc>
        <w:tc>
          <w:tcPr>
            <w:tcW w:type="dxa" w:w="23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SSS recovery, new market expansion, franchise conversion</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Time to realise value</w:t>
            </w:r>
          </w:p>
        </w:tc>
        <w:tc>
          <w:tcPr>
            <w:tcW w:type="dxa" w:w="23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6–18 months (platform transitions can re-rate quickly)</w:t>
            </w:r>
          </w:p>
        </w:tc>
        <w:tc>
          <w:tcPr>
            <w:tcW w:type="dxa" w:w="23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12–36 months (brand recovery is slow; patience required)</w:t>
            </w:r>
          </w:p>
        </w:tc>
        <w:tc>
          <w:tcPr>
            <w:tcW w:type="dxa" w:w="23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12–24 months (recession recovery typically follows macro turn by 2–3 quarters)</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Single Most Important Lesson in Consumer Discretionary Investing</w:t>
      </w:r>
    </w:p>
    <w:p>
      <w:pPr>
        <w:spacing w:after="60" w:before="60" w:line="300"/>
        <w:jc w:val="left"/>
      </w:pPr>
      <w:r>
        <w:rPr>
          <w:rFonts w:ascii="Calibri" w:cs="Calibri" w:eastAsia="Calibri" w:hAnsi="Calibri"/>
          <w:b w:val="false"/>
          <w:bCs w:val="false"/>
          <w:i w:val="false"/>
          <w:iCs w:val="false"/>
          <w:color w:val="404040"/>
          <w:sz w:val="22"/>
          <w:szCs w:val="22"/>
        </w:rPr>
        <w:t xml:space="preserve">Across all three company types, one principle consistently separates profitable from unprofitable investments in this sector:</w:t>
      </w:r>
    </w:p>
    <w:p>
      <w:pPr>
        <w:spacing w:after="0" w:before="40"/>
      </w:pPr>
      <w:r>
        <w:t xml:space="preserve"/>
      </w:r>
    </w:p>
    <w:p>
      <w:pPr>
        <w:pBdr>
          <w:left w:val="single" w:color="7A5C00" w:sz="22" w:space="10"/>
        </w:pBdr>
        <w:shd w:fill="FDF3D0" w:val="clear"/>
        <w:spacing w:after="140" w:before="140" w:line="288"/>
        <w:ind w:left="440" w:right="440"/>
      </w:pPr>
      <w:r>
        <w:rPr>
          <w:rFonts w:ascii="Calibri" w:cs="Calibri" w:eastAsia="Calibri" w:hAnsi="Calibri"/>
          <w:i/>
          <w:iCs/>
          <w:color w:val="7A5C00"/>
          <w:sz w:val="21"/>
          <w:szCs w:val="21"/>
        </w:rPr>
        <w:t xml:space="preserve">Volume growth is always more valuable than price growth.
A company growing revenue at 8% through 8% price increases and flat volumes is less valuable than one growing at 8% through 4% price and 4% volume. Price increases can be sustained only if volumes hold. If volumes are declining, price increases are buying time, not building value. Always decompose growth into its volume and price components before drawing any conclusion about business quality.</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Recommended Learning Path for Consumer Discretionary</w:t>
      </w:r>
    </w:p>
    <w:p>
      <w:pPr>
        <w:spacing w:after="0" w:before="60"/>
      </w:pPr>
      <w:r>
        <w:t xml:space="preserve"/>
      </w:r>
    </w:p>
    <w:p>
      <w:pPr>
        <w:spacing w:after="80" w:before="240"/>
      </w:pPr>
      <w:r>
        <w:rPr>
          <w:rFonts w:ascii="Calibri" w:cs="Calibri" w:eastAsia="Calibri" w:hAnsi="Calibri"/>
          <w:b/>
          <w:bCs/>
          <w:color w:val="2E75B6"/>
          <w:sz w:val="25"/>
          <w:szCs w:val="25"/>
        </w:rPr>
        <w:t xml:space="preserve">For E-commerce &amp; Retail</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Read: Benedict Evans' annual 'State of Retail' presentation — the clearest thinking on e-commerce structural trends available publicly</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Study: Amazon's annual shareholder letters from Jeff Bezos (1997–2020) — the definitive text on long-term platform economics thinking</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Practice: Build a SOTP model for Amazon using AWS, Advertising, Marketplace, and Retail as separate segments. Compare your implied value for the retail business to pure-play retailers.</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Track: Digital Commerce 360 for e-commerce penetration data and Shopify investor supplements for merchant ecosystem data</w:t>
      </w:r>
    </w:p>
    <w:p>
      <w:pPr>
        <w:spacing w:after="0" w:before="40"/>
      </w:pPr>
      <w:r>
        <w:t xml:space="preserve"/>
      </w:r>
    </w:p>
    <w:p>
      <w:pPr>
        <w:spacing w:after="80" w:before="240"/>
      </w:pPr>
      <w:r>
        <w:rPr>
          <w:rFonts w:ascii="Calibri" w:cs="Calibri" w:eastAsia="Calibri" w:hAnsi="Calibri"/>
          <w:b/>
          <w:bCs/>
          <w:color w:val="2E75B6"/>
          <w:sz w:val="25"/>
          <w:szCs w:val="25"/>
        </w:rPr>
        <w:t xml:space="preserve">For Luxury &amp; Brands</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Read: 'The Luxury Strategy' by Jean-Noël Kapferer and Vincent Bastien — the definitive academic and practitioner text on luxury brand management and economics</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Study: LVMH's annual reports — the best luxury conglomerate disclosure in the world; study the organic growth decomposition by business group across a full economic cycle</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Practice: Track the price/volume decomposition for Nike and Burberry across 8 quarters. The divergence between the two in 2022–2024 is an excellent case study in the difference between a genuinely premium brand (Nike holding price) and a brand struggling to maintain positioning (Burberry).</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Study: Hermès' financial results across 2008–2009 — one of the clearest demonstrations of how true luxury is almost entirely cycle-immune</w:t>
      </w:r>
    </w:p>
    <w:p>
      <w:pPr>
        <w:spacing w:after="0" w:before="40"/>
      </w:pPr>
      <w:r>
        <w:t xml:space="preserve"/>
      </w:r>
    </w:p>
    <w:p>
      <w:pPr>
        <w:spacing w:after="80" w:before="240"/>
      </w:pPr>
      <w:r>
        <w:rPr>
          <w:rFonts w:ascii="Calibri" w:cs="Calibri" w:eastAsia="Calibri" w:hAnsi="Calibri"/>
          <w:b/>
          <w:bCs/>
          <w:color w:val="2E75B6"/>
          <w:sz w:val="25"/>
          <w:szCs w:val="25"/>
        </w:rPr>
        <w:t xml:space="preserve">For Restaurants &amp; Experiences</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Read: McDonald's franchisee disclosure documents (Form FDD) — the most detailed breakdown of restaurant unit economics available publicly for any major QSR chain</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Study: Restaurant Brands International (Burger King, Popeyes, Tim Hortons) investor supplements — excellent franchise economics disclosure across three distinct brand tiers</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Practice: Model the McDonald's royalty stream as a standalone annuity — what is the present value of 20 years of royalties growing at 4% annually? Compare to the current enterprise value. The exercise reveals how much of McDonald's value is in the franchise structure rather than the restaurants.</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Track: Airbnb's quarterly 'Nights and Experiences Booked' alongside 'Average Daily Rate' — the two metrics in combination tell you everything about platform health</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Series Complete: What You Now Have</w:t>
      </w:r>
    </w:p>
    <w:p>
      <w:pPr>
        <w:spacing w:after="60" w:before="60" w:line="300"/>
        <w:jc w:val="left"/>
      </w:pPr>
      <w:r>
        <w:rPr>
          <w:rFonts w:ascii="Calibri" w:cs="Calibri" w:eastAsia="Calibri" w:hAnsi="Calibri"/>
          <w:b w:val="false"/>
          <w:bCs w:val="false"/>
          <w:i w:val="false"/>
          <w:iCs w:val="false"/>
          <w:color w:val="404040"/>
          <w:sz w:val="22"/>
          <w:szCs w:val="22"/>
        </w:rPr>
        <w:t xml:space="preserve">This three-part series — Technology, Communication Services, and Consumer Discretionary — gives you a deep analytical foundation for the seven specific company types you selected. Each document is designed to be a working reference, not a one-time read. Return to the checklists when evaluating specific investment ideas.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c>
          <w:tcPr>
            <w:tcW w:type="dxa" w:w="1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Document</w:t>
            </w:r>
          </w:p>
        </w:tc>
        <w:tc>
          <w:tcPr>
            <w:tcW w:type="dxa" w:w="3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Company Types Covered</w:t>
            </w:r>
          </w:p>
        </w:tc>
        <w:tc>
          <w:tcPr>
            <w:tcW w:type="dxa" w:w="4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Core Skill Built</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Part 1: Technology</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Software/SaaS, Semiconductors &amp; Hardware</w:t>
            </w:r>
          </w:p>
        </w:tc>
        <w:tc>
          <w:tcPr>
            <w:tcW w:type="dxa" w:w="4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Reading SaaS unit economics; cycle-positioning for semiconductors</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Part 2: Communication Services</w:t>
            </w:r>
          </w:p>
        </w:tc>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Internet Platforms, Telecom Operators</w:t>
            </w:r>
          </w:p>
        </w:tc>
        <w:tc>
          <w:tcPr>
            <w:tcW w:type="dxa" w:w="4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SOTP for platforms; dividend sustainability for telecoms</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Part 3: Consumer Discretionary</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E-commerce, Luxury &amp; Brands, Restaurants &amp; Experiences</w:t>
            </w:r>
          </w:p>
        </w:tc>
        <w:tc>
          <w:tcPr>
            <w:tcW w:type="dxa" w:w="4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Unit economics across three very different business models</w:t>
            </w:r>
          </w:p>
        </w:tc>
      </w:tr>
    </w:tbl>
    <w:p>
      <w:pPr>
        <w:spacing w:after="0" w:before="8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The next step — when you are ready — is to take these frameworks into your Stocks project (github.com/wil1696/Stocks) and begin implementing the metrics that matter most for each company type into your data pipeline and dashboard. The frameworks you now have are the conceptual foundation; the code will make them operational at scale.</w:t>
      </w:r>
    </w:p>
    <w:p>
      <w:pPr>
        <w:spacing w:after="0" w:before="80"/>
      </w:pPr>
      <w:r>
        <w:t xml:space="preserve"/>
      </w:r>
    </w:p>
    <w:p>
      <w:pPr>
        <w:shd w:fill="1F3864" w:val="clear"/>
        <w:spacing w:after="240" w:before="240"/>
        <w:jc w:val="center"/>
      </w:pPr>
      <w:r>
        <w:rPr>
          <w:rFonts w:ascii="Calibri" w:cs="Calibri" w:eastAsia="Calibri" w:hAnsi="Calibri"/>
          <w:b w:val="false"/>
          <w:bCs w:val="false"/>
          <w:i/>
          <w:iCs/>
          <w:color w:val="BDD7EE"/>
          <w:sz w:val="20"/>
          <w:szCs w:val="20"/>
        </w:rPr>
        <w:t xml:space="preserve">Consumer Discretionary Deep-Dive  ·  Part 3 of 3  ·  Investment Framework Series  ·  Complete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Calibri" w:cs="Calibri" w:eastAsia="Calibri" w:hAnsi="Calibri"/>
      <w:b/>
      <w:bCs/>
      <w:color w:val="FFFFFF"/>
      <w:sz w:val="40"/>
      <w:szCs w:val="40"/>
    </w:rPr>
  </w:style>
  <w:style w:type="paragraph" w:styleId="Heading2">
    <w:name w:val="Heading 2"/>
    <w:basedOn w:val="Normal"/>
    <w:next w:val="Normal"/>
    <w:qFormat/>
    <w:pPr>
      <w:spacing w:after="120" w:before="320"/>
      <w:outlineLvl w:val="1"/>
    </w:pPr>
    <w:rPr>
      <w:rFonts w:ascii="Calibri" w:cs="Calibri" w:eastAsia="Calibri" w:hAnsi="Calibri"/>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2026-05-16T11:41:07.577Z</dcterms:created>
  <dcterms:modified xsi:type="dcterms:W3CDTF">2026-05-16T11:41:07.591Z</dcterms:modified>
</cp:coreProperties>
</file>

<file path=docProps/custom.xml><?xml version="1.0" encoding="utf-8"?>
<Properties xmlns="http://schemas.openxmlformats.org/officeDocument/2006/custom-properties" xmlns:vt="http://schemas.openxmlformats.org/officeDocument/2006/docPropsVTypes"/>
</file>