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0" w:before="0"/>
        <w:jc w:val="center"/>
      </w:pPr>
      <w:r>
        <w:rPr>
          <w:rFonts w:ascii="Calibri" w:cs="Calibri" w:eastAsia="Calibri" w:hAnsi="Calibri"/>
          <w:b/>
          <w:bCs/>
          <w:i w:val="false"/>
          <w:iCs w:val="false"/>
          <w:color w:val="2E75B6"/>
          <w:sz w:val="28"/>
          <w:szCs w:val="28"/>
        </w:rPr>
        <w:t xml:space="preserve">SECTOR DEEP-DIVE</w:t>
      </w:r>
    </w:p>
    <w:p>
      <w:pPr>
        <w:spacing w:after="0" w:before="60"/>
        <w:jc w:val="center"/>
      </w:pPr>
      <w:r>
        <w:rPr>
          <w:rFonts w:ascii="Calibri" w:cs="Calibri" w:eastAsia="Calibri" w:hAnsi="Calibri"/>
          <w:b/>
          <w:bCs/>
          <w:i w:val="false"/>
          <w:iCs w:val="false"/>
          <w:color w:val="1F3864"/>
          <w:sz w:val="72"/>
          <w:szCs w:val="72"/>
        </w:rPr>
        <w:t xml:space="preserve">TECHNOLOGY</w:t>
      </w:r>
    </w:p>
    <w:p>
      <w:pPr>
        <w:spacing w:after="300" w:before="0"/>
        <w:jc w:val="center"/>
      </w:pPr>
      <w:r>
        <w:rPr>
          <w:rFonts w:ascii="Calibri" w:cs="Calibri" w:eastAsia="Calibri" w:hAnsi="Calibri"/>
          <w:b w:val="false"/>
          <w:bCs w:val="false"/>
          <w:i/>
          <w:iCs/>
          <w:color w:val="2E75B6"/>
          <w:sz w:val="28"/>
          <w:szCs w:val="28"/>
        </w:rPr>
        <w:t xml:space="preserve">Software / SaaS  ·  Semiconductors &amp; Hardware</w:t>
      </w:r>
    </w:p>
    <w:p>
      <w:pPr>
        <w:shd w:fill="1F3864" w:val="clear"/>
        <w:spacing w:after="0" w:before="0"/>
        <w:jc w:val="center"/>
      </w:pPr>
      <w:r>
        <w:rPr>
          <w:rFonts w:ascii="Calibri" w:cs="Calibri" w:eastAsia="Calibri" w:hAnsi="Calibri"/>
          <w:b w:val="false"/>
          <w:bCs w:val="false"/>
          <w:i w:val="false"/>
          <w:iCs w:val="false"/>
          <w:color w:val="404040"/>
          <w:sz w:val="6"/>
          <w:szCs w:val="6"/>
        </w:rPr>
        <w:t xml:space="preserve">  </w:t>
      </w:r>
    </w:p>
    <w:p>
      <w:pPr>
        <w:spacing w:after="0" w:before="60"/>
      </w:pPr>
      <w:r>
        <w:t xml:space="preserve"/>
      </w:r>
    </w:p>
    <w:p>
      <w:pPr>
        <w:spacing w:after="80" w:before="120"/>
        <w:jc w:val="center"/>
      </w:pPr>
      <w:r>
        <w:rPr>
          <w:rFonts w:ascii="Calibri" w:cs="Calibri" w:eastAsia="Calibri" w:hAnsi="Calibri"/>
          <w:b w:val="false"/>
          <w:bCs w:val="false"/>
          <w:i/>
          <w:iCs/>
          <w:color w:val="2E75B6"/>
          <w:sz w:val="26"/>
          <w:szCs w:val="26"/>
        </w:rPr>
        <w:t xml:space="preserve">How to identify genuinely undervalued technology companies</w:t>
      </w:r>
    </w:p>
    <w:p>
      <w:pPr>
        <w:spacing w:after="500" w:before="0"/>
        <w:jc w:val="center"/>
      </w:pPr>
      <w:r>
        <w:rPr>
          <w:rFonts w:ascii="Calibri" w:cs="Calibri" w:eastAsia="Calibri" w:hAnsi="Calibri"/>
          <w:b w:val="false"/>
          <w:bCs w:val="false"/>
          <w:i w:val="false"/>
          <w:iCs w:val="false"/>
          <w:color w:val="404040"/>
          <w:sz w:val="22"/>
          <w:szCs w:val="22"/>
        </w:rPr>
        <w:t xml:space="preserve">Part 1 of 3  ·  Investment Framework Series  ·  US, Canada &amp; UK Markets</w:t>
      </w:r>
    </w:p>
    <w:p>
      <w:pPr>
        <w:spacing w:after="0" w:before="500"/>
      </w:pPr>
      <w:r>
        <w:t xml:space="preserve"/>
      </w:r>
    </w:p>
    <w:p>
      <w:pPr>
        <w:spacing w:after="0" w:before="0"/>
        <w:jc w:val="center"/>
      </w:pPr>
      <w:r>
        <w:rPr>
          <w:rFonts w:ascii="Calibri" w:cs="Calibri" w:eastAsia="Calibri" w:hAnsi="Calibri"/>
          <w:b w:val="false"/>
          <w:bCs w:val="false"/>
          <w:i/>
          <w:iCs/>
          <w:color w:val="404040"/>
          <w:sz w:val="20"/>
          <w:szCs w:val="20"/>
        </w:rPr>
        <w:t xml:space="preserve">Based on Investment Valuation Framework v2</w:t>
      </w:r>
    </w:p>
    <w:p>
      <w:r>
        <w:br w:type="page"/>
      </w:r>
    </w:p>
    <w:p>
      <w:pPr>
        <w:pStyle w:val="Heading1"/>
        <w:shd w:fill="1F3864" w:val="clear"/>
        <w:spacing w:after="180" w:before="400"/>
        <w:ind w:left="240"/>
      </w:pPr>
      <w:r>
        <w:rPr>
          <w:rFonts w:ascii="Calibri" w:cs="Calibri" w:eastAsia="Calibri" w:hAnsi="Calibri"/>
          <w:b/>
          <w:bCs/>
          <w:color w:val="FFFFFF"/>
          <w:sz w:val="40"/>
          <w:szCs w:val="40"/>
        </w:rPr>
        <w:t xml:space="preserve">Why Technology Is Different</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Technology is the most analytically demanding sector for one simple reason: the metrics that make a company look profitable are often not the metrics that predict future value. A software company can look expensive on P/E, cheap on EV/Revenue, unprofitable on GAAP earnings, and highly profitable on free cash flow — all at the same time. Each of those statements can be true simultaneously and yet tell completely different stories.</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investor who learns to read the right metrics at the right time has a significant edge over the majority of market participants who apply one metric indiscriminately across the entire sector.</w:t>
      </w:r>
    </w:p>
    <w:p>
      <w:pPr>
        <w:spacing w:after="0" w:before="80"/>
      </w:pPr>
      <w:r>
        <w:t xml:space="preserve"/>
      </w:r>
    </w:p>
    <w:p>
      <w:pPr>
        <w:pBdr>
          <w:left w:val="single" w:color="2E75B6" w:sz="22" w:space="10"/>
        </w:pBdr>
        <w:shd w:fill="DEEAF1" w:val="clear"/>
        <w:spacing w:after="140" w:before="140" w:line="288"/>
        <w:ind w:left="440" w:right="440"/>
      </w:pPr>
      <w:r>
        <w:rPr>
          <w:rFonts w:ascii="Calibri" w:cs="Calibri" w:eastAsia="Calibri" w:hAnsi="Calibri"/>
          <w:i/>
          <w:iCs/>
          <w:color w:val="1F3864"/>
          <w:sz w:val="21"/>
          <w:szCs w:val="21"/>
        </w:rPr>
        <w:t xml:space="preserve">The most important insight in technology investing: the income statement is often the least useful document. The cash flow statement and the unit economics of the business model tell you far more about real value than reported earnings ever will.</w:t>
      </w:r>
    </w:p>
    <w:p>
      <w:pPr>
        <w:spacing w:after="0" w:before="80"/>
      </w:pPr>
      <w:r>
        <w:t xml:space="preserve"/>
      </w:r>
    </w:p>
    <w:p>
      <w:pPr>
        <w:spacing w:after="80" w:before="240"/>
      </w:pPr>
      <w:r>
        <w:rPr>
          <w:rFonts w:ascii="Calibri" w:cs="Calibri" w:eastAsia="Calibri" w:hAnsi="Calibri"/>
          <w:b/>
          <w:bCs/>
          <w:color w:val="2E75B6"/>
          <w:sz w:val="25"/>
          <w:szCs w:val="25"/>
        </w:rPr>
        <w:t xml:space="preserve">Two Sectors in One Label</w:t>
      </w:r>
    </w:p>
    <w:p>
      <w:pPr>
        <w:spacing w:after="60" w:before="60" w:line="300"/>
        <w:jc w:val="left"/>
      </w:pPr>
      <w:r>
        <w:rPr>
          <w:rFonts w:ascii="Calibri" w:cs="Calibri" w:eastAsia="Calibri" w:hAnsi="Calibri"/>
          <w:b w:val="false"/>
          <w:bCs w:val="false"/>
          <w:i w:val="false"/>
          <w:iCs w:val="false"/>
          <w:color w:val="404040"/>
          <w:sz w:val="22"/>
          <w:szCs w:val="22"/>
        </w:rPr>
        <w:t xml:space="preserve">Within the Technology GICS sector you have selected two company types that require completely different analytical frameworks:</w:t>
      </w:r>
    </w:p>
    <w:p>
      <w:pPr>
        <w:spacing w:after="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Software / SaaS</w:t>
            </w:r>
          </w:p>
        </w:tc>
        <w:tc>
          <w:tcPr>
            <w:tcW w:type="dxa" w:w="4400"/>
            <w:tcBorders>
              <w:top w:val="single" w:color="CCCCCC" w:sz="4"/>
              <w:left w:val="single" w:color="CCCCCC" w:sz="4"/>
              <w:bottom w:val="single" w:color="CCCCCC" w:sz="4"/>
              <w:right w:val="single" w:color="CCCCCC" w:sz="4"/>
            </w:tcBorders>
            <w:shd w:fill="1B3A5C"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Semiconductors &amp; Hardware</w:t>
            </w:r>
          </w:p>
        </w:tc>
      </w:tr>
      <w:tr>
        <w:tc>
          <w:tcPr>
            <w:tcW w:type="dxa" w:w="4400"/>
            <w:tcBorders>
              <w:top w:val="single" w:color="CCCCCC" w:sz="4"/>
              <w:left w:val="single" w:color="CCCCCC" w:sz="4"/>
              <w:bottom w:val="single" w:color="CCCCCC" w:sz="4"/>
              <w:right w:val="single" w:color="CCCCCC" w:sz="4"/>
            </w:tcBorders>
            <w:shd w:fill="DEEAF1"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1F3864"/>
                <w:sz w:val="20"/>
                <w:szCs w:val="20"/>
              </w:rPr>
              <w:t xml:space="preserve">Asset-light. Sells the same code to millions of customers. Margins expand dramatically as revenue scales. The primary value driver is recurring revenue and customer retention.</w:t>
            </w:r>
          </w:p>
        </w:tc>
        <w:tc>
          <w:tcPr>
            <w:tcW w:type="dxa" w:w="4400"/>
            <w:tcBorders>
              <w:top w:val="single" w:color="CCCCCC" w:sz="4"/>
              <w:left w:val="single" w:color="CCCCCC" w:sz="4"/>
              <w:bottom w:val="single" w:color="CCCCCC" w:sz="4"/>
              <w:right w:val="single" w:color="CCCCCC" w:sz="4"/>
            </w:tcBorders>
            <w:shd w:fill="E8EEF4"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2C3E50"/>
                <w:sz w:val="20"/>
                <w:szCs w:val="20"/>
              </w:rPr>
              <w:t xml:space="preserve">Asset-heavy. Physical manufacturing, expensive fabs, long R&amp;D cycles. Margins swing wildly with the semiconductor demand cycle. The primary value driver is cycle positioning and cost leadership.</w:t>
            </w:r>
          </w:p>
        </w:tc>
      </w:tr>
      <w:tr>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Valued on: Revenue multiples, Rule of 40, NRR, FCF margin trajectory</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B3A5C"/>
                <w:sz w:val="20"/>
                <w:szCs w:val="20"/>
              </w:rPr>
              <w:t xml:space="preserve">Valued on: Mid-cycle EV/EBITDA, P/OCF normalised, replacement cost</w:t>
            </w:r>
          </w:p>
        </w:tc>
      </w:tr>
      <w:tr>
        <w:tc>
          <w:tcPr>
            <w:tcW w:type="dxa" w:w="4400"/>
            <w:tcBorders>
              <w:top w:val="single" w:color="CCCCCC" w:sz="4"/>
              <w:left w:val="single" w:color="CCCCCC" w:sz="4"/>
              <w:bottom w:val="single" w:color="CCCCCC" w:sz="4"/>
              <w:right w:val="single" w:color="CCCCCC" w:sz="4"/>
            </w:tcBorders>
            <w:shd w:fill="FFCCCC"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iCs/>
                <w:color w:val="C00000"/>
                <w:sz w:val="19"/>
                <w:szCs w:val="19"/>
              </w:rPr>
              <w:t xml:space="preserve">Biggest mistake: Using P/E or GAAP earnings to judge a SaaS company</w:t>
            </w:r>
          </w:p>
        </w:tc>
        <w:tc>
          <w:tcPr>
            <w:tcW w:type="dxa" w:w="4400"/>
            <w:tcBorders>
              <w:top w:val="single" w:color="CCCCCC" w:sz="4"/>
              <w:left w:val="single" w:color="CCCCCC" w:sz="4"/>
              <w:bottom w:val="single" w:color="CCCCCC" w:sz="4"/>
              <w:right w:val="single" w:color="CCCCCC" w:sz="4"/>
            </w:tcBorders>
            <w:shd w:fill="FFCCCC"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iCs/>
                <w:color w:val="C00000"/>
                <w:sz w:val="19"/>
                <w:szCs w:val="19"/>
              </w:rPr>
              <w:t xml:space="preserve">Biggest mistake: Buying at a low P/E when earnings are at a cycle peak</w:t>
            </w:r>
          </w:p>
        </w:tc>
      </w:tr>
    </w:tbl>
    <w:p>
      <w:pPr>
        <w:spacing w:after="0" w:before="8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This document covers each type in full depth. We start with Software/SaaS because it is the more nuanced analytically, then move to Semiconductors &amp; Hardware.</w:t>
      </w:r>
    </w:p>
    <w:p>
      <w:r>
        <w:br w:type="page"/>
      </w:r>
    </w:p>
    <w:p>
      <w:pPr>
        <w:pStyle w:val="Heading1"/>
        <w:shd w:fill="2E75B6" w:val="clear"/>
        <w:spacing w:after="180" w:before="400"/>
        <w:ind w:left="240"/>
      </w:pPr>
      <w:r>
        <w:rPr>
          <w:rFonts w:ascii="Calibri" w:cs="Calibri" w:eastAsia="Calibri" w:hAnsi="Calibri"/>
          <w:b/>
          <w:bCs/>
          <w:color w:val="FFFFFF"/>
          <w:sz w:val="40"/>
          <w:szCs w:val="40"/>
        </w:rPr>
        <w:t xml:space="preserve">Part 1 — Software / SaaS</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Software-as-a-Service companies sell access to their product on a subscription basis — monthly or annual recurring contracts — rather than one-time licences. This model creates highly predictable, compounding revenue streams, which is why SaaS companies can justify premium valuations. The core analytical challenge is that traditional accounting obscures this value: large upfront customer acquisition costs are expensed immediately while the revenue from those customers arrives over years.</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How to Read a SaaS Income Statement</w:t>
      </w:r>
    </w:p>
    <w:p>
      <w:pPr>
        <w:spacing w:after="60" w:before="60" w:line="300"/>
        <w:jc w:val="left"/>
      </w:pPr>
      <w:r>
        <w:rPr>
          <w:rFonts w:ascii="Calibri" w:cs="Calibri" w:eastAsia="Calibri" w:hAnsi="Calibri"/>
          <w:b w:val="false"/>
          <w:bCs w:val="false"/>
          <w:i w:val="false"/>
          <w:iCs w:val="false"/>
          <w:color w:val="404040"/>
          <w:sz w:val="22"/>
          <w:szCs w:val="22"/>
        </w:rPr>
        <w:t xml:space="preserve">The GAAP income statement of a SaaS company is structurally designed to make the company look less profitable than it is — at least during its growth phase. Here is why, and what to do about it.</w:t>
      </w:r>
    </w:p>
    <w:p>
      <w:pPr>
        <w:spacing w:after="0" w:before="6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200"/>
        <w:gridCol w:w="3100"/>
      </w:tblGrid>
      <w:tr>
        <w:tc>
          <w:tcPr>
            <w:tcW w:type="dxa" w:w="19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Income Statement Line</w:t>
            </w:r>
          </w:p>
        </w:tc>
        <w:tc>
          <w:tcPr>
            <w:tcW w:type="dxa" w:w="17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It Shows</w:t>
            </w:r>
          </w:p>
        </w:tc>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The Problem</w:t>
            </w:r>
          </w:p>
        </w:tc>
        <w:tc>
          <w:tcPr>
            <w:tcW w:type="dxa" w:w="31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to Look For Instead</w:t>
            </w:r>
          </w:p>
        </w:tc>
      </w:tr>
      <w:tr>
        <w:tc>
          <w:tcPr>
            <w:tcW w:type="dxa" w:w="1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w:t>
            </w:r>
          </w:p>
        </w:tc>
        <w:tc>
          <w:tcPr>
            <w:tcW w:type="dxa" w:w="17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Total recognised revenue in the period</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Understates true demand because multi-year contracts are spread across periods</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ARR / MRR growth — forward-looking revenue committed but not yet recognised</w:t>
            </w:r>
          </w:p>
        </w:tc>
      </w:tr>
      <w:tr>
        <w:tc>
          <w:tcPr>
            <w:tcW w:type="dxa" w:w="1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Gross Profit</w:t>
            </w:r>
          </w:p>
        </w:tc>
        <w:tc>
          <w:tcPr>
            <w:tcW w:type="dxa" w:w="17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minus cost of goods sold (hosting, support)</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Generally reliable — gross margin is one of the most important SaaS metrics</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Gross margin ≥ 70–80% for software; 50–65% for infrastructure/platforms</w:t>
            </w:r>
          </w:p>
        </w:tc>
      </w:tr>
      <w:tr>
        <w:tc>
          <w:tcPr>
            <w:tcW w:type="dxa" w:w="1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Sales &amp; Marketing Expense</w:t>
            </w:r>
          </w:p>
        </w:tc>
        <w:tc>
          <w:tcPr>
            <w:tcW w:type="dxa" w:w="17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Cost of acquiring new customers</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Expensed immediately even though the customer will pay for years — makes early-stage SaaS look unprofitable</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CAC payback period and LTV/CAC ratio — how long to recoup acquisition cost</w:t>
            </w:r>
          </w:p>
        </w:tc>
      </w:tr>
      <w:tr>
        <w:tc>
          <w:tcPr>
            <w:tcW w:type="dxa" w:w="1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R&amp;D Expense</w:t>
            </w:r>
          </w:p>
        </w:tc>
        <w:tc>
          <w:tcPr>
            <w:tcW w:type="dxa" w:w="17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Engineering and product development costs</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Also expensed immediately even though code has a useful life of several years</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Track R&amp;D as % of revenue — should decline as revenue scales (operating leverage)</w:t>
            </w:r>
          </w:p>
        </w:tc>
      </w:tr>
      <w:tr>
        <w:tc>
          <w:tcPr>
            <w:tcW w:type="dxa" w:w="1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Stock-Based Compensation</w:t>
            </w:r>
          </w:p>
        </w:tc>
        <w:tc>
          <w:tcPr>
            <w:tcW w:type="dxa" w:w="17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Equity paid to employees instead of cash</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Excluded from Non-GAAP earnings — but it is a real cost to shareholders</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Always add SBC back to see true cash cost; SBC &gt; 15% of revenue is a warning</w:t>
            </w:r>
          </w:p>
        </w:tc>
      </w:tr>
      <w:tr>
        <w:tc>
          <w:tcPr>
            <w:tcW w:type="dxa" w:w="1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Operating Income (GAAP)</w:t>
            </w:r>
          </w:p>
        </w:tc>
        <w:tc>
          <w:tcPr>
            <w:tcW w:type="dxa" w:w="17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minus all expenses including SBC</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Can be deeply negative even for a healthy, cash-generative SaaS business</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Look at FCF margin (Free Cash Flow / Revenue) instead of operating margin</w:t>
            </w:r>
          </w:p>
        </w:tc>
      </w:tr>
      <w:tr>
        <w:tc>
          <w:tcPr>
            <w:tcW w:type="dxa" w:w="1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Net Income</w:t>
            </w:r>
          </w:p>
        </w:tc>
        <w:tc>
          <w:tcPr>
            <w:tcW w:type="dxa" w:w="17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Bottom line profit</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Often negative and meaningless for growth-stage SaaS</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Irrelevant — focus on FCF, ARR growth, and unit economics</w:t>
            </w:r>
          </w:p>
        </w:tc>
      </w:tr>
    </w:tbl>
    <w:p>
      <w:pPr>
        <w:spacing w:after="0" w:before="80"/>
      </w:pPr>
      <w:r>
        <w:t xml:space="preserve"/>
      </w:r>
    </w:p>
    <w:p>
      <w:pPr>
        <w:pBdr>
          <w:left w:val="single" w:color="2E75B6" w:sz="22" w:space="10"/>
        </w:pBdr>
        <w:shd w:fill="DEEAF1" w:val="clear"/>
        <w:spacing w:after="140" w:before="140" w:line="288"/>
        <w:ind w:left="440" w:right="440"/>
      </w:pPr>
      <w:r>
        <w:rPr>
          <w:rFonts w:ascii="Calibri" w:cs="Calibri" w:eastAsia="Calibri" w:hAnsi="Calibri"/>
          <w:i/>
          <w:iCs/>
          <w:color w:val="1F3864"/>
          <w:sz w:val="21"/>
          <w:szCs w:val="21"/>
        </w:rPr>
        <w:t xml:space="preserve">The key reframe: a SaaS company that is 'losing money' on the income statement may be extremely healthy if it has high gross margins, low customer churn, strong NRR, and improving FCF margins. The losses are often the accounting result of aggressively acquiring customers who will generate revenue for 5–10 years.</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6 Metrics That Actually Predict SaaS Value</w:t>
      </w:r>
    </w:p>
    <w:p>
      <w:pPr>
        <w:spacing w:after="60" w:before="60" w:line="300"/>
        <w:jc w:val="left"/>
      </w:pPr>
      <w:r>
        <w:rPr>
          <w:rFonts w:ascii="Calibri" w:cs="Calibri" w:eastAsia="Calibri" w:hAnsi="Calibri"/>
          <w:b w:val="false"/>
          <w:bCs w:val="false"/>
          <w:i w:val="false"/>
          <w:iCs w:val="false"/>
          <w:color w:val="404040"/>
          <w:sz w:val="22"/>
          <w:szCs w:val="22"/>
        </w:rPr>
        <w:t xml:space="preserve">These are the metrics that matter. Not P/E. Not GAAP earnings. These six metrics, read together, tell you whether a SaaS business is genuinely valuable and whether it is undervalued by the market.</w:t>
      </w:r>
    </w:p>
    <w:p>
      <w:pPr>
        <w:spacing w:after="0" w:before="80"/>
      </w:pPr>
      <w:r>
        <w:t xml:space="preserve"/>
      </w:r>
    </w:p>
    <w:p>
      <w:pPr>
        <w:spacing w:after="80" w:before="240"/>
      </w:pPr>
      <w:r>
        <w:rPr>
          <w:rFonts w:ascii="Calibri" w:cs="Calibri" w:eastAsia="Calibri" w:hAnsi="Calibri"/>
          <w:b/>
          <w:bCs/>
          <w:color w:val="2E75B6"/>
          <w:sz w:val="25"/>
          <w:szCs w:val="25"/>
        </w:rPr>
        <w:t xml:space="preserve">1. Annual Recurring Revenue (ARR) &amp; Growth Rate</w:t>
      </w:r>
    </w:p>
    <w:p>
      <w:pPr>
        <w:spacing w:after="60" w:before="60" w:line="300"/>
        <w:jc w:val="left"/>
      </w:pPr>
      <w:r>
        <w:rPr>
          <w:rFonts w:ascii="Calibri" w:cs="Calibri" w:eastAsia="Calibri" w:hAnsi="Calibri"/>
          <w:b w:val="false"/>
          <w:bCs w:val="false"/>
          <w:i w:val="false"/>
          <w:iCs w:val="false"/>
          <w:color w:val="404040"/>
          <w:sz w:val="22"/>
          <w:szCs w:val="22"/>
        </w:rPr>
        <w:t xml:space="preserve">ARR is the annualised value of all active subscription contracts. It is the single most important top-line metric because it represents committed, predictable future revenue — unlike product revenue which can disappear next quarter.</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400"/>
      </w:tblGrid>
      <w:tr>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to Measure</w:t>
            </w:r>
          </w:p>
        </w:tc>
        <w:tc>
          <w:tcPr>
            <w:tcW w:type="dxa" w:w="2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Healthy Range</w:t>
            </w:r>
          </w:p>
        </w:tc>
        <w:tc>
          <w:tcPr>
            <w:tcW w:type="dxa" w:w="3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Warning Signs</w:t>
            </w:r>
          </w:p>
        </w:tc>
      </w:tr>
      <w:tr>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ARR growth rate (YoY)</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20% for growth stage / ≥ 10% for mature</w:t>
            </w:r>
          </w:p>
        </w:tc>
        <w:tc>
          <w:tcPr>
            <w:tcW w:type="dxa" w:w="3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Deceleration from 40% → 25% → 15% — each step triggers multiple compression</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New ARR added per quarter</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or stable</w:t>
            </w:r>
          </w:p>
        </w:tc>
        <w:tc>
          <w:tcPr>
            <w:tcW w:type="dxa" w:w="3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new ARR means the sales engine is losing efficiency or TAM is saturating</w:t>
            </w:r>
          </w:p>
        </w:tc>
      </w:tr>
      <w:tr>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ARR per employee</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over time</w:t>
            </w:r>
          </w:p>
        </w:tc>
        <w:tc>
          <w:tcPr>
            <w:tcW w:type="dxa" w:w="3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Flat or declining ARR/employee means headcount is growing faster than revenue — a profitability warning</w:t>
            </w:r>
          </w:p>
        </w:tc>
      </w:tr>
    </w:tbl>
    <w:p>
      <w:pPr>
        <w:spacing w:after="0" w:before="80"/>
      </w:pPr>
      <w:r>
        <w:t xml:space="preserve"/>
      </w:r>
    </w:p>
    <w:p>
      <w:pPr>
        <w:spacing w:after="80" w:before="240"/>
      </w:pPr>
      <w:r>
        <w:rPr>
          <w:rFonts w:ascii="Calibri" w:cs="Calibri" w:eastAsia="Calibri" w:hAnsi="Calibri"/>
          <w:b/>
          <w:bCs/>
          <w:color w:val="2E75B6"/>
          <w:sz w:val="25"/>
          <w:szCs w:val="25"/>
        </w:rPr>
        <w:t xml:space="preserve">2. Net Revenue Retention (NRR) — The Single Most Important SaaS Metric</w:t>
      </w:r>
    </w:p>
    <w:p>
      <w:pPr>
        <w:spacing w:after="60" w:before="60" w:line="300"/>
        <w:jc w:val="left"/>
      </w:pPr>
      <w:r>
        <w:rPr>
          <w:rFonts w:ascii="Calibri" w:cs="Calibri" w:eastAsia="Calibri" w:hAnsi="Calibri"/>
          <w:b w:val="false"/>
          <w:bCs w:val="false"/>
          <w:i w:val="false"/>
          <w:iCs w:val="false"/>
          <w:color w:val="404040"/>
          <w:sz w:val="22"/>
          <w:szCs w:val="22"/>
        </w:rPr>
        <w:t xml:space="preserve">NRR measures how much revenue you retain and grow from your existing customer base, after accounting for upgrades, downgrades, and churn. It is calculated as:</w:t>
      </w:r>
    </w:p>
    <w:p>
      <w:pPr>
        <w:spacing w:after="0" w:before="40"/>
      </w:pPr>
      <w:r>
        <w:t xml:space="preserve"/>
      </w:r>
    </w:p>
    <w:p>
      <w:pPr>
        <w:pBdr>
          <w:left w:val="single" w:color="1B3A5C" w:sz="22" w:space="10"/>
        </w:pBdr>
        <w:shd w:fill="E8EEF4" w:val="clear"/>
        <w:spacing w:after="140" w:before="140" w:line="288"/>
        <w:ind w:left="440" w:right="440"/>
      </w:pPr>
      <w:r>
        <w:rPr>
          <w:rFonts w:ascii="Calibri" w:cs="Calibri" w:eastAsia="Calibri" w:hAnsi="Calibri"/>
          <w:i/>
          <w:iCs/>
          <w:color w:val="2C3E50"/>
          <w:sz w:val="21"/>
          <w:szCs w:val="21"/>
        </w:rPr>
        <w:t xml:space="preserve">NRR = (Beginning ARR + Expansion ARR – Contraction ARR – Churned ARR) / Beginning ARR × 100</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An NRR above 100% means the company grows revenue from existing customers alone — even with zero new customer acquisition. This is the holy grail of SaaS economics and is the primary justification for premium multiples.</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3800"/>
      </w:tblGrid>
      <w:tr>
        <w:tc>
          <w:tcPr>
            <w:tcW w:type="dxa" w:w="1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NRR Level</w:t>
            </w:r>
          </w:p>
        </w:tc>
        <w:tc>
          <w:tcPr>
            <w:tcW w:type="dxa" w:w="3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It Means</w:t>
            </w:r>
          </w:p>
        </w:tc>
        <w:tc>
          <w:tcPr>
            <w:tcW w:type="dxa" w:w="3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Typical Companies</w:t>
            </w:r>
          </w:p>
        </w:tc>
      </w:tr>
      <w:tr>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 130%</w:t>
            </w:r>
          </w:p>
        </w:tc>
        <w:tc>
          <w:tcPr>
            <w:tcW w:type="dxa" w:w="3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Exceptional — existing customers dramatically expanding usage</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Snowflake, Datadog, early Salesforce</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110–130%</w:t>
            </w:r>
          </w:p>
        </w:tc>
        <w:tc>
          <w:tcPr>
            <w:tcW w:type="dxa" w:w="3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Strong — healthy expansion from existing base; world-class retention</w:t>
            </w:r>
          </w:p>
        </w:tc>
        <w:tc>
          <w:tcPr>
            <w:tcW w:type="dxa" w:w="3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Workday, ServiceNow, HubSpot</w:t>
            </w:r>
          </w:p>
        </w:tc>
      </w:tr>
      <w:tr>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100–110%</w:t>
            </w:r>
          </w:p>
        </w:tc>
        <w:tc>
          <w:tcPr>
            <w:tcW w:type="dxa" w:w="3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Good — retention is solid but limited upsell</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Most mature SaaS companies</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&lt; 100%</w:t>
            </w:r>
          </w:p>
        </w:tc>
        <w:tc>
          <w:tcPr>
            <w:tcW w:type="dxa" w:w="3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Warning — churn exceeds expansion; revenue base is shrinking from within</w:t>
            </w:r>
          </w:p>
        </w:tc>
        <w:tc>
          <w:tcPr>
            <w:tcW w:type="dxa" w:w="3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Struggling SaaS businesses; often precedes significant deceleration</w:t>
            </w:r>
          </w:p>
        </w:tc>
      </w:tr>
      <w:tr>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&lt; 90%</w:t>
            </w:r>
          </w:p>
        </w:tc>
        <w:tc>
          <w:tcPr>
            <w:tcW w:type="dxa" w:w="3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Serious problem — the business is leaking customers faster than it can add</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Requires immediate diagnosis — is it product, pricing, or competition?</w:t>
            </w:r>
          </w:p>
        </w:tc>
      </w:tr>
    </w:tbl>
    <w:p>
      <w:pPr>
        <w:spacing w:after="0" w:before="80"/>
      </w:pPr>
      <w:r>
        <w:t xml:space="preserve"/>
      </w:r>
    </w:p>
    <w:p>
      <w:pPr>
        <w:spacing w:after="80" w:before="240"/>
      </w:pPr>
      <w:r>
        <w:rPr>
          <w:rFonts w:ascii="Calibri" w:cs="Calibri" w:eastAsia="Calibri" w:hAnsi="Calibri"/>
          <w:b/>
          <w:bCs/>
          <w:color w:val="2E75B6"/>
          <w:sz w:val="25"/>
          <w:szCs w:val="25"/>
        </w:rPr>
        <w:t xml:space="preserve">3. Gross Margin — The Long-Term FCF Predictor</w:t>
      </w:r>
    </w:p>
    <w:p>
      <w:pPr>
        <w:spacing w:after="60" w:before="60" w:line="300"/>
        <w:jc w:val="left"/>
      </w:pPr>
      <w:r>
        <w:rPr>
          <w:rFonts w:ascii="Calibri" w:cs="Calibri" w:eastAsia="Calibri" w:hAnsi="Calibri"/>
          <w:b w:val="false"/>
          <w:bCs w:val="false"/>
          <w:i w:val="false"/>
          <w:iCs w:val="false"/>
          <w:color w:val="404040"/>
          <w:sz w:val="22"/>
          <w:szCs w:val="22"/>
        </w:rPr>
        <w:t xml:space="preserve">Gross margin is the percentage of revenue remaining after the direct cost of delivering the service (hosting, support, infrastructure). It is the single best predictor of what FCF margin will look like at scale — because operating expenses (S&amp;M, R&amp;D, G&amp;A) converge toward gross margin over time as revenue grows.</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000"/>
      </w:tblGrid>
      <w:tr>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Company Type</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Target Gross Margin</w:t>
            </w:r>
          </w:p>
        </w:tc>
        <w:tc>
          <w:tcPr>
            <w:tcW w:type="dxa" w:w="4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Why</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Pure software (SaaS)</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70–85%</w:t>
            </w:r>
          </w:p>
        </w:tc>
        <w:tc>
          <w:tcPr>
            <w:tcW w:type="dxa" w:w="4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physical delivery cost — margin expands as servers are shared across more customers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Infrastructure / cloud platforms</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55–70%</w:t>
            </w:r>
          </w:p>
        </w:tc>
        <w:tc>
          <w:tcPr>
            <w:tcW w:type="dxa" w:w="4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Higher hosting and bandwidth costs than pure software</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Marketplace / transaction</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40–60%</w:t>
            </w:r>
          </w:p>
        </w:tc>
        <w:tc>
          <w:tcPr>
            <w:tcW w:type="dxa" w:w="4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Payment processing and marketplace fees reduce margin</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Hardware + software (hybrid)</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40–55%</w:t>
            </w:r>
          </w:p>
        </w:tc>
        <w:tc>
          <w:tcPr>
            <w:tcW w:type="dxa" w:w="4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Physical manufacturing costs anchor the floor</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Below 40% (software)</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Red flag</w:t>
            </w:r>
          </w:p>
        </w:tc>
        <w:tc>
          <w:tcPr>
            <w:tcW w:type="dxa" w:w="4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Unit economics may never work at scale — very hard to become profitable</w:t>
            </w:r>
          </w:p>
        </w:tc>
      </w:tr>
    </w:tbl>
    <w:p>
      <w:pPr>
        <w:spacing w:after="0" w:before="40"/>
      </w:pPr>
      <w:r>
        <w:t xml:space="preserve"/>
      </w:r>
    </w:p>
    <w:p>
      <w:pPr>
        <w:pBdr>
          <w:left w:val="single" w:color="7F6000" w:sz="22" w:space="10"/>
        </w:pBdr>
        <w:shd w:fill="FFF2CC" w:val="clear"/>
        <w:spacing w:after="140" w:before="140" w:line="288"/>
        <w:ind w:left="440" w:right="440"/>
      </w:pPr>
      <w:r>
        <w:rPr>
          <w:rFonts w:ascii="Calibri" w:cs="Calibri" w:eastAsia="Calibri" w:hAnsi="Calibri"/>
          <w:i/>
          <w:iCs/>
          <w:color w:val="7F6000"/>
          <w:sz w:val="21"/>
          <w:szCs w:val="21"/>
        </w:rPr>
        <w:t xml:space="preserve">Gross margin is one of the most important things to track over time. A company whose gross margin is expanding is gaining operating leverage. A company whose gross margin is declining even as revenue grows is getting more expensive to operate — this is a serious warning, often indicating competitive pressure on pricing or rising infrastructure costs.</w:t>
      </w:r>
    </w:p>
    <w:p>
      <w:pPr>
        <w:spacing w:after="0" w:before="80"/>
      </w:pPr>
      <w:r>
        <w:t xml:space="preserve"/>
      </w:r>
    </w:p>
    <w:p>
      <w:pPr>
        <w:spacing w:after="80" w:before="240"/>
      </w:pPr>
      <w:r>
        <w:rPr>
          <w:rFonts w:ascii="Calibri" w:cs="Calibri" w:eastAsia="Calibri" w:hAnsi="Calibri"/>
          <w:b/>
          <w:bCs/>
          <w:color w:val="2E75B6"/>
          <w:sz w:val="25"/>
          <w:szCs w:val="25"/>
        </w:rPr>
        <w:t xml:space="preserve">4. Customer Acquisition Cost (CAC) Payback Period &amp; LTV/CAC Ratio</w:t>
      </w:r>
    </w:p>
    <w:p>
      <w:pPr>
        <w:spacing w:after="60" w:before="60" w:line="300"/>
        <w:jc w:val="left"/>
      </w:pPr>
      <w:r>
        <w:rPr>
          <w:rFonts w:ascii="Calibri" w:cs="Calibri" w:eastAsia="Calibri" w:hAnsi="Calibri"/>
          <w:b w:val="false"/>
          <w:bCs w:val="false"/>
          <w:i w:val="false"/>
          <w:iCs w:val="false"/>
          <w:color w:val="404040"/>
          <w:sz w:val="22"/>
          <w:szCs w:val="22"/>
        </w:rPr>
        <w:t xml:space="preserve">These two metrics together tell you whether the business model is actually working at the unit level — independent of how fast the company is growing.</w:t>
      </w:r>
    </w:p>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2800"/>
      </w:tblGrid>
      <w:tr>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Metric</w:t>
            </w:r>
          </w:p>
        </w:tc>
        <w:tc>
          <w:tcPr>
            <w:tcW w:type="dxa" w:w="2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Formula</w:t>
            </w:r>
          </w:p>
        </w:tc>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Healthy Threshold</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It Tells You</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CAC Payback Period</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Sales &amp; Marketing Spend / (New ARR × Gross Margin %)</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&lt; 18 months (best-in-class &lt; 12)</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How long until a new customer becomes profitable — shorter is better</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LTV / CAC Ratio</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Customer Lifetime Value / Customer Acquisition Cost</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3x (world-class ≥ 5x)</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For every $1 spent acquiring a customer, how many $1 of lifetime value is created</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Magic Number</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Net New ARR × 4 / Prior Quarter S&amp;M Spend</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0.75 (≥ 1.0 is exceptional)</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Sales efficiency — how much ARR is generated per dollar of S&amp;M invested</w:t>
            </w:r>
          </w:p>
        </w:tc>
      </w:tr>
    </w:tbl>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CAC payback period matters enormously in a rising rate environment. When interest rates are low, investors tolerate 24–36 month payback periods because cheap capital funds the gap. When rates are high, the market penalises companies with long payback periods heavily — which is one of the reasons SaaS valuations fell 60–80% in 2022.</w:t>
      </w:r>
    </w:p>
    <w:p>
      <w:pPr>
        <w:spacing w:after="0" w:before="80"/>
      </w:pPr>
      <w:r>
        <w:t xml:space="preserve"/>
      </w:r>
    </w:p>
    <w:p>
      <w:pPr>
        <w:spacing w:after="80" w:before="240"/>
      </w:pPr>
      <w:r>
        <w:rPr>
          <w:rFonts w:ascii="Calibri" w:cs="Calibri" w:eastAsia="Calibri" w:hAnsi="Calibri"/>
          <w:b/>
          <w:bCs/>
          <w:color w:val="2E75B6"/>
          <w:sz w:val="25"/>
          <w:szCs w:val="25"/>
        </w:rPr>
        <w:t xml:space="preserve">5. Rule of 40 — Balancing Growth and Efficiency</w:t>
      </w:r>
    </w:p>
    <w:p>
      <w:pPr>
        <w:spacing w:after="60" w:before="60" w:line="300"/>
        <w:jc w:val="left"/>
      </w:pPr>
      <w:r>
        <w:rPr>
          <w:rFonts w:ascii="Calibri" w:cs="Calibri" w:eastAsia="Calibri" w:hAnsi="Calibri"/>
          <w:b w:val="false"/>
          <w:bCs w:val="false"/>
          <w:i w:val="false"/>
          <w:iCs w:val="false"/>
          <w:color w:val="404040"/>
          <w:sz w:val="22"/>
          <w:szCs w:val="22"/>
        </w:rPr>
        <w:t xml:space="preserve">The Rule of 40 is the most widely used single-number summary of SaaS business health. It adds the revenue growth rate and the FCF margin (or operating margin) together. A score above 40 indicates a healthy balance.</w:t>
      </w:r>
    </w:p>
    <w:p>
      <w:pPr>
        <w:spacing w:after="0" w:before="40"/>
      </w:pPr>
      <w:r>
        <w:t xml:space="preserve"/>
      </w:r>
    </w:p>
    <w:p>
      <w:pPr>
        <w:pBdr>
          <w:left w:val="single" w:color="2E75B6" w:sz="22" w:space="10"/>
        </w:pBdr>
        <w:shd w:fill="DEEAF1" w:val="clear"/>
        <w:spacing w:after="140" w:before="140" w:line="288"/>
        <w:ind w:left="440" w:right="440"/>
      </w:pPr>
      <w:r>
        <w:rPr>
          <w:rFonts w:ascii="Calibri" w:cs="Calibri" w:eastAsia="Calibri" w:hAnsi="Calibri"/>
          <w:i/>
          <w:iCs/>
          <w:color w:val="1F3864"/>
          <w:sz w:val="21"/>
          <w:szCs w:val="21"/>
        </w:rPr>
        <w:t xml:space="preserve">Rule of 40 = Revenue Growth Rate (%) + FCF Margin (%)
Example: A company growing at 30% with a 15% FCF margin scores 45 — healthy.
A company growing at 15% with a -10% FCF margin scores 5 — poor.</w:t>
      </w:r>
    </w:p>
    <w:p>
      <w:pPr>
        <w:spacing w:after="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000"/>
      </w:tblGrid>
      <w:tr>
        <w:tc>
          <w:tcPr>
            <w:tcW w:type="dxa" w:w="1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Score</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Assessment</w:t>
            </w:r>
          </w:p>
        </w:tc>
        <w:tc>
          <w:tcPr>
            <w:tcW w:type="dxa" w:w="5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Typical Valuation Multiple (EV/Revenue)</w:t>
            </w:r>
          </w:p>
        </w:tc>
      </w:tr>
      <w:tr>
        <w:tc>
          <w:tcPr>
            <w:tcW w:type="dxa" w:w="1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 60</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Elite — exceptional growth AND efficiency</w:t>
            </w:r>
          </w:p>
        </w:tc>
        <w:tc>
          <w:tcPr>
            <w:tcW w:type="dxa" w:w="5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10–20x+ revenue</w:t>
            </w:r>
          </w:p>
        </w:tc>
      </w:tr>
      <w:tr>
        <w:tc>
          <w:tcPr>
            <w:tcW w:type="dxa" w:w="1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40–60</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Strong — justifies growth premium</w:t>
            </w:r>
          </w:p>
        </w:tc>
        <w:tc>
          <w:tcPr>
            <w:tcW w:type="dxa" w:w="5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6–12x revenue</w:t>
            </w:r>
          </w:p>
        </w:tc>
      </w:tr>
      <w:tr>
        <w:tc>
          <w:tcPr>
            <w:tcW w:type="dxa" w:w="1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20–40</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Average — needs improvement in growth or margins</w:t>
            </w:r>
          </w:p>
        </w:tc>
        <w:tc>
          <w:tcPr>
            <w:tcW w:type="dxa" w:w="5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3–7x revenue</w:t>
            </w:r>
          </w:p>
        </w:tc>
      </w:tr>
      <w:tr>
        <w:tc>
          <w:tcPr>
            <w:tcW w:type="dxa" w:w="1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&lt; 20</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Weak — not growing fast enough to justify losses, or margins too poor for growth rate</w:t>
            </w:r>
          </w:p>
        </w:tc>
        <w:tc>
          <w:tcPr>
            <w:tcW w:type="dxa" w:w="5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1–4x revenue</w:t>
            </w:r>
          </w:p>
        </w:tc>
      </w:tr>
      <w:tr>
        <w:tc>
          <w:tcPr>
            <w:tcW w:type="dxa" w:w="1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&lt; 0</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Serious — business is deteriorating on both dimensions</w:t>
            </w:r>
          </w:p>
        </w:tc>
        <w:tc>
          <w:tcPr>
            <w:tcW w:type="dxa" w:w="5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&lt; 2x revenue; likely a turnaround</w:t>
            </w:r>
          </w:p>
        </w:tc>
      </w:tr>
    </w:tbl>
    <w:p>
      <w:pPr>
        <w:spacing w:after="0" w:before="60"/>
      </w:pPr>
      <w:r>
        <w:t xml:space="preserve"/>
      </w:r>
    </w:p>
    <w:p>
      <w:pPr>
        <w:pBdr>
          <w:left w:val="single" w:color="7F6000" w:sz="22" w:space="10"/>
        </w:pBdr>
        <w:shd w:fill="FFF2CC" w:val="clear"/>
        <w:spacing w:after="140" w:before="140" w:line="288"/>
        <w:ind w:left="440" w:right="440"/>
      </w:pPr>
      <w:r>
        <w:rPr>
          <w:rFonts w:ascii="Calibri" w:cs="Calibri" w:eastAsia="Calibri" w:hAnsi="Calibri"/>
          <w:i/>
          <w:iCs/>
          <w:color w:val="7F6000"/>
          <w:sz w:val="21"/>
          <w:szCs w:val="21"/>
        </w:rPr>
        <w:t xml:space="preserve">The Rule of 40 should be calculated using FCF margin, not GAAP operating margin or Non-GAAP operating margin. Companies sometimes manipulate their reported Non-GAAP metrics by excluding stock-based compensation. FCF is much harder to manipulate because cash actually has to leave the bank account.</w:t>
      </w:r>
    </w:p>
    <w:p>
      <w:pPr>
        <w:spacing w:after="0" w:before="80"/>
      </w:pPr>
      <w:r>
        <w:t xml:space="preserve"/>
      </w:r>
    </w:p>
    <w:p>
      <w:pPr>
        <w:spacing w:after="80" w:before="240"/>
      </w:pPr>
      <w:r>
        <w:rPr>
          <w:rFonts w:ascii="Calibri" w:cs="Calibri" w:eastAsia="Calibri" w:hAnsi="Calibri"/>
          <w:b/>
          <w:bCs/>
          <w:color w:val="2E75B6"/>
          <w:sz w:val="25"/>
          <w:szCs w:val="25"/>
        </w:rPr>
        <w:t xml:space="preserve">6. FCF Margin Trajectory — The Destination Matters More Than the Starting Point</w:t>
      </w:r>
    </w:p>
    <w:p>
      <w:pPr>
        <w:spacing w:after="60" w:before="60" w:line="300"/>
        <w:jc w:val="left"/>
      </w:pPr>
      <w:r>
        <w:rPr>
          <w:rFonts w:ascii="Calibri" w:cs="Calibri" w:eastAsia="Calibri" w:hAnsi="Calibri"/>
          <w:b w:val="false"/>
          <w:bCs w:val="false"/>
          <w:i w:val="false"/>
          <w:iCs w:val="false"/>
          <w:color w:val="404040"/>
          <w:sz w:val="22"/>
          <w:szCs w:val="22"/>
        </w:rPr>
        <w:t xml:space="preserve">For growth-stage SaaS companies, the current FCF margin is less important than the trajectory. A company at -5% FCF margin improving to +5% over two years is telling a very different story from one at -5% that has been there for four years with no improvement.</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600"/>
      </w:tblGrid>
      <w:tr>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FCF Margin Stage</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It Means</w:t>
            </w:r>
          </w:p>
        </w:tc>
        <w:tc>
          <w:tcPr>
            <w:tcW w:type="dxa" w:w="3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Investor Action</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Deeply negative (&lt; -20%)</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Investment phase — spending heavily to acquire customers and build infrastructure</w:t>
            </w:r>
          </w:p>
        </w:tc>
        <w:tc>
          <w:tcPr>
            <w:tcW w:type="dxa" w:w="3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Acceptable only if NRR is &gt; 110%, gross margin ≥ 65%, and runway &gt; 24 months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Moderately negative (-5% to -20%)</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Scaling phase — revenue growing faster than costs</w:t>
            </w:r>
          </w:p>
        </w:tc>
        <w:tc>
          <w:tcPr>
            <w:tcW w:type="dxa" w:w="3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Monitor trajectory closely — should be improving 3–5 percentage points per year</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Near breakeven (-5% to +5%)</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Inflection point — often the most interesting buying opportunity</w:t>
            </w:r>
          </w:p>
        </w:tc>
        <w:tc>
          <w:tcPr>
            <w:tcW w:type="dxa" w:w="3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Market sometimes undervalues companies at this transition because profitability 'isn't there yet'</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Positive and expanding (&gt; 5%)</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Maturity — FCF machine emerging</w:t>
            </w:r>
          </w:p>
        </w:tc>
        <w:tc>
          <w:tcPr>
            <w:tcW w:type="dxa" w:w="3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P/FCF or P/OCF multiples become valid; compare to mature peers</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High and stable (&gt; 20%)</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Elite — compounding FCF</w:t>
            </w:r>
          </w:p>
        </w:tc>
        <w:tc>
          <w:tcPr>
            <w:tcW w:type="dxa" w:w="3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Dominant franchises like Microsoft, Adobe; command significant premium</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How to Identify Genuinely Undervalued SaaS Companies</w:t>
      </w:r>
    </w:p>
    <w:p>
      <w:pPr>
        <w:spacing w:after="60" w:before="60" w:line="300"/>
        <w:jc w:val="left"/>
      </w:pPr>
      <w:r>
        <w:rPr>
          <w:rFonts w:ascii="Calibri" w:cs="Calibri" w:eastAsia="Calibri" w:hAnsi="Calibri"/>
          <w:b w:val="false"/>
          <w:bCs w:val="false"/>
          <w:i w:val="false"/>
          <w:iCs w:val="false"/>
          <w:color w:val="404040"/>
          <w:sz w:val="22"/>
          <w:szCs w:val="22"/>
        </w:rPr>
        <w:t xml:space="preserve">This is the core question. Based on the framework above, here are the specific conditions under which a SaaS company is likely to be genuinely undervalued — and the questions to ask before buying.</w:t>
      </w:r>
    </w:p>
    <w:p>
      <w:pPr>
        <w:spacing w:after="0" w:before="80"/>
      </w:pPr>
      <w:r>
        <w:t xml:space="preserve"/>
      </w:r>
    </w:p>
    <w:p>
      <w:pPr>
        <w:spacing w:after="80" w:before="240"/>
      </w:pPr>
      <w:r>
        <w:rPr>
          <w:rFonts w:ascii="Calibri" w:cs="Calibri" w:eastAsia="Calibri" w:hAnsi="Calibri"/>
          <w:b/>
          <w:bCs/>
          <w:color w:val="2E75B6"/>
          <w:sz w:val="25"/>
          <w:szCs w:val="25"/>
        </w:rPr>
        <w:t xml:space="preserve">Scenario A — Market Over-Penalising a Growth Deceleration</w:t>
      </w:r>
    </w:p>
    <w:p>
      <w:pPr>
        <w:spacing w:after="60" w:before="60" w:line="300"/>
        <w:jc w:val="left"/>
      </w:pPr>
      <w:r>
        <w:rPr>
          <w:rFonts w:ascii="Calibri" w:cs="Calibri" w:eastAsia="Calibri" w:hAnsi="Calibri"/>
          <w:b w:val="false"/>
          <w:bCs w:val="false"/>
          <w:i w:val="false"/>
          <w:iCs w:val="false"/>
          <w:color w:val="404040"/>
          <w:sz w:val="22"/>
          <w:szCs w:val="22"/>
        </w:rPr>
        <w:t xml:space="preserve">The most common source of undervaluation in SaaS. The company misses its growth target — say from 35% to 28% — and the stock falls 30–40%. The market is pricing in further deceleration, but the underlying business quality (NRR, gross margin, unit economics) remains strong.</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Revenue growth decelerated but NRR remains above 110%, gross margin is expanding, and FCF margin is improving. The market is penalising the growth headline while ignoring the improving quality underneath.</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Questions to ask before buying in this scenario:</w:t>
      </w:r>
    </w:p>
    <w:p>
      <w:pPr>
        <w:pStyle w:val="ListParagraph"/>
        <w:numPr>
          <w:ilvl w:val="0"/>
          <w:numId w:val="2"/>
        </w:numPr>
        <w:spacing w:after="50" w:before="50" w:line="288"/>
        <w:ind w:left="560" w:hanging="280"/>
      </w:pPr>
      <w:r>
        <w:rPr>
          <w:rFonts w:ascii="Calibri" w:cs="Calibri" w:eastAsia="Calibri" w:hAnsi="Calibri"/>
          <w:b w:val="false"/>
          <w:bCs w:val="false"/>
          <w:color w:val="404040"/>
          <w:sz w:val="22"/>
          <w:szCs w:val="22"/>
        </w:rPr>
        <w:t xml:space="preserve">Is the deceleration from a pull-forward of demand (COVID, one-time wave) or from structural competitive pressure?</w:t>
      </w:r>
    </w:p>
    <w:p>
      <w:pPr>
        <w:pStyle w:val="ListParagraph"/>
        <w:numPr>
          <w:ilvl w:val="0"/>
          <w:numId w:val="2"/>
        </w:numPr>
        <w:spacing w:after="50" w:before="50" w:line="288"/>
        <w:ind w:left="560" w:hanging="280"/>
      </w:pPr>
      <w:r>
        <w:rPr>
          <w:rFonts w:ascii="Calibri" w:cs="Calibri" w:eastAsia="Calibri" w:hAnsi="Calibri"/>
          <w:b w:val="false"/>
          <w:bCs w:val="false"/>
          <w:color w:val="404040"/>
          <w:sz w:val="22"/>
          <w:szCs w:val="22"/>
        </w:rPr>
        <w:t xml:space="preserve">What is the net new ARR trend? If new ARR added per quarter is stable or growing, the deceleration may be a law-of-large-numbers effect, not a business problem.</w:t>
      </w:r>
    </w:p>
    <w:p>
      <w:pPr>
        <w:pStyle w:val="ListParagraph"/>
        <w:numPr>
          <w:ilvl w:val="0"/>
          <w:numId w:val="2"/>
        </w:numPr>
        <w:spacing w:after="50" w:before="50" w:line="288"/>
        <w:ind w:left="560" w:hanging="280"/>
      </w:pPr>
      <w:r>
        <w:rPr>
          <w:rFonts w:ascii="Calibri" w:cs="Calibri" w:eastAsia="Calibri" w:hAnsi="Calibri"/>
          <w:b w:val="false"/>
          <w:bCs w:val="false"/>
          <w:color w:val="404040"/>
          <w:sz w:val="22"/>
          <w:szCs w:val="22"/>
        </w:rPr>
        <w:t xml:space="preserve">What are customers saying? Read earnings call transcripts for NRR commentary and customer expansion trends.</w:t>
      </w:r>
    </w:p>
    <w:p>
      <w:pPr>
        <w:pStyle w:val="ListParagraph"/>
        <w:numPr>
          <w:ilvl w:val="0"/>
          <w:numId w:val="2"/>
        </w:numPr>
        <w:spacing w:after="50" w:before="50" w:line="288"/>
        <w:ind w:left="560" w:hanging="280"/>
      </w:pPr>
      <w:r>
        <w:rPr>
          <w:rFonts w:ascii="Calibri" w:cs="Calibri" w:eastAsia="Calibri" w:hAnsi="Calibri"/>
          <w:b w:val="false"/>
          <w:bCs w:val="false"/>
          <w:color w:val="404040"/>
          <w:sz w:val="22"/>
          <w:szCs w:val="22"/>
        </w:rPr>
        <w:t xml:space="preserve">What is management guiding? Companies that consistently guide conservatively and beat are far safer than those with a history of optimistic guidance.</w:t>
      </w:r>
    </w:p>
    <w:p>
      <w:pPr>
        <w:spacing w:after="0" w:before="80"/>
      </w:pPr>
      <w:r>
        <w:t xml:space="preserve"/>
      </w:r>
    </w:p>
    <w:p>
      <w:pPr>
        <w:spacing w:after="80" w:before="240"/>
      </w:pPr>
      <w:r>
        <w:rPr>
          <w:rFonts w:ascii="Calibri" w:cs="Calibri" w:eastAsia="Calibri" w:hAnsi="Calibri"/>
          <w:b/>
          <w:bCs/>
          <w:color w:val="2E75B6"/>
          <w:sz w:val="25"/>
          <w:szCs w:val="25"/>
        </w:rPr>
        <w:t xml:space="preserve">Scenario B — Market Misclassifying the Business Model</w:t>
      </w:r>
    </w:p>
    <w:p>
      <w:pPr>
        <w:spacing w:after="60" w:before="60" w:line="300"/>
        <w:jc w:val="left"/>
      </w:pPr>
      <w:r>
        <w:rPr>
          <w:rFonts w:ascii="Calibri" w:cs="Calibri" w:eastAsia="Calibri" w:hAnsi="Calibri"/>
          <w:b w:val="false"/>
          <w:bCs w:val="false"/>
          <w:i w:val="false"/>
          <w:iCs w:val="false"/>
          <w:color w:val="404040"/>
          <w:sz w:val="22"/>
          <w:szCs w:val="22"/>
        </w:rPr>
        <w:t xml:space="preserve">Sometimes a company that looks like a low-quality, low-margin technology company is actually transitioning to a high-margin SaaS model. The market continues to value it on old hardware or services metrics while the recurring revenue mix is quietly growing.</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Subscription/recurring revenue growing as a % of total revenue, gross margin expanding toward software levels (≥ 60%), while the stock is still trading on old hardware or services multiples.</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Classic examples of this transition: Adobe moved from perpetual licences to Creative Cloud subscriptions (2011–2015). The stock was cheap during the transition because revenue appeared to decline as one-time sales became recurring. Microsoft's Azure transition created a similar dynamic.</w:t>
      </w:r>
    </w:p>
    <w:p>
      <w:pPr>
        <w:spacing w:after="0" w:before="80"/>
      </w:pPr>
      <w:r>
        <w:t xml:space="preserve"/>
      </w:r>
    </w:p>
    <w:p>
      <w:pPr>
        <w:spacing w:after="80" w:before="240"/>
      </w:pPr>
      <w:r>
        <w:rPr>
          <w:rFonts w:ascii="Calibri" w:cs="Calibri" w:eastAsia="Calibri" w:hAnsi="Calibri"/>
          <w:b/>
          <w:bCs/>
          <w:color w:val="2E75B6"/>
          <w:sz w:val="25"/>
          <w:szCs w:val="25"/>
        </w:rPr>
        <w:t xml:space="preserve">Scenario C — Sector-Wide Multiple Compression</w:t>
      </w:r>
    </w:p>
    <w:p>
      <w:pPr>
        <w:spacing w:after="60" w:before="60" w:line="300"/>
        <w:jc w:val="left"/>
      </w:pPr>
      <w:r>
        <w:rPr>
          <w:rFonts w:ascii="Calibri" w:cs="Calibri" w:eastAsia="Calibri" w:hAnsi="Calibri"/>
          <w:b w:val="false"/>
          <w:bCs w:val="false"/>
          <w:i w:val="false"/>
          <w:iCs w:val="false"/>
          <w:color w:val="404040"/>
          <w:sz w:val="22"/>
          <w:szCs w:val="22"/>
        </w:rPr>
        <w:t xml:space="preserve">Rising interest rates compress all SaaS multiples indiscriminately — great businesses and mediocre ones alike. This creates the opportunity to buy quality at distressed prices if you can distinguish which companies have durable unit economics from those that were only viable in a zero-rate environment.</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Rule of 40 ≥ 50, NRR ≥ 115%, gross margin ≥ 70%, CAC payback &lt; 18 months — but the stock is trading at 4–6x revenue when it previously traded at 12–15x. The business quality justifies a higher multiple than the sector-wide selloff implies.</w:t>
      </w:r>
    </w:p>
    <w:p>
      <w:pPr>
        <w:spacing w:after="0" w:before="40"/>
      </w:pPr>
      <w:r>
        <w:t xml:space="preserve"/>
      </w:r>
    </w:p>
    <w:p>
      <w:pPr>
        <w:pBdr>
          <w:left w:val="single" w:color="C00000" w:sz="22" w:space="10"/>
        </w:pBdr>
        <w:shd w:fill="FFCCCC" w:val="clear"/>
        <w:spacing w:after="140" w:before="140" w:line="288"/>
        <w:ind w:left="440" w:right="440"/>
      </w:pPr>
      <w:r>
        <w:rPr>
          <w:rFonts w:ascii="Calibri" w:cs="Calibri" w:eastAsia="Calibri" w:hAnsi="Calibri"/>
          <w:i/>
          <w:iCs/>
          <w:color w:val="C00000"/>
          <w:sz w:val="21"/>
          <w:szCs w:val="21"/>
        </w:rPr>
        <w:t xml:space="preserve">Value trap signal: The company was only growing because of cheap capital or COVID tailwinds. Rule of 40 is below 30, NRR is declining, and the business was never truly cash-generative. A 70% decline in the multiple may still be too expensive.</w:t>
      </w:r>
    </w:p>
    <w:p>
      <w:pPr>
        <w:spacing w:after="0" w:before="80"/>
      </w:pPr>
      <w:r>
        <w:t xml:space="preserve"/>
      </w:r>
    </w:p>
    <w:p>
      <w:pPr>
        <w:spacing w:after="80" w:before="240"/>
      </w:pPr>
      <w:r>
        <w:rPr>
          <w:rFonts w:ascii="Calibri" w:cs="Calibri" w:eastAsia="Calibri" w:hAnsi="Calibri"/>
          <w:b/>
          <w:bCs/>
          <w:color w:val="2E75B6"/>
          <w:sz w:val="25"/>
          <w:szCs w:val="25"/>
        </w:rPr>
        <w:t xml:space="preserve">Scenario D — The FCF Inflection Point</w:t>
      </w:r>
    </w:p>
    <w:p>
      <w:pPr>
        <w:spacing w:after="60" w:before="60" w:line="300"/>
        <w:jc w:val="left"/>
      </w:pPr>
      <w:r>
        <w:rPr>
          <w:rFonts w:ascii="Calibri" w:cs="Calibri" w:eastAsia="Calibri" w:hAnsi="Calibri"/>
          <w:b w:val="false"/>
          <w:bCs w:val="false"/>
          <w:i w:val="false"/>
          <w:iCs w:val="false"/>
          <w:color w:val="404040"/>
          <w:sz w:val="22"/>
          <w:szCs w:val="22"/>
        </w:rPr>
        <w:t xml:space="preserve">Some of the best SaaS investments are made when a company crosses from slightly FCF-negative to FCF-positive for the first time. The market often doesn't recognise this inflection quickly, creating a window to buy before the re-rating.</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FCF margin turns positive for 2–3 consecutive quarters for the first time, while revenue growth remains above 15% and NRR is stable. The company is demonstrating that it can grow and generate cash simultaneously — the highest-quality combination in SaaS.</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SaaS Undervaluation Checklist</w:t>
      </w:r>
    </w:p>
    <w:p>
      <w:pPr>
        <w:spacing w:after="60" w:before="60" w:line="300"/>
        <w:jc w:val="left"/>
      </w:pPr>
      <w:r>
        <w:rPr>
          <w:rFonts w:ascii="Calibri" w:cs="Calibri" w:eastAsia="Calibri" w:hAnsi="Calibri"/>
          <w:b w:val="false"/>
          <w:bCs w:val="false"/>
          <w:i w:val="false"/>
          <w:iCs w:val="false"/>
          <w:color w:val="404040"/>
          <w:sz w:val="22"/>
          <w:szCs w:val="22"/>
        </w:rPr>
        <w:t xml:space="preserve">Run every SaaS investment idea through this checklist before deciding. A company that passes all of these is a genuine buy candidate at the right price.</w:t>
      </w:r>
    </w:p>
    <w:p>
      <w:pPr>
        <w:spacing w:after="0" w:before="6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500"/>
        <w:gridCol w:w="3000"/>
      </w:tblGrid>
      <w:tr>
        <w:tc>
          <w:tcPr>
            <w:tcW w:type="dxa" w:w="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Question to Ask</w:t>
            </w:r>
          </w:p>
        </w:tc>
        <w:tc>
          <w:tcPr>
            <w:tcW w:type="dxa" w:w="25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Green Flag</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Red Flag</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ARR growing at ≥ 15%?</w:t>
            </w:r>
          </w:p>
        </w:tc>
        <w:tc>
          <w:tcPr>
            <w:tcW w:type="dxa" w:w="2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growth stage intact</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Deceleration below 15% with no margin improvement to compensate</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NRR above 110%?</w:t>
            </w:r>
          </w:p>
        </w:tc>
        <w:tc>
          <w:tcPr>
            <w:tcW w:type="dxa" w:w="2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existing customers expanding</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NRR declining quarter-over-quarter even if still above 100%</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3</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gross margin above 65%?</w:t>
            </w:r>
          </w:p>
        </w:tc>
        <w:tc>
          <w:tcPr>
            <w:tcW w:type="dxa" w:w="2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path to high FCF margin exists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Below 55% and not improving — unit economics may not work</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4</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FCF margin improving (even if negative)?</w:t>
            </w:r>
          </w:p>
        </w:tc>
        <w:tc>
          <w:tcPr>
            <w:tcW w:type="dxa" w:w="2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each year closer to breakeven</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Flat or worsening FCF margin despite revenue growth</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 Rule of 40 above 40?</w:t>
            </w:r>
          </w:p>
        </w:tc>
        <w:tc>
          <w:tcPr>
            <w:tcW w:type="dxa" w:w="2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healthy balance of growth and efficiency</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Below 20 — needs to improve on one dimension urgently</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6</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SBC below 15% of revenue?</w:t>
            </w:r>
          </w:p>
        </w:tc>
        <w:tc>
          <w:tcPr>
            <w:tcW w:type="dxa" w:w="2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not excessively dilutive</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Above 20% — shareholders are being diluted silently</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7</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CAC payback under 18 months?</w:t>
            </w:r>
          </w:p>
        </w:tc>
        <w:tc>
          <w:tcPr>
            <w:tcW w:type="dxa" w:w="2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capital efficient growth</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Above 24 months — cash hungry model, very rate-sensitive</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8</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management guiding conservatively?</w:t>
            </w:r>
          </w:p>
        </w:tc>
        <w:tc>
          <w:tcPr>
            <w:tcW w:type="dxa" w:w="2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Consistent beat-and-raise history</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History of missing guidance — revenue visibility is poor</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9</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 current EV/Revenue multiple below its 3yr average by ≥ 30%?</w:t>
            </w:r>
          </w:p>
        </w:tc>
        <w:tc>
          <w:tcPr>
            <w:tcW w:type="dxa" w:w="2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market has repriced down more than fundamentals justify</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Trading at or above historical multiple — limited upside from re-rating</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10</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there a specific catalyst in the next 6–18 months?</w:t>
            </w:r>
          </w:p>
        </w:tc>
        <w:tc>
          <w:tcPr>
            <w:tcW w:type="dxa" w:w="2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Product launch, market expansion, FCF inflection</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identified catalyst — undervaluation may persist for years</w:t>
            </w:r>
          </w:p>
        </w:tc>
      </w:tr>
    </w:tbl>
    <w:p>
      <w:pPr>
        <w:spacing w:after="0" w:before="80"/>
      </w:pPr>
      <w:r>
        <w:t xml:space="preserve"/>
      </w:r>
    </w:p>
    <w:p>
      <w:pPr>
        <w:pBdr>
          <w:left w:val="single" w:color="1B6B5A" w:sz="22" w:space="10"/>
        </w:pBdr>
        <w:shd w:fill="D9F0E8" w:val="clear"/>
        <w:spacing w:after="140" w:before="140" w:line="288"/>
        <w:ind w:left="440" w:right="440"/>
      </w:pPr>
      <w:r>
        <w:rPr>
          <w:rFonts w:ascii="Calibri" w:cs="Calibri" w:eastAsia="Calibri" w:hAnsi="Calibri"/>
          <w:i/>
          <w:iCs/>
          <w:color w:val="1B6B5A"/>
          <w:sz w:val="21"/>
          <w:szCs w:val="21"/>
        </w:rPr>
        <w:t xml:space="preserve">Margin of Safety for SaaS: For high-quality SaaS (Rule of 40 ≥ 50, NRR ≥ 115%), require 20–25% discount to fair value. For good-quality SaaS (Rule of 40 30–50, NRR 100–115%), require 30–35% discount. For lower-quality SaaS, require ≥ 40% discount or avoid entirely.</w:t>
      </w:r>
    </w:p>
    <w:p>
      <w:r>
        <w:br w:type="page"/>
      </w:r>
    </w:p>
    <w:p>
      <w:pPr>
        <w:pStyle w:val="Heading1"/>
        <w:shd w:fill="1B3A5C" w:val="clear"/>
        <w:spacing w:after="180" w:before="400"/>
        <w:ind w:left="240"/>
      </w:pPr>
      <w:r>
        <w:rPr>
          <w:rFonts w:ascii="Calibri" w:cs="Calibri" w:eastAsia="Calibri" w:hAnsi="Calibri"/>
          <w:b/>
          <w:bCs/>
          <w:color w:val="FFFFFF"/>
          <w:sz w:val="40"/>
          <w:szCs w:val="40"/>
        </w:rPr>
        <w:t xml:space="preserve">Part 2 — Semiconductors &amp; Hardware</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Semiconductors are one of the most intellectually demanding investment categories because the business fundamentals and the valuation framework are both counterintuitive. The sector is deeply cyclical — demand swings dramatically over 3–5 year cycles — and yet within that cycle there are secular growth trends (AI compute, automotive electrification, data centre expansion) that create genuine multi-year opportunities. The investor who can correctly identify cycle positioning has a significant analytical edge.</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Understanding the Semiconductor Cycle</w:t>
      </w:r>
    </w:p>
    <w:p>
      <w:pPr>
        <w:spacing w:after="60" w:before="60" w:line="300"/>
        <w:jc w:val="left"/>
      </w:pPr>
      <w:r>
        <w:rPr>
          <w:rFonts w:ascii="Calibri" w:cs="Calibri" w:eastAsia="Calibri" w:hAnsi="Calibri"/>
          <w:b w:val="false"/>
          <w:bCs w:val="false"/>
          <w:i w:val="false"/>
          <w:iCs w:val="false"/>
          <w:color w:val="404040"/>
          <w:sz w:val="22"/>
          <w:szCs w:val="22"/>
        </w:rPr>
        <w:t xml:space="preserve">The semiconductor cycle is the most important concept in this sub-sector. Almost everything else — valuation, timing, risk management — flows from understanding where in the cycle a company sits at the time of purchase.</w:t>
      </w:r>
    </w:p>
    <w:p>
      <w:pPr>
        <w:spacing w:after="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100"/>
        <w:gridCol w:w="3000"/>
      </w:tblGrid>
      <w:tr>
        <w:tc>
          <w:tcPr>
            <w:tcW w:type="dxa" w:w="15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Cycle Phase</w:t>
            </w:r>
          </w:p>
        </w:tc>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Happens</w:t>
            </w:r>
          </w:p>
        </w:tc>
        <w:tc>
          <w:tcPr>
            <w:tcW w:type="dxa" w:w="21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Markets Do</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Smart Investors Do</w:t>
            </w:r>
          </w:p>
        </w:tc>
      </w:tr>
      <w:tr>
        <w:tc>
          <w:tcPr>
            <w:tcW w:type="dxa" w:w="1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Early upcycle</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Inventory depleted, lead times extending, pricing power returning</w:t>
            </w:r>
          </w:p>
        </w:tc>
        <w:tc>
          <w:tcPr>
            <w:tcW w:type="dxa" w:w="2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Multiples begin expanding; momentum investors enter</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Start building positions — business improvement ahead of consensus</w:t>
            </w:r>
          </w:p>
        </w:tc>
      </w:tr>
      <w:tr>
        <w:tc>
          <w:tcPr>
            <w:tcW w:type="dxa" w:w="1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Mid upcycle</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Strong demand, high utilisation, margin expansion, record earnings</w:t>
            </w:r>
          </w:p>
        </w:tc>
        <w:tc>
          <w:tcPr>
            <w:tcW w:type="dxa" w:w="2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Multiples at peak; growth investors pile in</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Hold existing positions; be selective about adding at peak multiples</w:t>
            </w:r>
          </w:p>
        </w:tc>
      </w:tr>
      <w:tr>
        <w:tc>
          <w:tcPr>
            <w:tcW w:type="dxa" w:w="1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Peak / euphoria</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Record earnings, CEO optimism, capex expansion, supply additions announced</w:t>
            </w:r>
          </w:p>
        </w:tc>
        <w:tc>
          <w:tcPr>
            <w:tcW w:type="dxa" w:w="2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Sector at maximum valuation; P/E looks 'cheap' on peak earnings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Start reducing exposure — P/E is an illusion at cycle peak</w:t>
            </w:r>
          </w:p>
        </w:tc>
      </w:tr>
      <w:tr>
        <w:tc>
          <w:tcPr>
            <w:tcW w:type="dxa" w:w="1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Early downcycle</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Inventory building, lead times shortening, pricing pressure</w:t>
            </w:r>
          </w:p>
        </w:tc>
        <w:tc>
          <w:tcPr>
            <w:tcW w:type="dxa" w:w="2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Multiples begin compressing; first disappointments emerge</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Reduce aggressively — downcycle can last 12–24 months</w:t>
            </w:r>
          </w:p>
        </w:tc>
      </w:tr>
      <w:tr>
        <w:tc>
          <w:tcPr>
            <w:tcW w:type="dxa" w:w="1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Trough</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Inventory write-downs, plant utilisation at 50–60%, losses possible</w:t>
            </w:r>
          </w:p>
        </w:tc>
        <w:tc>
          <w:tcPr>
            <w:tcW w:type="dxa" w:w="2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Sentiment at worst; P/E either very high or meaningless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Begin research for next cycle entry — this is where value is created</w:t>
            </w:r>
          </w:p>
        </w:tc>
      </w:tr>
      <w:tr>
        <w:tc>
          <w:tcPr>
            <w:tcW w:type="dxa" w:w="1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Recovery</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Inventories cleared, demand recovering, guidance improving</w:t>
            </w:r>
          </w:p>
        </w:tc>
        <w:tc>
          <w:tcPr>
            <w:tcW w:type="dxa" w:w="2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Multiples re-expand; value investors vindicated</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Add to positions — this is the highest return phase of the cycle</w:t>
            </w:r>
          </w:p>
        </w:tc>
      </w:tr>
    </w:tbl>
    <w:p>
      <w:pPr>
        <w:spacing w:after="0" w:before="80"/>
      </w:pPr>
      <w:r>
        <w:t xml:space="preserve"/>
      </w:r>
    </w:p>
    <w:p>
      <w:pPr>
        <w:spacing w:after="80" w:before="240"/>
      </w:pPr>
      <w:r>
        <w:rPr>
          <w:rFonts w:ascii="Calibri" w:cs="Calibri" w:eastAsia="Calibri" w:hAnsi="Calibri"/>
          <w:b/>
          <w:bCs/>
          <w:color w:val="2E75B6"/>
          <w:sz w:val="25"/>
          <w:szCs w:val="25"/>
        </w:rPr>
        <w:t xml:space="preserve">How to Identify Cycle Positioning</w:t>
      </w:r>
    </w:p>
    <w:p>
      <w:pPr>
        <w:spacing w:after="60" w:before="60" w:line="300"/>
        <w:jc w:val="left"/>
      </w:pPr>
      <w:r>
        <w:rPr>
          <w:rFonts w:ascii="Calibri" w:cs="Calibri" w:eastAsia="Calibri" w:hAnsi="Calibri"/>
          <w:b w:val="false"/>
          <w:bCs w:val="false"/>
          <w:i w:val="false"/>
          <w:iCs w:val="false"/>
          <w:color w:val="404040"/>
          <w:sz w:val="22"/>
          <w:szCs w:val="22"/>
        </w:rPr>
        <w:t xml:space="preserve">These are the leading indicators — the signals that appear before earnings confirm the shift. They are available in earnings calls, industry reports, and distributor commentary.</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200"/>
      </w:tblGrid>
      <w:tr>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Leading Indicator</w:t>
            </w:r>
          </w:p>
        </w:tc>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Upcycle Signal</w:t>
            </w:r>
          </w:p>
        </w:tc>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Downcycle Signal</w:t>
            </w:r>
          </w:p>
        </w:tc>
        <w:tc>
          <w:tcPr>
            <w:tcW w:type="dxa" w:w="3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Where to Find It</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Book-to-bill ratio</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&gt; 1.0 — orders exceeding shipments</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&lt; 1.0 — shipments exceeding orders</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Semiconductor Industry Association (SIA) monthly reports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Lead times</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Extending — customers ordering further ahead</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Shortening — urgent orders becoming spot orders</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Earnings calls — distributors and EMS companies are often the best source</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Days inventory outstanding</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 supply tightening</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Rising — inventory accumulating</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Balance sheet, also disclosed by distributors like Arrow, Avnet</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ASP (average selling price) trend</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Rising — pricing power returning</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 customers renegotiating and spot market weakening</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Earnings calls and industry pricing databases</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Capex announcements</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Expansion — TSM, Samsung, Intel adding capacity</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Deferral or cancellation of new fabs</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Press releases and quarterly capex guidance</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Channel checks</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Distributors reporting strong demand</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Distributors taking returns, spot prices falling</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Industry newsletters, earnings calls from downstream customers</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Right Valuation Method for Each Cycle Phase</w:t>
      </w:r>
    </w:p>
    <w:p>
      <w:pPr>
        <w:spacing w:after="60" w:before="60" w:line="300"/>
        <w:jc w:val="left"/>
      </w:pPr>
      <w:r>
        <w:rPr>
          <w:rFonts w:ascii="Calibri" w:cs="Calibri" w:eastAsia="Calibri" w:hAnsi="Calibri"/>
          <w:b w:val="false"/>
          <w:bCs w:val="false"/>
          <w:i w:val="false"/>
          <w:iCs w:val="false"/>
          <w:color w:val="404040"/>
          <w:sz w:val="22"/>
          <w:szCs w:val="22"/>
        </w:rPr>
        <w:t xml:space="preserve">The most common and costly mistake in semiconductor investing is applying current earnings to a standard multiple at the wrong point in the cycle. The correct approach is to always anchor to mid-cycle normalised earnings.</w:t>
      </w:r>
    </w:p>
    <w:p>
      <w:pPr>
        <w:spacing w:after="0" w:before="80"/>
      </w:pPr>
      <w:r>
        <w:t xml:space="preserve"/>
      </w:r>
    </w:p>
    <w:p>
      <w:pPr>
        <w:spacing w:after="80" w:before="240"/>
      </w:pPr>
      <w:r>
        <w:rPr>
          <w:rFonts w:ascii="Calibri" w:cs="Calibri" w:eastAsia="Calibri" w:hAnsi="Calibri"/>
          <w:b/>
          <w:bCs/>
          <w:color w:val="2E75B6"/>
          <w:sz w:val="25"/>
          <w:szCs w:val="25"/>
        </w:rPr>
        <w:t xml:space="preserve">Mid-Cycle Normalised Earnings: The Core Method</w:t>
      </w:r>
    </w:p>
    <w:p>
      <w:pPr>
        <w:spacing w:after="60" w:before="60" w:line="300"/>
        <w:jc w:val="left"/>
      </w:pPr>
      <w:r>
        <w:rPr>
          <w:rFonts w:ascii="Calibri" w:cs="Calibri" w:eastAsia="Calibri" w:hAnsi="Calibri"/>
          <w:b w:val="false"/>
          <w:bCs w:val="false"/>
          <w:i w:val="false"/>
          <w:iCs w:val="false"/>
          <w:color w:val="404040"/>
          <w:sz w:val="22"/>
          <w:szCs w:val="22"/>
        </w:rPr>
        <w:t xml:space="preserve">Mid-cycle normalised earnings are calculated by averaging EBITDA or EPS across a full cycle — typically 7–10 years — to smooth out the peaks and troughs. This gives you the true earning power of the business at a normal demand level.</w:t>
      </w:r>
    </w:p>
    <w:p>
      <w:pPr>
        <w:spacing w:after="0" w:before="40"/>
      </w:pPr>
      <w:r>
        <w:t xml:space="preserve"/>
      </w:r>
    </w:p>
    <w:p>
      <w:pPr>
        <w:pBdr>
          <w:left w:val="single" w:color="2E75B6" w:sz="22" w:space="10"/>
        </w:pBdr>
        <w:shd w:fill="DEEAF1" w:val="clear"/>
        <w:spacing w:after="140" w:before="140" w:line="288"/>
        <w:ind w:left="440" w:right="440"/>
      </w:pPr>
      <w:r>
        <w:rPr>
          <w:rFonts w:ascii="Calibri" w:cs="Calibri" w:eastAsia="Calibri" w:hAnsi="Calibri"/>
          <w:i/>
          <w:iCs/>
          <w:color w:val="1F3864"/>
          <w:sz w:val="21"/>
          <w:szCs w:val="21"/>
        </w:rPr>
        <w:t xml:space="preserve">Formula: Mid-Cycle EBITDA = Average of last 7–10 years of EBITDA (or forward estimates if cycle position is well-established). Then apply a mid-cycle EV/EBITDA multiple — typically 12–20x for quality semiconductor companies, 8–13x for commodity chip makers.</w:t>
      </w:r>
    </w:p>
    <w:p>
      <w:pPr>
        <w:spacing w:after="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400"/>
      </w:tblGrid>
      <w:tr>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Valuation Method</w:t>
            </w:r>
          </w:p>
        </w:tc>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When to Use It</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How to Apply It</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Key Risk</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EV/EBITDA (mid-cycle)</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Primary method at all cycle stages</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Use 7–10yr average EBITDA; apply sector multiple of 12–18x for quality; compare to current EV</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Being wrong about where mid-cycle really is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P/OCF (normalised)</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Secondary — confirms EV/EBITDA</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Use average operating cash flow; normalise for working capital swings at cycle peaks/troughs</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OCF swings with receivables at cycle turns — lag by 1–2 quarters</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EV/Replacement Cost</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Trough valuation anchor</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What would it cost to build this company's fab capacity and IP from scratch?</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Replacement cost for leading-edge fabs ($20bn+) is hard to estimate accurately</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Reverse DCF</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Sanity check on any valuation</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At current price, what cycle-average growth is the market implying? Is that realistic?</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Requires assumptions about terminal growth and WACC</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P/E (GAAP)</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NEVER use at cycle peaks or troughs</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Only reliable in mid-cycle; peak-cycle P/E looks cheap; trough-cycle P/E looks impossibly high</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The most dangerous metric in the sector — used carelessly by most retail investors</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Semiconductor Sub-Sectors: Different Rules for Each</w:t>
      </w:r>
    </w:p>
    <w:p>
      <w:pPr>
        <w:spacing w:after="60" w:before="60" w:line="300"/>
        <w:jc w:val="left"/>
      </w:pPr>
      <w:r>
        <w:rPr>
          <w:rFonts w:ascii="Calibri" w:cs="Calibri" w:eastAsia="Calibri" w:hAnsi="Calibri"/>
          <w:b w:val="false"/>
          <w:bCs w:val="false"/>
          <w:i w:val="false"/>
          <w:iCs w:val="false"/>
          <w:color w:val="404040"/>
          <w:sz w:val="22"/>
          <w:szCs w:val="22"/>
        </w:rPr>
        <w:t xml:space="preserve">Not all semiconductor companies are equally cyclical. Understanding the sub-sector is critical to applying the right analytical framework.</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2400"/>
        <w:gridCol w:w="2000"/>
      </w:tblGrid>
      <w:tr>
        <w:tc>
          <w:tcPr>
            <w:tcW w:type="dxa" w:w="1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Sub-Sector</w:t>
            </w:r>
          </w:p>
        </w:tc>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Examples</w:t>
            </w:r>
          </w:p>
        </w:tc>
        <w:tc>
          <w:tcPr>
            <w:tcW w:type="dxa" w:w="1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Cyclicality</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Key Metrics</w:t>
            </w:r>
          </w:p>
        </w:tc>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Valuation Approach</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Foundries (contract manufacturing)</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TSMC, Samsung, GlobalFoundries</w:t>
            </w:r>
          </w:p>
        </w:tc>
        <w:tc>
          <w:tcPr>
            <w:tcW w:type="dxa" w:w="1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 — long-term contracts reduce volatility</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Utilisation rate, capex/revenue, technology node leadership</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EV/EBITDA mid-cycle; compare utilisation to prior cycles</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Fabless designers</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Nvidia, AMD, Qualcomm, Broadcom</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 no manufacturing costs but revenue highly cyclical</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Gross margin, design win pipeline, market share</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EV/EBITDA mid-cycle + reverse DCF for AI/secular growth</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Memory (DRAM/NAND)</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Micron, SK Hynix, Samsung Memory</w:t>
            </w:r>
          </w:p>
        </w:tc>
        <w:tc>
          <w:tcPr>
            <w:tcW w:type="dxa" w:w="1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Very high — commodity pricing, supply-driven cycles</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Bit growth, ASP trend, cost per bit decline</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P/Book at cycle trough; EV/EBITDA mid-cycle</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Analog/mixed-signal</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Texas Instruments, Analog Devices</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 — automotive/industrial exposure; longer cycles</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per wafer, design win longevity, inventory days</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EV/EBITDA; P/FCF — more stable FCF than digital</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Equipment</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ASML, Applied Materials, Lam Research</w:t>
            </w:r>
          </w:p>
        </w:tc>
        <w:tc>
          <w:tcPr>
            <w:tcW w:type="dxa" w:w="1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Moderate-high — follows capex cycle with 6–12 month lag</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Book-to-bill, backlog, WFE spend guidance</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EV/EBITDA mid-cycle; backlog as forward indicator</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Hardware (consumer)</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Apple (devices), Dell, HP</w:t>
            </w:r>
          </w:p>
        </w:tc>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 — tied to consumer refresh cycle</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per device, services attach rate, installed base</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EV/EBITDA; P/FCF — especially relevant for Apple services mix</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How to Identify Genuinely Undervalued Semiconductor Companies</w:t>
      </w:r>
    </w:p>
    <w:p>
      <w:pPr>
        <w:spacing w:after="0" w:before="60"/>
      </w:pPr>
      <w:r>
        <w:t xml:space="preserve"/>
      </w:r>
    </w:p>
    <w:p>
      <w:pPr>
        <w:spacing w:after="80" w:before="240"/>
      </w:pPr>
      <w:r>
        <w:rPr>
          <w:rFonts w:ascii="Calibri" w:cs="Calibri" w:eastAsia="Calibri" w:hAnsi="Calibri"/>
          <w:b/>
          <w:bCs/>
          <w:color w:val="2E75B6"/>
          <w:sz w:val="25"/>
          <w:szCs w:val="25"/>
        </w:rPr>
        <w:t xml:space="preserve">Scenario A — Buying at the Trough</w:t>
      </w:r>
    </w:p>
    <w:p>
      <w:pPr>
        <w:spacing w:after="60" w:before="60" w:line="300"/>
        <w:jc w:val="left"/>
      </w:pPr>
      <w:r>
        <w:rPr>
          <w:rFonts w:ascii="Calibri" w:cs="Calibri" w:eastAsia="Calibri" w:hAnsi="Calibri"/>
          <w:b w:val="false"/>
          <w:bCs w:val="false"/>
          <w:i w:val="false"/>
          <w:iCs w:val="false"/>
          <w:color w:val="404040"/>
          <w:sz w:val="22"/>
          <w:szCs w:val="22"/>
        </w:rPr>
        <w:t xml:space="preserve">The trough of the semiconductor cycle is the highest-conviction buying opportunity. Sentiment is at its worst, guidance has been cut multiple times, and analysts are forecasting continued losses. This is exactly when the best entry points occur.</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at trough: Inventory write-downs are occurring (customers clearing excess stock), utilisation rates at 50–65% (below breakeven for many fabs), book-to-bill below 0.8, and the stock is trading below book value or at 1–2x mid-cycle EBITDA. Management is talking about 'bottom' and capacity cuts.</w:t>
      </w:r>
    </w:p>
    <w:p>
      <w:pPr>
        <w:spacing w:after="0" w:before="4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key analytical task at the trough is not asking 'is this company profitable today?' — it is not. The question is: 'when the cycle recovers to mid-cycle demand in 18–24 months, what will earnings look like, and what multiple will the market apply?' That calculation gives you the 18-month target price.</w:t>
      </w:r>
    </w:p>
    <w:p>
      <w:pPr>
        <w:spacing w:after="0" w:before="60"/>
      </w:pPr>
      <w:r>
        <w:t xml:space="preserve"/>
      </w:r>
    </w:p>
    <w:p>
      <w:pPr>
        <w:pStyle w:val="ListParagraph"/>
        <w:numPr>
          <w:ilvl w:val="0"/>
          <w:numId w:val="2"/>
        </w:numPr>
        <w:spacing w:after="50" w:before="50" w:line="288"/>
        <w:ind w:left="560" w:hanging="280"/>
      </w:pPr>
      <w:r>
        <w:rPr>
          <w:rFonts w:ascii="Calibri" w:cs="Calibri" w:eastAsia="Calibri" w:hAnsi="Calibri"/>
          <w:b w:val="false"/>
          <w:bCs w:val="false"/>
          <w:color w:val="404040"/>
          <w:sz w:val="22"/>
          <w:szCs w:val="22"/>
        </w:rPr>
        <w:t xml:space="preserve">Look for companies with: net cash or manageable debt (they will survive the trough)</w:t>
      </w:r>
    </w:p>
    <w:p>
      <w:pPr>
        <w:pStyle w:val="ListParagraph"/>
        <w:numPr>
          <w:ilvl w:val="0"/>
          <w:numId w:val="2"/>
        </w:numPr>
        <w:spacing w:after="50" w:before="50" w:line="288"/>
        <w:ind w:left="560" w:hanging="280"/>
      </w:pPr>
      <w:r>
        <w:rPr>
          <w:rFonts w:ascii="Calibri" w:cs="Calibri" w:eastAsia="Calibri" w:hAnsi="Calibri"/>
          <w:b w:val="false"/>
          <w:bCs w:val="false"/>
          <w:color w:val="404040"/>
          <w:sz w:val="22"/>
          <w:szCs w:val="22"/>
        </w:rPr>
        <w:t xml:space="preserve">Look for companies with: technology leadership in their end market (structural winner)</w:t>
      </w:r>
    </w:p>
    <w:p>
      <w:pPr>
        <w:pStyle w:val="ListParagraph"/>
        <w:numPr>
          <w:ilvl w:val="0"/>
          <w:numId w:val="2"/>
        </w:numPr>
        <w:spacing w:after="50" w:before="50" w:line="288"/>
        <w:ind w:left="560" w:hanging="280"/>
      </w:pPr>
      <w:r>
        <w:rPr>
          <w:rFonts w:ascii="Calibri" w:cs="Calibri" w:eastAsia="Calibri" w:hAnsi="Calibri"/>
          <w:b w:val="false"/>
          <w:bCs w:val="false"/>
          <w:color w:val="404040"/>
          <w:sz w:val="22"/>
          <w:szCs w:val="22"/>
        </w:rPr>
        <w:t xml:space="preserve">Look for companies with: history of dividend maintenance or buybacks through prior cycles</w:t>
      </w:r>
    </w:p>
    <w:p>
      <w:pPr>
        <w:pStyle w:val="ListParagraph"/>
        <w:numPr>
          <w:ilvl w:val="0"/>
          <w:numId w:val="2"/>
        </w:numPr>
        <w:spacing w:after="50" w:before="50" w:line="288"/>
        <w:ind w:left="560" w:hanging="280"/>
      </w:pPr>
      <w:r>
        <w:rPr>
          <w:rFonts w:ascii="Calibri" w:cs="Calibri" w:eastAsia="Calibri" w:hAnsi="Calibri"/>
          <w:b w:val="false"/>
          <w:bCs w:val="false"/>
          <w:color w:val="404040"/>
          <w:sz w:val="22"/>
          <w:szCs w:val="22"/>
        </w:rPr>
        <w:t xml:space="preserve">Look for companies with: end markets with secular tailwinds (AI, EV, data centre) that will amplify the recovery</w:t>
      </w:r>
    </w:p>
    <w:p>
      <w:pPr>
        <w:spacing w:after="0" w:before="80"/>
      </w:pPr>
      <w:r>
        <w:t xml:space="preserve"/>
      </w:r>
    </w:p>
    <w:p>
      <w:pPr>
        <w:spacing w:after="80" w:before="240"/>
      </w:pPr>
      <w:r>
        <w:rPr>
          <w:rFonts w:ascii="Calibri" w:cs="Calibri" w:eastAsia="Calibri" w:hAnsi="Calibri"/>
          <w:b/>
          <w:bCs/>
          <w:color w:val="2E75B6"/>
          <w:sz w:val="25"/>
          <w:szCs w:val="25"/>
        </w:rPr>
        <w:t xml:space="preserve">Scenario B — Secular Growth Embedded in Cyclical Company</w:t>
      </w:r>
    </w:p>
    <w:p>
      <w:pPr>
        <w:spacing w:after="60" w:before="60" w:line="300"/>
        <w:jc w:val="left"/>
      </w:pPr>
      <w:r>
        <w:rPr>
          <w:rFonts w:ascii="Calibri" w:cs="Calibri" w:eastAsia="Calibri" w:hAnsi="Calibri"/>
          <w:b w:val="false"/>
          <w:bCs w:val="false"/>
          <w:i w:val="false"/>
          <w:iCs w:val="false"/>
          <w:color w:val="404040"/>
          <w:sz w:val="22"/>
          <w:szCs w:val="22"/>
        </w:rPr>
        <w:t xml:space="preserve">Some semiconductor companies have genuine secular tailwinds — structural demand growth independent of the cycle — embedded within a cyclically valued stock. When the market is pricing the company purely on current cycle pessimism, the secular growth is essentially free.</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A company with significant exposure to AI compute, automotive semiconductors, or industrial automation is trading at trough-cycle multiples while its exposure to these secular markets is growing as a % of revenue. The market is applying a commodity chip multiple to a company that is structurally upgrading its revenue mix.</w:t>
      </w:r>
    </w:p>
    <w:p>
      <w:pPr>
        <w:spacing w:after="0" w:before="4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canonical example: Nvidia in 2022–2023. The gaming cycle had turned down sharply, and the stock fell 65% from peak. But data centre/AI compute was growing rapidly and was fundamentally underappreciated at trough cycle multiples. Investors who correctly identified the secular component — and its scale — captured extraordinary returns.</w:t>
      </w:r>
    </w:p>
    <w:p>
      <w:pPr>
        <w:spacing w:after="0" w:before="80"/>
      </w:pPr>
      <w:r>
        <w:t xml:space="preserve"/>
      </w:r>
    </w:p>
    <w:p>
      <w:pPr>
        <w:spacing w:after="80" w:before="240"/>
      </w:pPr>
      <w:r>
        <w:rPr>
          <w:rFonts w:ascii="Calibri" w:cs="Calibri" w:eastAsia="Calibri" w:hAnsi="Calibri"/>
          <w:b/>
          <w:bCs/>
          <w:color w:val="2E75B6"/>
          <w:sz w:val="25"/>
          <w:szCs w:val="25"/>
        </w:rPr>
        <w:t xml:space="preserve">Scenario C — Technology Node Leadership at Distressed Valuation</w:t>
      </w:r>
    </w:p>
    <w:p>
      <w:pPr>
        <w:spacing w:after="60" w:before="60" w:line="300"/>
        <w:jc w:val="left"/>
      </w:pPr>
      <w:r>
        <w:rPr>
          <w:rFonts w:ascii="Calibri" w:cs="Calibri" w:eastAsia="Calibri" w:hAnsi="Calibri"/>
          <w:b w:val="false"/>
          <w:bCs w:val="false"/>
          <w:i w:val="false"/>
          <w:iCs w:val="false"/>
          <w:color w:val="404040"/>
          <w:sz w:val="22"/>
          <w:szCs w:val="22"/>
        </w:rPr>
        <w:t xml:space="preserve">Semiconductor companies at the technology frontier (e.g. TSMC at 3nm and 2nm nodes) have structural pricing power that persists across cycles. When these companies trade at trough-cycle valuations, the long-term return on investment is highly compelling because you are buying durable competitive advantages at cyclical prices.</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A technology leader (measured by market share in leading nodes, design win pipeline, or patent leadership) trading at or below mid-cycle EV/EBITDA. The market is treating a structurally advantaged company as a commodity producer.</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Semiconductor Undervaluation Checklist</w:t>
      </w:r>
    </w:p>
    <w:p>
      <w:pPr>
        <w:spacing w:after="0" w:before="6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500"/>
        <w:gridCol w:w="3000"/>
      </w:tblGrid>
      <w:tr>
        <w:tc>
          <w:tcPr>
            <w:tcW w:type="dxa" w:w="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Question to Ask</w:t>
            </w:r>
          </w:p>
        </w:tc>
        <w:tc>
          <w:tcPr>
            <w:tcW w:type="dxa" w:w="25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Green Flag</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Red Flag</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Where is the company in the semiconductor cycle?</w:t>
            </w:r>
          </w:p>
        </w:tc>
        <w:tc>
          <w:tcPr>
            <w:tcW w:type="dxa" w:w="2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Early upcycle or trough recovery</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Peak cycle with record earnings and high utilisation</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What is the current P/E vs mid-cycle P/E?</w:t>
            </w:r>
          </w:p>
        </w:tc>
        <w:tc>
          <w:tcPr>
            <w:tcW w:type="dxa" w:w="2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Trading below mid-cycle multiple</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Trading at 1.5–2x mid-cycle multiple on peak earnings — dangerous</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3</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 company a technology leader?</w:t>
            </w:r>
          </w:p>
        </w:tc>
        <w:tc>
          <w:tcPr>
            <w:tcW w:type="dxa" w:w="2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Top 1–2 in its end market by node/performance</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Commodity producer with no differentiation</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4</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What are inventory days outstanding doing?</w:t>
            </w:r>
          </w:p>
        </w:tc>
        <w:tc>
          <w:tcPr>
            <w:tcW w:type="dxa" w:w="2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or at normalised levels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Rising — inventory accumulation signals coming demand weakness</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Does the company have secular tailwinds?</w:t>
            </w:r>
          </w:p>
        </w:tc>
        <w:tc>
          <w:tcPr>
            <w:tcW w:type="dxa" w:w="2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AI, EV, data centre, industrial automation exposure growing</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Purely consumer or PC-exposed with no secular driver</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6</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 balance sheet strong enough to survive the trough?</w:t>
            </w:r>
          </w:p>
        </w:tc>
        <w:tc>
          <w:tcPr>
            <w:tcW w:type="dxa" w:w="2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Net cash or &lt; 1x EBITDA net debt</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Heavy debt load that requires refinancing in a downturn</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7</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What is the book-to-bill ratio trend?</w:t>
            </w:r>
          </w:p>
        </w:tc>
        <w:tc>
          <w:tcPr>
            <w:tcW w:type="dxa" w:w="2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Rising above 1.0 — order recovery beginning</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Falling below 0.9 — demand weakening</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8</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management buying back shares at trough?</w:t>
            </w:r>
          </w:p>
        </w:tc>
        <w:tc>
          <w:tcPr>
            <w:tcW w:type="dxa" w:w="2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demonstrates conviction and returns cash</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buybacks despite free cash flow — capital allocation discipline absent</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9</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current price below replacement cost of assets?</w:t>
            </w:r>
          </w:p>
        </w:tc>
        <w:tc>
          <w:tcPr>
            <w:tcW w:type="dxa" w:w="2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buying assets cheaper than building them</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Significant premium to replacement cost at cycle trough</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10</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there a specific recovery catalyst?</w:t>
            </w:r>
          </w:p>
        </w:tc>
        <w:tc>
          <w:tcPr>
            <w:tcW w:type="dxa" w:w="2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AI compute cycle, automotive content growth, inventory restocking</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identified catalyst — cycle may remain depressed longer than expected</w:t>
            </w:r>
          </w:p>
        </w:tc>
      </w:tr>
    </w:tbl>
    <w:p>
      <w:pPr>
        <w:spacing w:after="0" w:before="80"/>
      </w:pPr>
      <w:r>
        <w:t xml:space="preserve"/>
      </w:r>
    </w:p>
    <w:p>
      <w:pPr>
        <w:pBdr>
          <w:left w:val="single" w:color="1B6B5A" w:sz="22" w:space="10"/>
        </w:pBdr>
        <w:shd w:fill="D9F0E8" w:val="clear"/>
        <w:spacing w:after="140" w:before="140" w:line="288"/>
        <w:ind w:left="440" w:right="440"/>
      </w:pPr>
      <w:r>
        <w:rPr>
          <w:rFonts w:ascii="Calibri" w:cs="Calibri" w:eastAsia="Calibri" w:hAnsi="Calibri"/>
          <w:i/>
          <w:iCs/>
          <w:color w:val="1B6B5A"/>
          <w:sz w:val="21"/>
          <w:szCs w:val="21"/>
        </w:rPr>
        <w:t xml:space="preserve">Margin of Safety for Semiconductors: For technology leaders (TSMC, Nvidia, ASML): require 20–25% below mid-cycle fair value. For good-quality fabless designers (AMD, Qualcomm, Broadcom): require 25–30%. For memory or commodity chips: require ≥ 35% — cycles are more severe and recoveries less certain.</w:t>
      </w:r>
    </w:p>
    <w:p>
      <w:r>
        <w:br w:type="page"/>
      </w:r>
    </w:p>
    <w:p>
      <w:pPr>
        <w:pStyle w:val="Heading1"/>
        <w:shd w:fill="1F3864" w:val="clear"/>
        <w:spacing w:after="180" w:before="400"/>
        <w:ind w:left="240"/>
      </w:pPr>
      <w:r>
        <w:rPr>
          <w:rFonts w:ascii="Calibri" w:cs="Calibri" w:eastAsia="Calibri" w:hAnsi="Calibri"/>
          <w:b/>
          <w:bCs/>
          <w:color w:val="FFFFFF"/>
          <w:sz w:val="40"/>
          <w:szCs w:val="40"/>
        </w:rPr>
        <w:t xml:space="preserve">Part 3 — Putting It Together</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Before moving to Communication Services (Part 2 of this series) and Consumer Discretionary (Part 3), here is a consolidated view of how to apply everything above to the technology sector specifically — and how the two sub-sectors interact.</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Technology Sector Decision Map</w:t>
      </w:r>
    </w:p>
    <w:p>
      <w:pPr>
        <w:spacing w:after="60" w:before="60" w:line="300"/>
        <w:jc w:val="left"/>
      </w:pPr>
      <w:r>
        <w:rPr>
          <w:rFonts w:ascii="Calibri" w:cs="Calibri" w:eastAsia="Calibri" w:hAnsi="Calibri"/>
          <w:b w:val="false"/>
          <w:bCs w:val="false"/>
          <w:i w:val="false"/>
          <w:iCs w:val="false"/>
          <w:color w:val="404040"/>
          <w:sz w:val="22"/>
          <w:szCs w:val="22"/>
        </w:rPr>
        <w:t xml:space="preserve">When you encounter a technology company, this is the sequence of questions to work through before opening any valuation model.</w:t>
      </w:r>
    </w:p>
    <w:p>
      <w:pPr>
        <w:spacing w:after="0" w:before="6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800"/>
        <w:gridCol w:w="2800"/>
      </w:tblGrid>
      <w:tr>
        <w:tc>
          <w:tcPr>
            <w:tcW w:type="dxa" w:w="5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Step</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Question</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If Yes →</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If No →</w:t>
            </w:r>
          </w:p>
        </w:tc>
      </w:tr>
      <w:tr>
        <w:tc>
          <w:tcPr>
            <w:tcW w:type="dxa" w:w="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1</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Does the company sell primarily software or subscriptions?</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SaaS framework — start with ARR, NRR, gross margin, Rule of 40</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 to Step 2</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Does the company design or manufacture physical chips or hardware?</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Semiconductor framework — start with cycle positioning and mid-cycle EBITDA</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 to Step 3</w:t>
            </w:r>
          </w:p>
        </w:tc>
      </w:tr>
      <w:tr>
        <w:tc>
          <w:tcPr>
            <w:tcW w:type="dxa" w:w="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3</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Does the company provide IT services or consulting?</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Standard mature FCF framework — EV/EBITDA, P/FCF, revenue visibility</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 to Step 4</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it a hardware/software hybrid (e.g. Apple)?</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Blend both frameworks — value each revenue stream separately; apply software multiple to recurring services</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Use whichever framework fits the primary revenue driver</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SaaS vs. Semiconductors: Key Differences in Undervaluation Signals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3800"/>
      </w:tblGrid>
      <w:tr>
        <w:tc>
          <w:tcPr>
            <w:tcW w:type="dxa" w:w="1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Signal Type</w:t>
            </w:r>
          </w:p>
        </w:tc>
        <w:tc>
          <w:tcPr>
            <w:tcW w:type="dxa" w:w="3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SaaS — Undervaluation Looks Like</w:t>
            </w:r>
          </w:p>
        </w:tc>
        <w:tc>
          <w:tcPr>
            <w:tcW w:type="dxa" w:w="3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Semiconductors — Undervaluation Looks Like</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Business metrics</w:t>
            </w:r>
          </w:p>
        </w:tc>
        <w:tc>
          <w:tcPr>
            <w:tcW w:type="dxa" w:w="3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NRR &gt; 110%, Rule of 40 &gt; 40, but multiple compressed</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Trough utilisation (55–65%), inventory write-downs, book-to-bill &lt; 0.85</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Valuation metric</w:t>
            </w:r>
          </w:p>
        </w:tc>
        <w:tc>
          <w:tcPr>
            <w:tcW w:type="dxa" w:w="3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EV/Revenue ≥ 30% below 3yr average</w:t>
            </w:r>
          </w:p>
        </w:tc>
        <w:tc>
          <w:tcPr>
            <w:tcW w:type="dxa" w:w="3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EV/EBITDA at or below mid-cycle level; price near book value</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Market behaviour</w:t>
            </w:r>
          </w:p>
        </w:tc>
        <w:tc>
          <w:tcPr>
            <w:tcW w:type="dxa" w:w="3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Sector-wide selloff from rate rise; or single-stock overreaction to growth miss</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Cycle pessimism — everyone knows semis are in a downturn but forgets the recovery</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Catalyst needed</w:t>
            </w:r>
          </w:p>
        </w:tc>
        <w:tc>
          <w:tcPr>
            <w:tcW w:type="dxa" w:w="3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FCF inflection, model transition, re-acceleration of ARR growth</w:t>
            </w:r>
          </w:p>
        </w:tc>
        <w:tc>
          <w:tcPr>
            <w:tcW w:type="dxa" w:w="3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Inventory restocking cycle, AI compute spend, automotive content ramp</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Time horizon</w:t>
            </w:r>
          </w:p>
        </w:tc>
        <w:tc>
          <w:tcPr>
            <w:tcW w:type="dxa" w:w="3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6–18 months for market to recognise quality</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12–30 months for full cycle recovery to reflect in earnings and multiple</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Recommended Learning Path for Technology Investing</w:t>
      </w:r>
    </w:p>
    <w:p>
      <w:pPr>
        <w:spacing w:after="60" w:before="60" w:line="300"/>
        <w:jc w:val="left"/>
      </w:pPr>
      <w:r>
        <w:rPr>
          <w:rFonts w:ascii="Calibri" w:cs="Calibri" w:eastAsia="Calibri" w:hAnsi="Calibri"/>
          <w:b w:val="false"/>
          <w:bCs w:val="false"/>
          <w:i w:val="false"/>
          <w:iCs w:val="false"/>
          <w:color w:val="404040"/>
          <w:sz w:val="22"/>
          <w:szCs w:val="22"/>
        </w:rPr>
        <w:t xml:space="preserve">To build genuine analytical depth in this sector beyond this document, here are the resources and practices that will accelerate your understanding:</w:t>
      </w:r>
    </w:p>
    <w:p>
      <w:pPr>
        <w:spacing w:after="0" w:before="60"/>
      </w:pPr>
      <w:r>
        <w:t xml:space="preserve"/>
      </w:r>
    </w:p>
    <w:p>
      <w:pPr>
        <w:spacing w:after="80" w:before="240"/>
      </w:pPr>
      <w:r>
        <w:rPr>
          <w:rFonts w:ascii="Calibri" w:cs="Calibri" w:eastAsia="Calibri" w:hAnsi="Calibri"/>
          <w:b/>
          <w:bCs/>
          <w:color w:val="2E75B6"/>
          <w:sz w:val="25"/>
          <w:szCs w:val="25"/>
        </w:rPr>
        <w:t xml:space="preserve">For Software / SaaS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Read: 'The SaaS Playbook' by Rob Walling — unit economics and business model mechanics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Read: Bessemer Venture Partners' 'State of the Cloud' annual report — industry benchmarks and metric definitions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Practice: Build a SaaS metrics model for one company (Salesforce or HubSpot are ideal — good disclosure) tracking ARR, NRR, Rule of 40, CAC payback, and FCF margin over 8 quarters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Earnings calls to study: Snowflake, Datadog, Cloudflare — all have exceptional metric disclosure and management commentary on unit economics</w:t>
      </w:r>
    </w:p>
    <w:p>
      <w:pPr>
        <w:spacing w:after="0" w:before="40"/>
      </w:pPr>
      <w:r>
        <w:t xml:space="preserve"/>
      </w:r>
    </w:p>
    <w:p>
      <w:pPr>
        <w:spacing w:after="80" w:before="240"/>
      </w:pPr>
      <w:r>
        <w:rPr>
          <w:rFonts w:ascii="Calibri" w:cs="Calibri" w:eastAsia="Calibri" w:hAnsi="Calibri"/>
          <w:b/>
          <w:bCs/>
          <w:color w:val="2E75B6"/>
          <w:sz w:val="25"/>
          <w:szCs w:val="25"/>
        </w:rPr>
        <w:t xml:space="preserve">For Semiconductors &amp; Hardware</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Read: 'Chip War' by Chris Miller — essential context on the industry structure and geopolitics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Read: SEMI industry association reports — book-to-bill data and WFE (wafer fab equipment) spending forecasts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Practice: Build a cycle-normalised model for Micron — a pure-play DRAM company where the cycle is most visible. Track mid-cycle EBITDA vs current EBITDA across 10 years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Earnings calls to study: TSMC quarterly calls — the foundry is the single best source of semiconductor demand intelligence across all end markets</w:t>
      </w:r>
    </w:p>
    <w:p>
      <w:pPr>
        <w:spacing w:after="0" w:before="60"/>
      </w:pPr>
      <w:r>
        <w:t xml:space="preserve"/>
      </w:r>
    </w:p>
    <w:p>
      <w:pPr>
        <w:spacing w:after="80" w:before="240"/>
      </w:pPr>
      <w:r>
        <w:rPr>
          <w:rFonts w:ascii="Calibri" w:cs="Calibri" w:eastAsia="Calibri" w:hAnsi="Calibri"/>
          <w:b/>
          <w:bCs/>
          <w:color w:val="2E75B6"/>
          <w:sz w:val="25"/>
          <w:szCs w:val="25"/>
        </w:rPr>
        <w:t xml:space="preserve">General Technology</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Annual reports to study deeply: Microsoft (SaaS transition case study), Apple (hardware-to-services transition), Nvidia (secular AI story embedded in cyclical company)</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Follow: Ben Thompson's Stratechery — the best analytical writing on technology business models and competitive dynamics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Track: SaaS metrics dashboards on Meritech Capital's website — peer group multiples updated in real-time</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What Comes Next</w:t>
      </w:r>
    </w:p>
    <w:p>
      <w:pPr>
        <w:spacing w:after="60" w:before="60" w:line="300"/>
        <w:jc w:val="left"/>
      </w:pPr>
      <w:r>
        <w:rPr>
          <w:rFonts w:ascii="Calibri" w:cs="Calibri" w:eastAsia="Calibri" w:hAnsi="Calibri"/>
          <w:b w:val="false"/>
          <w:bCs w:val="false"/>
          <w:i w:val="false"/>
          <w:iCs w:val="false"/>
          <w:color w:val="404040"/>
          <w:sz w:val="22"/>
          <w:szCs w:val="22"/>
        </w:rPr>
        <w:t xml:space="preserve">The next document in this series covers Communication Services — specifically Internet Platforms (Alphabet, Meta) and Telecom Operators (AT&amp;T, BCE, BT). These two company types within the same sector require almost completely opposite analytical frameworks, and identifying undervaluation in each involves very different signal types.</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After that, the Consumer Discretionary deep-dive covers E-commerce &amp; Retail (Amazon, Shopify), Luxury &amp; Brands (Nike, LVMH, Burberry), and Restaurants &amp; Experiences (McDonald's, Airbnb) — the most psychologically demanding sector to invest in because the best entry points occur precisely when consumer sentiment is worst.</w:t>
      </w:r>
    </w:p>
    <w:p>
      <w:pPr>
        <w:spacing w:after="0" w:before="80"/>
      </w:pPr>
      <w:r>
        <w:t xml:space="preserve"/>
      </w:r>
    </w:p>
    <w:p>
      <w:pPr>
        <w:shd w:fill="1F3864" w:val="clear"/>
        <w:spacing w:after="240" w:before="240"/>
        <w:jc w:val="center"/>
      </w:pPr>
      <w:r>
        <w:rPr>
          <w:rFonts w:ascii="Calibri" w:cs="Calibri" w:eastAsia="Calibri" w:hAnsi="Calibri"/>
          <w:b w:val="false"/>
          <w:bCs w:val="false"/>
          <w:i/>
          <w:iCs/>
          <w:color w:val="BDD7EE"/>
          <w:sz w:val="20"/>
          <w:szCs w:val="20"/>
        </w:rPr>
        <w:t xml:space="preserve">Technology Deep-Dive  ·  Part 1 of 3  ·  Investment Framework Series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Calibri" w:cs="Calibri" w:eastAsia="Calibri" w:hAnsi="Calibri"/>
      <w:b/>
      <w:bCs/>
      <w:color w:val="FFFFFF"/>
      <w:sz w:val="40"/>
      <w:szCs w:val="40"/>
    </w:rPr>
  </w:style>
  <w:style w:type="paragraph" w:styleId="Heading2">
    <w:name w:val="Heading 2"/>
    <w:basedOn w:val="Normal"/>
    <w:next w:val="Normal"/>
    <w:qFormat/>
    <w:pPr>
      <w:spacing w:after="120" w:before="320"/>
      <w:outlineLvl w:val="1"/>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2026-05-16T11:25:25.404Z</dcterms:created>
  <dcterms:modified xsi:type="dcterms:W3CDTF">2026-05-16T11:25:25.417Z</dcterms:modified>
</cp:coreProperties>
</file>

<file path=docProps/custom.xml><?xml version="1.0" encoding="utf-8"?>
<Properties xmlns="http://schemas.openxmlformats.org/officeDocument/2006/custom-properties" xmlns:vt="http://schemas.openxmlformats.org/officeDocument/2006/docPropsVTypes"/>
</file>