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before="0"/>
        <w:jc w:val="center"/>
      </w:pPr>
      <w:r>
        <w:rPr>
          <w:rFonts w:ascii="Calibri" w:cs="Calibri" w:eastAsia="Calibri" w:hAnsi="Calibri"/>
          <w:b/>
          <w:bCs/>
          <w:color w:val="1F3864"/>
          <w:sz w:val="64"/>
          <w:szCs w:val="64"/>
        </w:rPr>
        <w:t xml:space="preserve">STOCK INVESTMENT</w:t>
      </w:r>
    </w:p>
    <w:p>
      <w:pPr>
        <w:spacing w:after="200" w:before="40"/>
        <w:jc w:val="center"/>
      </w:pPr>
      <w:r>
        <w:rPr>
          <w:rFonts w:ascii="Calibri" w:cs="Calibri" w:eastAsia="Calibri" w:hAnsi="Calibri"/>
          <w:b/>
          <w:bCs/>
          <w:color w:val="2E75B6"/>
          <w:sz w:val="64"/>
          <w:szCs w:val="64"/>
        </w:rPr>
        <w:t xml:space="preserve">VALUATION FRAMEWORK</w:t>
      </w:r>
    </w:p>
    <w:p>
      <w:pPr>
        <w:shd w:fill="1F3864" w:val="clear"/>
        <w:spacing w:after="0" w:before="0"/>
        <w:jc w:val="center"/>
      </w:pPr>
      <w:r>
        <w:rPr>
          <w:sz w:val="4"/>
          <w:szCs w:val="4"/>
        </w:rPr>
        <w:t xml:space="preserve">  </w:t>
      </w:r>
    </w:p>
    <w:p>
      <w:pPr>
        <w:spacing w:after="0" w:before="40"/>
      </w:pPr>
      <w:r>
        <w:t xml:space="preserve"/>
      </w:r>
    </w:p>
    <w:p>
      <w:pPr>
        <w:spacing w:after="80" w:before="120"/>
        <w:jc w:val="center"/>
      </w:pPr>
      <w:r>
        <w:rPr>
          <w:rFonts w:ascii="Calibri" w:cs="Calibri" w:eastAsia="Calibri" w:hAnsi="Calibri"/>
          <w:i/>
          <w:iCs/>
          <w:color w:val="2E75B6"/>
          <w:sz w:val="26"/>
          <w:szCs w:val="26"/>
        </w:rPr>
        <w:t xml:space="preserve">A practical guide to identifying the right valuation approach</w:t>
      </w:r>
    </w:p>
    <w:p>
      <w:pPr>
        <w:spacing w:after="400" w:before="0"/>
        <w:jc w:val="center"/>
      </w:pPr>
      <w:r>
        <w:rPr>
          <w:rFonts w:ascii="Calibri" w:cs="Calibri" w:eastAsia="Calibri" w:hAnsi="Calibri"/>
          <w:i/>
          <w:iCs/>
          <w:color w:val="404040"/>
          <w:sz w:val="26"/>
          <w:szCs w:val="26"/>
        </w:rPr>
        <w:t xml:space="preserve">for any publicly listed company across US, Canadian, and UK markets</w:t>
      </w:r>
    </w:p>
    <w:p>
      <w:pPr>
        <w:spacing w:after="0" w:before="400"/>
      </w:pPr>
      <w:r>
        <w:t xml:space="preserve"/>
      </w:r>
    </w:p>
    <w:p>
      <w:pPr>
        <w:spacing w:after="60" w:before="0"/>
        <w:jc w:val="center"/>
      </w:pPr>
      <w:r>
        <w:rPr>
          <w:rFonts w:ascii="Calibri" w:cs="Calibri" w:eastAsia="Calibri" w:hAnsi="Calibri"/>
          <w:color w:val="404040"/>
          <w:sz w:val="22"/>
          <w:szCs w:val="22"/>
        </w:rPr>
        <w:t xml:space="preserve">All 11 GICS Sectors  ·  8 Financial Profiles  ·  1–3 Year Investment Horizon</w:t>
      </w:r>
    </w:p>
    <w:p>
      <w:pPr>
        <w:spacing w:after="0" w:before="0"/>
        <w:jc w:val="center"/>
      </w:pPr>
      <w:r>
        <w:rPr>
          <w:rFonts w:ascii="Calibri" w:cs="Calibri" w:eastAsia="Calibri" w:hAnsi="Calibri"/>
          <w:color w:val="404040"/>
          <w:sz w:val="22"/>
          <w:szCs w:val="22"/>
        </w:rPr>
        <w:t xml:space="preserve">Capital Appreciation + Dividend Income</w:t>
      </w:r>
    </w:p>
    <w:p>
      <w:r>
        <w:br w:type="page"/>
      </w:r>
    </w:p>
    <w:p>
      <w:pPr>
        <w:pStyle w:val="Heading1"/>
        <w:shd w:fill="1F3864" w:val="clear"/>
        <w:spacing w:after="160" w:before="360"/>
        <w:ind w:left="200"/>
      </w:pPr>
      <w:r>
        <w:rPr>
          <w:rFonts w:ascii="Calibri" w:cs="Calibri" w:eastAsia="Calibri" w:hAnsi="Calibri"/>
          <w:b/>
          <w:bCs/>
          <w:color w:val="FFFFFF"/>
          <w:sz w:val="36"/>
          <w:szCs w:val="36"/>
        </w:rPr>
        <w:t xml:space="preserve">How to Use This Framework</w:t>
      </w:r>
    </w:p>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This document gives you a systematic, repeatable process for evaluating any publicly listed stock across any sector, any market, any company size. It covers all 11 GICS sectors and is designed for long-term investors with a 1–3 year holding horizon targeting both capital appreciation and dividend income.</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framework is built around one core insight:</w:t>
      </w:r>
    </w:p>
    <w:p>
      <w:pPr>
        <w:pBdr>
          <w:left w:val="single" w:color="2E75B6" w:sz="20" w:space="10"/>
        </w:pBdr>
        <w:shd w:fill="DEEAF1" w:val="clear"/>
        <w:spacing w:after="120" w:before="120" w:line="276"/>
        <w:ind w:left="400" w:right="400"/>
      </w:pPr>
      <w:r>
        <w:rPr>
          <w:rFonts w:ascii="Calibri" w:cs="Calibri" w:eastAsia="Calibri" w:hAnsi="Calibri"/>
          <w:i/>
          <w:iCs/>
          <w:color w:val="1F3864"/>
          <w:sz w:val="21"/>
          <w:szCs w:val="21"/>
        </w:rPr>
        <w:t xml:space="preserve">The sector a company belongs to tells you the context and the benchmarks. The financial profile of the company tells you which valuation method to use. You need both to make a sound investment decision.</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Most investors make the mistake of applying the same valuation method to every company in a sector. But two technology companies — one a profitable FCF machine and one a fast-growing pre-profit startup — require completely different analytical tools. Using P/E on a pre-profit company, or EV/Revenue on a mature dividend payer, produces meaningless results.</w:t>
      </w:r>
    </w:p>
    <w:p>
      <w:pPr>
        <w:spacing w:after="0" w:before="80"/>
      </w:pPr>
      <w:r>
        <w:t xml:space="preserve"/>
      </w:r>
    </w:p>
    <w:p>
      <w:pPr>
        <w:spacing w:after="80" w:before="240"/>
      </w:pPr>
      <w:r>
        <w:rPr>
          <w:rFonts w:ascii="Calibri" w:cs="Calibri" w:eastAsia="Calibri" w:hAnsi="Calibri"/>
          <w:b/>
          <w:bCs/>
          <w:color w:val="2E75B6"/>
          <w:sz w:val="24"/>
          <w:szCs w:val="24"/>
        </w:rPr>
        <w:t xml:space="preserve">The Three-Step Process</w:t>
      </w:r>
    </w:p>
    <w:p>
      <w:pPr>
        <w:spacing w:after="60" w:before="60" w:line="300"/>
        <w:jc w:val="left"/>
      </w:pPr>
      <w:r>
        <w:rPr>
          <w:rFonts w:ascii="Calibri" w:cs="Calibri" w:eastAsia="Calibri" w:hAnsi="Calibri"/>
          <w:b w:val="false"/>
          <w:bCs w:val="false"/>
          <w:i w:val="false"/>
          <w:iCs w:val="false"/>
          <w:color w:val="404040"/>
          <w:sz w:val="22"/>
          <w:szCs w:val="22"/>
        </w:rPr>
        <w:t xml:space="preserve">Every analysis using this framework follows the same three steps:</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2"/>
                <w:szCs w:val="22"/>
              </w:rPr>
              <w:t xml:space="preserve">STEP 1</w:t>
            </w:r>
          </w:p>
        </w:tc>
        <w:tc>
          <w:tcPr>
            <w:tcW w:type="dxa" w:w="30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2"/>
                <w:szCs w:val="22"/>
              </w:rPr>
              <w:t xml:space="preserve">STEP 2</w:t>
            </w:r>
          </w:p>
        </w:tc>
        <w:tc>
          <w:tcPr>
            <w:tcW w:type="dxa" w:w="3000"/>
            <w:tcBorders>
              <w:top w:val="single" w:color="CCCCCC" w:sz="4"/>
              <w:left w:val="single" w:color="CCCCCC" w:sz="4"/>
              <w:bottom w:val="single" w:color="CCCCCC" w:sz="4"/>
              <w:right w:val="single" w:color="CCCCCC" w:sz="4"/>
            </w:tcBorders>
            <w:shd w:fill="1B6B5A"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2"/>
                <w:szCs w:val="22"/>
              </w:rPr>
              <w:t xml:space="preserve">STEP 3</w:t>
            </w:r>
          </w:p>
        </w:tc>
      </w:tr>
      <w:tr>
        <w:tc>
          <w:tcPr>
            <w:tcW w:type="dxa" w:w="30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1F3864"/>
                <w:sz w:val="22"/>
                <w:szCs w:val="22"/>
              </w:rPr>
              <w:t xml:space="preserve">Identify the Sector</w:t>
            </w:r>
          </w:p>
        </w:tc>
        <w:tc>
          <w:tcPr>
            <w:tcW w:type="dxa" w:w="3000"/>
            <w:tcBorders>
              <w:top w:val="single" w:color="CCCCCC" w:sz="4"/>
              <w:left w:val="single" w:color="CCCCCC" w:sz="4"/>
              <w:bottom w:val="single" w:color="CCCCCC" w:sz="4"/>
              <w:right w:val="single" w:color="CCCCCC" w:sz="4"/>
            </w:tcBorders>
            <w:shd w:fill="BDD7EE"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1F3864"/>
                <w:sz w:val="22"/>
                <w:szCs w:val="22"/>
              </w:rPr>
              <w:t xml:space="preserve">Determine the Financial Profile</w:t>
            </w:r>
          </w:p>
        </w:tc>
        <w:tc>
          <w:tcPr>
            <w:tcW w:type="dxa" w:w="3000"/>
            <w:tcBorders>
              <w:top w:val="single" w:color="CCCCCC" w:sz="4"/>
              <w:left w:val="single" w:color="CCCCCC" w:sz="4"/>
              <w:bottom w:val="single" w:color="CCCCCC" w:sz="4"/>
              <w:right w:val="single" w:color="CCCCCC" w:sz="4"/>
            </w:tcBorders>
            <w:shd w:fill="C6EFCE"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1B6B5A"/>
                <w:sz w:val="22"/>
                <w:szCs w:val="22"/>
              </w:rPr>
              <w:t xml:space="preserve">Apply the Right Metrics &amp; Methods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center"/>
            </w:pPr>
            <w:r>
              <w:rPr>
                <w:rFonts w:ascii="Calibri" w:cs="Calibri" w:eastAsia="Calibri" w:hAnsi="Calibri"/>
                <w:b w:val="false"/>
                <w:bCs w:val="false"/>
                <w:i/>
                <w:iCs/>
                <w:color w:val="404040"/>
                <w:sz w:val="20"/>
                <w:szCs w:val="20"/>
              </w:rPr>
              <w:t xml:space="preserve">Where does the company operate?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center"/>
            </w:pPr>
            <w:r>
              <w:rPr>
                <w:rFonts w:ascii="Calibri" w:cs="Calibri" w:eastAsia="Calibri" w:hAnsi="Calibri"/>
                <w:b w:val="false"/>
                <w:bCs w:val="false"/>
                <w:i/>
                <w:iCs/>
                <w:color w:val="404040"/>
                <w:sz w:val="20"/>
                <w:szCs w:val="20"/>
              </w:rPr>
              <w:t xml:space="preserve">What does the financial structure look like?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center"/>
            </w:pPr>
            <w:r>
              <w:rPr>
                <w:rFonts w:ascii="Calibri" w:cs="Calibri" w:eastAsia="Calibri" w:hAnsi="Calibri"/>
                <w:b w:val="false"/>
                <w:bCs w:val="false"/>
                <w:i/>
                <w:iCs/>
                <w:color w:val="404040"/>
                <w:sz w:val="20"/>
                <w:szCs w:val="20"/>
              </w:rPr>
              <w:t xml:space="preserve">Use Sector + Profile to select methods and metrics.</w:t>
            </w:r>
          </w:p>
        </w:tc>
      </w:tr>
    </w:tbl>
    <w:p>
      <w:pPr>
        <w:spacing w:after="0" w:before="120"/>
      </w:pPr>
      <w:r>
        <w:t xml:space="preserve"/>
      </w:r>
    </w:p>
    <w:p>
      <w:pPr>
        <w:pBdr>
          <w:left w:val="single" w:color="7F6000" w:sz="20" w:space="10"/>
        </w:pBdr>
        <w:shd w:fill="FFF2CC" w:val="clear"/>
        <w:spacing w:after="120" w:before="120" w:line="276"/>
        <w:ind w:left="400" w:right="400"/>
      </w:pPr>
      <w:r>
        <w:rPr>
          <w:rFonts w:ascii="Calibri" w:cs="Calibri" w:eastAsia="Calibri" w:hAnsi="Calibri"/>
          <w:i/>
          <w:iCs/>
          <w:color w:val="1F3864"/>
          <w:sz w:val="21"/>
          <w:szCs w:val="21"/>
        </w:rPr>
        <w:t xml:space="preserve">Important: This framework is a decision-support tool, not a black box. Always read primary sources — annual reports, earnings calls, and regulatory filings — before making any investment decision.</w:t>
      </w:r>
    </w:p>
    <w:p>
      <w:r>
        <w:br w:type="page"/>
      </w:r>
    </w:p>
    <w:p>
      <w:pPr>
        <w:pStyle w:val="Heading1"/>
        <w:shd w:fill="1F3864" w:val="clear"/>
        <w:spacing w:after="160" w:before="360"/>
        <w:ind w:left="200"/>
      </w:pPr>
      <w:r>
        <w:rPr>
          <w:rFonts w:ascii="Calibri" w:cs="Calibri" w:eastAsia="Calibri" w:hAnsi="Calibri"/>
          <w:b/>
          <w:bCs/>
          <w:color w:val="FFFFFF"/>
          <w:sz w:val="36"/>
          <w:szCs w:val="36"/>
        </w:rPr>
        <w:t xml:space="preserve">Step 1 — Identifying the Sector</w:t>
      </w:r>
    </w:p>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sector is the broadest classification of what a company does. It tells you the competitive environment, the typical capital structure, and the benchmarks you will compare performance against. It does not by itself tell you which valuation method to use — but it provides essential context for everything that follows.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28"/>
          <w:szCs w:val="28"/>
        </w:rPr>
        <w:t xml:space="preserve">Where to Find the Sector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Source</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Where to Look</w:t>
            </w:r>
          </w:p>
        </w:tc>
        <w:tc>
          <w:tcPr>
            <w:tcW w:type="dxa" w:w="3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Stock screeners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Yahoo Finance, Finviz, Morningstar, Seeking Alpha</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Listed on any company's profile page under 'Sector'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SEC / EDGAR filings (US)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Form 10-K, cover page or Item 1 (Business)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Most authoritative — the company's own 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SEDAR+ filings (Canada)</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Annual Information Form (AIF), Business section</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Equivalent to the US 10-K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Companies House / LSE (UK)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Annual Report, Strategic Report section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UK listed companies describe their business here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GICS Classification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Used by S&amp;P and MSCI — the global standard</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11 sectors, 25 industry groups — consistent across all major platforms</w:t>
            </w:r>
          </w:p>
        </w:tc>
      </w:tr>
    </w:tbl>
    <w:p>
      <w:pPr>
        <w:spacing w:after="0" w:before="120"/>
      </w:pPr>
      <w:r>
        <w:t xml:space="preserve"/>
      </w:r>
    </w:p>
    <w:p>
      <w:pPr>
        <w:pStyle w:val="Heading2"/>
        <w:pBdr>
          <w:bottom w:val="single" w:color="2E75B6" w:sz="8" w:space="4"/>
        </w:pBdr>
        <w:spacing w:after="120" w:before="320"/>
      </w:pPr>
      <w:r>
        <w:rPr>
          <w:rFonts w:ascii="Calibri" w:cs="Calibri" w:eastAsia="Calibri" w:hAnsi="Calibri"/>
          <w:b/>
          <w:bCs/>
          <w:color w:val="1F3864"/>
          <w:sz w:val="28"/>
          <w:szCs w:val="28"/>
        </w:rPr>
        <w:t xml:space="preserve">All 11 GICS Sectors</w:t>
      </w:r>
    </w:p>
    <w:p>
      <w:pPr>
        <w:spacing w:after="60" w:before="60" w:line="300"/>
        <w:jc w:val="left"/>
      </w:pPr>
      <w:r>
        <w:rPr>
          <w:rFonts w:ascii="Calibri" w:cs="Calibri" w:eastAsia="Calibri" w:hAnsi="Calibri"/>
          <w:b w:val="false"/>
          <w:bCs w:val="false"/>
          <w:i w:val="false"/>
          <w:iCs w:val="false"/>
          <w:color w:val="404040"/>
          <w:sz w:val="22"/>
          <w:szCs w:val="22"/>
        </w:rPr>
        <w:t xml:space="preserve">This framework covers all 11 sectors defined by the Global Industry Classification Standard (GICS). Here is what each sector covers, its key characteristics, and representative companies across the US, Canadian, and UK markets.</w:t>
      </w:r>
    </w:p>
    <w:p>
      <w:pPr>
        <w:spacing w:after="0" w:before="80"/>
      </w:pPr>
      <w:r>
        <w:t xml:space="preserve"/>
      </w:r>
    </w:p>
    <w:p>
      <w:pPr>
        <w:spacing w:after="80" w:before="240"/>
      </w:pPr>
      <w:r>
        <w:rPr>
          <w:rFonts w:ascii="Calibri" w:cs="Calibri" w:eastAsia="Calibri" w:hAnsi="Calibri"/>
          <w:b/>
          <w:bCs/>
          <w:color w:val="2E75B6"/>
          <w:sz w:val="24"/>
          <w:szCs w:val="24"/>
        </w:rPr>
        <w:t xml:space="preserve">1.  Technology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Software, semiconductors, hardware, IT services, internet platforms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Broadest sector — ranges from pre-profit SaaS startups to mature cash-generative franchises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Microsoft, Nvidia, Shopify (CA), Sage Group (UK)</w:t>
            </w:r>
          </w:p>
        </w:tc>
      </w:tr>
    </w:tbl>
    <w:p>
      <w:pPr>
        <w:spacing w:after="0" w:before="80"/>
      </w:pPr>
      <w:r>
        <w:t xml:space="preserve"/>
      </w:r>
    </w:p>
    <w:p>
      <w:pPr>
        <w:spacing w:after="80" w:before="240"/>
      </w:pPr>
      <w:r>
        <w:rPr>
          <w:rFonts w:ascii="Calibri" w:cs="Calibri" w:eastAsia="Calibri" w:hAnsi="Calibri"/>
          <w:b/>
          <w:bCs/>
          <w:color w:val="2E75B6"/>
          <w:sz w:val="24"/>
          <w:szCs w:val="24"/>
        </w:rPr>
        <w:t xml:space="preserve">2.  Communication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Telecom operators, media companies, internet content &amp; platforms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Split into two very different sub-groups: telecom (bond-like, high yield) and internet platforms (growth-oriented)</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Alphabet, Meta, AT&amp;T, BCE (CA), BT Group (UK), WPP (UK)</w:t>
            </w:r>
          </w:p>
        </w:tc>
      </w:tr>
    </w:tbl>
    <w:p>
      <w:pPr>
        <w:spacing w:after="0" w:before="80"/>
      </w:pPr>
      <w:r>
        <w:t xml:space="preserve"/>
      </w:r>
    </w:p>
    <w:p>
      <w:pPr>
        <w:spacing w:after="80" w:before="240"/>
      </w:pPr>
      <w:r>
        <w:rPr>
          <w:rFonts w:ascii="Calibri" w:cs="Calibri" w:eastAsia="Calibri" w:hAnsi="Calibri"/>
          <w:b/>
          <w:bCs/>
          <w:color w:val="2E75B6"/>
          <w:sz w:val="24"/>
          <w:szCs w:val="24"/>
        </w:rPr>
        <w:t xml:space="preserve">3.  Healthcare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Pharmaceuticals, biotechnology, medical devices, healthcare services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Ranges from speculative pre-revenue biotech to stable large-cap pharma with 20%+ margins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Johnson &amp; Johnson, AstraZeneca (UK), Pfizer, Shoppers Drug Mart / Loblaw (CA)</w:t>
            </w:r>
          </w:p>
        </w:tc>
      </w:tr>
    </w:tbl>
    <w:p>
      <w:pPr>
        <w:spacing w:after="0" w:before="80"/>
      </w:pPr>
      <w:r>
        <w:t xml:space="preserve"/>
      </w:r>
    </w:p>
    <w:p>
      <w:pPr>
        <w:spacing w:after="80" w:before="240"/>
      </w:pPr>
      <w:r>
        <w:rPr>
          <w:rFonts w:ascii="Calibri" w:cs="Calibri" w:eastAsia="Calibri" w:hAnsi="Calibri"/>
          <w:b/>
          <w:bCs/>
          <w:color w:val="2E75B6"/>
          <w:sz w:val="24"/>
          <w:szCs w:val="24"/>
        </w:rPr>
        <w:t xml:space="preserve">4.  Financials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Banks, insurance companies, asset managers, specialty finance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Debt is a product here, not leverage — requires entirely different valuation tools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JPMorgan, Royal Bank of Canada, Lloyds (UK), Intact Financial (CA)</w:t>
            </w:r>
          </w:p>
        </w:tc>
      </w:tr>
    </w:tbl>
    <w:p>
      <w:pPr>
        <w:spacing w:after="0" w:before="80"/>
      </w:pPr>
      <w:r>
        <w:t xml:space="preserve"/>
      </w:r>
    </w:p>
    <w:p>
      <w:pPr>
        <w:spacing w:after="80" w:before="240"/>
      </w:pPr>
      <w:r>
        <w:rPr>
          <w:rFonts w:ascii="Calibri" w:cs="Calibri" w:eastAsia="Calibri" w:hAnsi="Calibri"/>
          <w:b/>
          <w:bCs/>
          <w:color w:val="2E75B6"/>
          <w:sz w:val="24"/>
          <w:szCs w:val="24"/>
        </w:rPr>
        <w:t xml:space="preserve">5.  Energy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Oil &amp; gas E&amp;P, integrated majors, pipelines/midstream, renewable energy</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Highly cyclical — commodity prices drive 70–80% of earnings; always value at mid-cycle prices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ExxonMobil, Shell (UK), Suncor Energy (CA), Enbridge (CA)</w:t>
            </w:r>
          </w:p>
        </w:tc>
      </w:tr>
    </w:tbl>
    <w:p>
      <w:pPr>
        <w:spacing w:after="0" w:before="80"/>
      </w:pPr>
      <w:r>
        <w:t xml:space="preserve"/>
      </w:r>
    </w:p>
    <w:p>
      <w:pPr>
        <w:spacing w:after="80" w:before="240"/>
      </w:pPr>
      <w:r>
        <w:rPr>
          <w:rFonts w:ascii="Calibri" w:cs="Calibri" w:eastAsia="Calibri" w:hAnsi="Calibri"/>
          <w:b/>
          <w:bCs/>
          <w:color w:val="2E75B6"/>
          <w:sz w:val="24"/>
          <w:szCs w:val="24"/>
        </w:rPr>
        <w:t xml:space="preserve">6.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Mining, chemicals, paper &amp; packaging, steel, precious metals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Commodity-driven like Energy but with even more geographic and commodity diversity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BHP (UK listed), Barrick Gold, Dow Chemical, Teck Resources (CA), Anglo American (UK)</w:t>
            </w:r>
          </w:p>
        </w:tc>
      </w:tr>
    </w:tbl>
    <w:p>
      <w:pPr>
        <w:spacing w:after="0" w:before="80"/>
      </w:pPr>
      <w:r>
        <w:t xml:space="preserve"/>
      </w:r>
    </w:p>
    <w:p>
      <w:pPr>
        <w:spacing w:after="80" w:before="240"/>
      </w:pPr>
      <w:r>
        <w:rPr>
          <w:rFonts w:ascii="Calibri" w:cs="Calibri" w:eastAsia="Calibri" w:hAnsi="Calibri"/>
          <w:b/>
          <w:bCs/>
          <w:color w:val="2E75B6"/>
          <w:sz w:val="24"/>
          <w:szCs w:val="24"/>
        </w:rPr>
        <w:t xml:space="preserve">7.  Consumer Staples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Food, beverages, household goods, personal care, tobacco</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Defensive — demand is stable even in recessions; pricing power and brand moat are the key differentiators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Procter &amp; Gamble, Unilever (UK), Loblaw (CA), Diageo (UK)</w:t>
            </w:r>
          </w:p>
        </w:tc>
      </w:tr>
    </w:tbl>
    <w:p>
      <w:pPr>
        <w:spacing w:after="0" w:before="80"/>
      </w:pPr>
      <w:r>
        <w:t xml:space="preserve"/>
      </w:r>
    </w:p>
    <w:p>
      <w:pPr>
        <w:spacing w:after="80" w:before="240"/>
      </w:pPr>
      <w:r>
        <w:rPr>
          <w:rFonts w:ascii="Calibri" w:cs="Calibri" w:eastAsia="Calibri" w:hAnsi="Calibri"/>
          <w:b/>
          <w:bCs/>
          <w:color w:val="2E75B6"/>
          <w:sz w:val="24"/>
          <w:szCs w:val="24"/>
        </w:rPr>
        <w:t xml:space="preserve">8.  Consumer Discretionary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Retail, automotive, restaurants, luxury goods, e-commerce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Cyclical — demand falls in recessions; brand strength and market position determine resilience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Amazon, Nike, Canadian Tire (CA), Next (UK), Burberry (UK)</w:t>
            </w:r>
          </w:p>
        </w:tc>
      </w:tr>
    </w:tbl>
    <w:p>
      <w:pPr>
        <w:spacing w:after="0" w:before="80"/>
      </w:pPr>
      <w:r>
        <w:t xml:space="preserve"/>
      </w:r>
    </w:p>
    <w:p>
      <w:pPr>
        <w:spacing w:after="80" w:before="240"/>
      </w:pPr>
      <w:r>
        <w:rPr>
          <w:rFonts w:ascii="Calibri" w:cs="Calibri" w:eastAsia="Calibri" w:hAnsi="Calibri"/>
          <w:b/>
          <w:bCs/>
          <w:color w:val="2E75B6"/>
          <w:sz w:val="24"/>
          <w:szCs w:val="24"/>
        </w:rPr>
        <w:t xml:space="preserve">9.  Industrials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Aerospace &amp; defence, machinery, transportation, logistics, business services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Economically sensitive but often with long-term contract backlogs providing revenue visibility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Boeing, Caterpillar, TFI International (CA), BAE Systems (UK), Rolls-Royce (UK)</w:t>
            </w:r>
          </w:p>
        </w:tc>
      </w:tr>
    </w:tbl>
    <w:p>
      <w:pPr>
        <w:spacing w:after="0" w:before="80"/>
      </w:pPr>
      <w:r>
        <w:t xml:space="preserve"/>
      </w:r>
    </w:p>
    <w:p>
      <w:pPr>
        <w:spacing w:after="80" w:before="240"/>
      </w:pPr>
      <w:r>
        <w:rPr>
          <w:rFonts w:ascii="Calibri" w:cs="Calibri" w:eastAsia="Calibri" w:hAnsi="Calibri"/>
          <w:b/>
          <w:bCs/>
          <w:color w:val="2E75B6"/>
          <w:sz w:val="24"/>
          <w:szCs w:val="24"/>
        </w:rPr>
        <w:t xml:space="preserve">10.  Utilities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Regulated electricity, gas, water, and multi-utilities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Bond-like — returns capped by regulators; primary appeal is stable, growing dividends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Duke Energy, Fortis (CA), National Grid (UK), Hydro One (CA)</w:t>
            </w:r>
          </w:p>
        </w:tc>
      </w:tr>
    </w:tbl>
    <w:p>
      <w:pPr>
        <w:spacing w:after="0" w:before="80"/>
      </w:pPr>
      <w:r>
        <w:t xml:space="preserve"/>
      </w:r>
    </w:p>
    <w:p>
      <w:pPr>
        <w:spacing w:after="80" w:before="240"/>
      </w:pPr>
      <w:r>
        <w:rPr>
          <w:rFonts w:ascii="Calibri" w:cs="Calibri" w:eastAsia="Calibri" w:hAnsi="Calibri"/>
          <w:b/>
          <w:bCs/>
          <w:color w:val="2E75B6"/>
          <w:sz w:val="24"/>
          <w:szCs w:val="24"/>
        </w:rPr>
        <w:t xml:space="preserve">11.  Real Estate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Coverage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Key Characteristic</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Example Companies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REITs (all sub-types) and real estate services companies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REITs require FFO/AFFO-based valuation; real estate services (brokers, managers) use standard methods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Prologis, Brookfield Asset Management (CA), Segro (UK), CBRE Group</w:t>
            </w:r>
          </w:p>
        </w:tc>
      </w:tr>
    </w:tbl>
    <w:p>
      <w:pPr>
        <w:spacing w:after="0" w:before="80"/>
      </w:pPr>
      <w:r>
        <w:t xml:space="preserve"/>
      </w:r>
    </w:p>
    <w:p>
      <w:pPr>
        <w:pBdr>
          <w:left w:val="single" w:color="7F6000" w:sz="20" w:space="10"/>
        </w:pBdr>
        <w:shd w:fill="FFF2CC" w:val="clear"/>
        <w:spacing w:after="120" w:before="120" w:line="276"/>
        <w:ind w:left="400" w:right="400"/>
      </w:pPr>
      <w:r>
        <w:rPr>
          <w:rFonts w:ascii="Calibri" w:cs="Calibri" w:eastAsia="Calibri" w:hAnsi="Calibri"/>
          <w:i/>
          <w:iCs/>
          <w:color w:val="1F3864"/>
          <w:sz w:val="21"/>
          <w:szCs w:val="21"/>
        </w:rPr>
        <w:t xml:space="preserve">When a company operates across multiple sectors (e.g. Berkshire Hathaway, Brookfield Asset Management), classify it by its primary revenue driver or use a sum-of-parts approach, valuing each division using the appropriate sector-profile combination.</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28"/>
          <w:szCs w:val="28"/>
        </w:rPr>
        <w:t xml:space="preserve">The Two Sectors That Are Most Commonly Confused</w:t>
      </w:r>
    </w:p>
    <w:p>
      <w:pPr>
        <w:spacing w:after="60" w:before="60" w:line="300"/>
        <w:jc w:val="left"/>
      </w:pPr>
      <w:r>
        <w:rPr>
          <w:rFonts w:ascii="Calibri" w:cs="Calibri" w:eastAsia="Calibri" w:hAnsi="Calibri"/>
          <w:b w:val="false"/>
          <w:bCs w:val="false"/>
          <w:i w:val="false"/>
          <w:iCs w:val="false"/>
          <w:color w:val="404040"/>
          <w:sz w:val="22"/>
          <w:szCs w:val="22"/>
        </w:rPr>
        <w:t xml:space="preserve">Communication Services vs. Technology: Since 2018, GICS moved internet platforms (Alphabet, Meta) out of Technology and into Communication Services. Both sectors contain high-growth companies, but telecom operators (also in Communication Services) behave very differently — they are high-yield, capital-intensive, regulated businesses closer to Utilities than to tech startups. Always check the sub-industry, not just the sector.</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Consumer Staples vs. Consumer Discretionary: The key test is recession resilience. People still buy toothpaste and food in a recession (Staples). They stop buying luxury goods and new cars (Discretionary). Misclassifying here leads to applying the wrong valuation multiples and missing the cyclical risk entirely.</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Real Estate vs. Financials: REITs are classified under Real Estate, not Financials. Real estate services companies (brokers, property managers) are also under Real Estate. Mortgage companies and real estate lenders sit in Financials. The distinction matters because REITs require FFO-based valuation while the others use standard methods.</w:t>
      </w:r>
    </w:p>
    <w:p>
      <w:r>
        <w:br w:type="page"/>
      </w:r>
    </w:p>
    <w:p>
      <w:pPr>
        <w:pStyle w:val="Heading1"/>
        <w:shd w:fill="1F3864" w:val="clear"/>
        <w:spacing w:after="160" w:before="360"/>
        <w:ind w:left="200"/>
      </w:pPr>
      <w:r>
        <w:rPr>
          <w:rFonts w:ascii="Calibri" w:cs="Calibri" w:eastAsia="Calibri" w:hAnsi="Calibri"/>
          <w:b/>
          <w:bCs/>
          <w:color w:val="FFFFFF"/>
          <w:sz w:val="36"/>
          <w:szCs w:val="36"/>
        </w:rPr>
        <w:t xml:space="preserve">Step 2 — Identifying the Financial Profile</w:t>
      </w:r>
    </w:p>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Once you know the sector, the next step is to classify the company's financial profile. This determines which valuation methods are valid and which metrics are most meaningful. Two companies in the same sector can have completely different financial profiles — and therefore need completely different analytical approaches.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28"/>
          <w:szCs w:val="28"/>
        </w:rPr>
        <w:t xml:space="preserve">The Diagnostic Questionnaire</w:t>
      </w:r>
    </w:p>
    <w:p>
      <w:pPr>
        <w:spacing w:after="60" w:before="60" w:line="300"/>
        <w:jc w:val="left"/>
      </w:pPr>
      <w:r>
        <w:rPr>
          <w:rFonts w:ascii="Calibri" w:cs="Calibri" w:eastAsia="Calibri" w:hAnsi="Calibri"/>
          <w:b w:val="false"/>
          <w:bCs w:val="false"/>
          <w:i w:val="false"/>
          <w:iCs w:val="false"/>
          <w:color w:val="404040"/>
          <w:sz w:val="22"/>
          <w:szCs w:val="22"/>
        </w:rPr>
        <w:t xml:space="preserve">Work through these five questions in order. Your answers will identify the correct financial profile.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4"/>
                <w:szCs w:val="24"/>
              </w:rPr>
              <w:t xml:space="preserve">Q1</w:t>
            </w:r>
          </w:p>
        </w:tc>
        <w:tc>
          <w:tcPr>
            <w:tcW w:type="dxa" w:w="85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2"/>
                <w:szCs w:val="22"/>
              </w:rPr>
              <w:t xml:space="preserve">Has the company generated positive Free Cash Flow (FCF) in at least 3 of the last 5 years?</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375623"/>
                <w:sz w:val="20"/>
                <w:szCs w:val="20"/>
              </w:rPr>
              <w:t xml:space="preserve">Yes →</w:t>
            </w:r>
          </w:p>
        </w:tc>
        <w:tc>
          <w:tcPr>
            <w:tcW w:type="dxa" w:w="8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company generates real cash. Continue to Q2.</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C55A11"/>
                <w:sz w:val="20"/>
                <w:szCs w:val="20"/>
              </w:rPr>
              <w:t xml:space="preserve">No →</w:t>
            </w:r>
          </w:p>
        </w:tc>
        <w:tc>
          <w:tcPr>
            <w:tcW w:type="dxa" w:w="8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Likely Pre-Profit / High Growth (Profile 3) or Turnaround (Profile 7). Go to Q5.</w:t>
            </w:r>
          </w:p>
        </w:tc>
      </w:tr>
    </w:tbl>
    <w:p>
      <w:pPr>
        <w:spacing w:after="0" w:before="40"/>
      </w:pPr>
      <w:r>
        <w:t xml:space="preserve"/>
      </w:r>
    </w:p>
    <w:p>
      <w:pPr>
        <w:spacing w:after="60" w:before="60" w:line="300"/>
        <w:jc w:val="left"/>
      </w:pPr>
      <w:r>
        <w:rPr>
          <w:rFonts w:ascii="Calibri" w:cs="Calibri" w:eastAsia="Calibri" w:hAnsi="Calibri"/>
          <w:b w:val="false"/>
          <w:bCs w:val="false"/>
          <w:i/>
          <w:iCs/>
          <w:color w:val="404040"/>
          <w:sz w:val="22"/>
          <w:szCs w:val="22"/>
        </w:rPr>
        <w:t xml:space="preserve">Free Cash Flow = Operating Cash Flow minus Capital Expenditures. Found in the cash flow statement of any annual report. This is the single most important screening question — FCF-negative companies cannot be valued using DCF, P/OCF, or earnings multiples reliably.</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4"/>
                <w:szCs w:val="24"/>
              </w:rPr>
              <w:t xml:space="preserve">Q2</w:t>
            </w:r>
          </w:p>
        </w:tc>
        <w:tc>
          <w:tcPr>
            <w:tcW w:type="dxa" w:w="85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2"/>
                <w:szCs w:val="22"/>
              </w:rPr>
              <w:t xml:space="preserve">Has the company paid a consistent dividend for at least 5 consecutive years?</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375623"/>
                <w:sz w:val="20"/>
                <w:szCs w:val="20"/>
              </w:rPr>
              <w:t xml:space="preserve">Yes →</w:t>
            </w:r>
          </w:p>
        </w:tc>
        <w:tc>
          <w:tcPr>
            <w:tcW w:type="dxa" w:w="8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company is a Dividend Payer (Profile 4). DDM and yield analysis become relevant.</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C55A11"/>
                <w:sz w:val="20"/>
                <w:szCs w:val="20"/>
              </w:rPr>
              <w:t xml:space="preserve">No →</w:t>
            </w:r>
          </w:p>
        </w:tc>
        <w:tc>
          <w:tcPr>
            <w:tcW w:type="dxa" w:w="8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Focus on price appreciation. Continue to Q3.</w:t>
            </w:r>
          </w:p>
        </w:tc>
      </w:tr>
    </w:tbl>
    <w:p>
      <w:pPr>
        <w:spacing w:after="0" w:before="40"/>
      </w:pPr>
      <w:r>
        <w:t xml:space="preserve"/>
      </w:r>
    </w:p>
    <w:p>
      <w:pPr>
        <w:spacing w:after="60" w:before="60" w:line="300"/>
        <w:jc w:val="left"/>
      </w:pPr>
      <w:r>
        <w:rPr>
          <w:rFonts w:ascii="Calibri" w:cs="Calibri" w:eastAsia="Calibri" w:hAnsi="Calibri"/>
          <w:b w:val="false"/>
          <w:bCs w:val="false"/>
          <w:i/>
          <w:iCs/>
          <w:color w:val="404040"/>
          <w:sz w:val="22"/>
          <w:szCs w:val="22"/>
        </w:rPr>
        <w:t xml:space="preserve">Consistency matters more than size. A company that maintained its dividend through the 2020 COVID shock demonstrates serious financial discipline. Check the investor relations page or cash flow statement under 'Dividends paid'.</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4"/>
                <w:szCs w:val="24"/>
              </w:rPr>
              <w:t xml:space="preserve">Q3</w:t>
            </w:r>
          </w:p>
        </w:tc>
        <w:tc>
          <w:tcPr>
            <w:tcW w:type="dxa" w:w="85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2"/>
                <w:szCs w:val="22"/>
              </w:rPr>
              <w:t xml:space="preserve">What is the company's revenue growth rate over the past 3 years?</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375623"/>
                <w:sz w:val="20"/>
                <w:szCs w:val="20"/>
              </w:rPr>
              <w:t xml:space="preserve">≥ 15%/yr →</w:t>
            </w:r>
          </w:p>
        </w:tc>
        <w:tc>
          <w:tcPr>
            <w:tcW w:type="dxa" w:w="8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fast. If FCF positive: Growth + FCF Positive (Profile 2). If not: Pre-Profit / High Growth (Profile 3).</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C55A11"/>
                <w:sz w:val="20"/>
                <w:szCs w:val="20"/>
              </w:rPr>
              <w:t xml:space="preserve">&lt; 5%/yr →</w:t>
            </w:r>
          </w:p>
        </w:tc>
        <w:tc>
          <w:tcPr>
            <w:tcW w:type="dxa" w:w="8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Mature or in decline. If FCF stable: Mature FCF Generator (Profile 1) or Dividend Payer (Profile 4). If declining: check Cyclical (Profile 6) or Turnaround (Profile 7).</w:t>
            </w:r>
          </w:p>
        </w:tc>
      </w:tr>
    </w:tbl>
    <w:p>
      <w:pPr>
        <w:spacing w:after="0" w:before="40"/>
      </w:pPr>
      <w:r>
        <w:t xml:space="preserve"/>
      </w:r>
    </w:p>
    <w:p>
      <w:pPr>
        <w:spacing w:after="60" w:before="60" w:line="300"/>
        <w:jc w:val="left"/>
      </w:pPr>
      <w:r>
        <w:rPr>
          <w:rFonts w:ascii="Calibri" w:cs="Calibri" w:eastAsia="Calibri" w:hAnsi="Calibri"/>
          <w:b w:val="false"/>
          <w:bCs w:val="false"/>
          <w:i/>
          <w:iCs/>
          <w:color w:val="404040"/>
          <w:sz w:val="22"/>
          <w:szCs w:val="22"/>
        </w:rPr>
        <w:t xml:space="preserve">For cyclical businesses (Energy, Materials, Industrials), compare revenue over 5–7 years rather than just 3 — short windows can capture a peak or trough and distort the picture entirely.</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4"/>
                <w:szCs w:val="24"/>
              </w:rPr>
              <w:t xml:space="preserve">Q4</w:t>
            </w:r>
          </w:p>
        </w:tc>
        <w:tc>
          <w:tcPr>
            <w:tcW w:type="dxa" w:w="85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2"/>
                <w:szCs w:val="22"/>
              </w:rPr>
              <w:t xml:space="preserve">Does the company have a regulated revenue model OR is debt a core product of the business (not just leverage)?</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375623"/>
                <w:sz w:val="20"/>
                <w:szCs w:val="20"/>
              </w:rPr>
              <w:t xml:space="preserve">Yes →</w:t>
            </w:r>
          </w:p>
        </w:tc>
        <w:tc>
          <w:tcPr>
            <w:tcW w:type="dxa" w:w="8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Asset-Heavy / Regulated (Profile 5). Applies to banks, utilities, insurers, infrastructure. EV multiples and DCF are not appropriate.</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C55A11"/>
                <w:sz w:val="20"/>
                <w:szCs w:val="20"/>
              </w:rPr>
              <w:t xml:space="preserve">No →</w:t>
            </w:r>
          </w:p>
        </w:tc>
        <w:tc>
          <w:tcPr>
            <w:tcW w:type="dxa" w:w="8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Continue to Q5.</w:t>
            </w:r>
          </w:p>
        </w:tc>
      </w:tr>
    </w:tbl>
    <w:p>
      <w:pPr>
        <w:spacing w:after="0" w:before="40"/>
      </w:pPr>
      <w:r>
        <w:t xml:space="preserve"/>
      </w:r>
    </w:p>
    <w:p>
      <w:pPr>
        <w:spacing w:after="60" w:before="60" w:line="300"/>
        <w:jc w:val="left"/>
      </w:pPr>
      <w:r>
        <w:rPr>
          <w:rFonts w:ascii="Calibri" w:cs="Calibri" w:eastAsia="Calibri" w:hAnsi="Calibri"/>
          <w:b w:val="false"/>
          <w:bCs w:val="false"/>
          <w:i/>
          <w:iCs/>
          <w:color w:val="404040"/>
          <w:sz w:val="22"/>
          <w:szCs w:val="22"/>
        </w:rPr>
        <w:t xml:space="preserve">Banks borrow money (deposits) and lend at higher rates — debt is the business. Regulated utilities earn a fixed return on their asset base set by a government regulator. Standard free cash flow analysis is misleading for both.</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4"/>
                <w:szCs w:val="24"/>
              </w:rPr>
              <w:t xml:space="preserve">Q5</w:t>
            </w:r>
          </w:p>
        </w:tc>
        <w:tc>
          <w:tcPr>
            <w:tcW w:type="dxa" w:w="85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2"/>
                <w:szCs w:val="22"/>
              </w:rPr>
              <w:t xml:space="preserve">Does the company's revenue swing significantly with the economic cycle or commodity prices?</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375623"/>
                <w:sz w:val="20"/>
                <w:szCs w:val="20"/>
              </w:rPr>
              <w:t xml:space="preserve">Yes →</w:t>
            </w:r>
          </w:p>
        </w:tc>
        <w:tc>
          <w:tcPr>
            <w:tcW w:type="dxa" w:w="8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Cyclical (Profile 6). Use mid-cycle normalized earnings — never peak-cycle figures.</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C55A11"/>
                <w:sz w:val="20"/>
                <w:szCs w:val="20"/>
              </w:rPr>
              <w:t xml:space="preserve">Yes, and revenue was already declining before the cycle →</w:t>
            </w:r>
          </w:p>
        </w:tc>
        <w:tc>
          <w:tcPr>
            <w:tcW w:type="dxa" w:w="8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Turnaround / Distressed (Profile 7). Structural problems, not just cyclical ones.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28"/>
          <w:szCs w:val="28"/>
        </w:rPr>
        <w:t xml:space="preserve">The 8 Financial Profiles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Profile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How to Identify It</w:t>
            </w:r>
          </w:p>
        </w:tc>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Primary Signal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1. Mature FCF Generator</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Positive FCF 5+ years, revenue growth 0–10%, stable margins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Consistent operating cash flow well above capex</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2. Growth + FCF Positive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growth ≥ 15%, FCF positive and improving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margin small but growing as revenue scales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3. Pre-Profit / High Growth</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growing ≥ 20–30%, FCF negative, burning cash</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Large gap between gross profit and operating profit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4. Dividend Payer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Consistent dividends 5+ years, clearly funded by FCF</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Dividend per share stable or growing every year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5. Asset-Heavy / Regulated</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Bank, insurer, regulated utility, or infrastructure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Debt is a product (bank) or returns set by regulator (utility)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6. Cyclical Business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Revenue/earnings swing 30–50%+ with the cycle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Earnings at peak look very different from trough</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7. Turnaround / Distressed</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revenue, negative FCF, restructuring underway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History of losses, management change, restructuring charges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8. REIT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Legally structured as REIT, 90% income distribution required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FFO and AFFO replace EPS as the profitability measure</w:t>
            </w:r>
          </w:p>
        </w:tc>
      </w:tr>
    </w:tbl>
    <w:p>
      <w:pPr>
        <w:spacing w:after="0" w:before="100"/>
      </w:pPr>
      <w:r>
        <w:t xml:space="preserve"/>
      </w:r>
    </w:p>
    <w:p>
      <w:pPr>
        <w:pBdr>
          <w:left w:val="single" w:color="1B6B5A" w:sz="20" w:space="10"/>
        </w:pBdr>
        <w:shd w:fill="C6EFCE" w:val="clear"/>
        <w:spacing w:after="120" w:before="120" w:line="276"/>
        <w:ind w:left="400" w:right="400"/>
      </w:pPr>
      <w:r>
        <w:rPr>
          <w:rFonts w:ascii="Calibri" w:cs="Calibri" w:eastAsia="Calibri" w:hAnsi="Calibri"/>
          <w:i/>
          <w:iCs/>
          <w:color w:val="1F3864"/>
          <w:sz w:val="21"/>
          <w:szCs w:val="21"/>
        </w:rPr>
        <w:t xml:space="preserve">A company can have characteristics of more than one profile. Many integrated oil majors are both Cyclical and Dividend Payers. In that case, apply methods from both profiles and look for agreement. Convergence between multiple methods increases conviction.</w:t>
      </w:r>
    </w:p>
    <w:p>
      <w:r>
        <w:br w:type="page"/>
      </w:r>
    </w:p>
    <w:p>
      <w:pPr>
        <w:pStyle w:val="Heading1"/>
        <w:shd w:fill="1F3864" w:val="clear"/>
        <w:spacing w:after="160" w:before="360"/>
        <w:ind w:left="200"/>
      </w:pPr>
      <w:r>
        <w:rPr>
          <w:rFonts w:ascii="Calibri" w:cs="Calibri" w:eastAsia="Calibri" w:hAnsi="Calibri"/>
          <w:b/>
          <w:bCs/>
          <w:color w:val="FFFFFF"/>
          <w:sz w:val="36"/>
          <w:szCs w:val="36"/>
        </w:rPr>
        <w:t xml:space="preserve">Step 3 — Metrics, Methods &amp; Why They Matter</w:t>
      </w:r>
    </w:p>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This section explains the valuation methods and key metrics for each financial profile — and the reasoning behind each choice. Understanding why a metric matters is what allows good judgment when numbers are ambiguous or incomplete.</w:t>
      </w:r>
    </w:p>
    <w:p>
      <w:pPr>
        <w:spacing w:after="0" w:before="60"/>
      </w:pPr>
      <w:r>
        <w:t xml:space="preserve"/>
      </w:r>
    </w:p>
    <w:p>
      <w:pPr>
        <w:pBdr>
          <w:left w:val="single" w:color="2E75B6" w:sz="20" w:space="10"/>
        </w:pBdr>
        <w:shd w:fill="DEEAF1" w:val="clear"/>
        <w:spacing w:after="120" w:before="120" w:line="276"/>
        <w:ind w:left="400" w:right="400"/>
      </w:pPr>
      <w:r>
        <w:rPr>
          <w:rFonts w:ascii="Calibri" w:cs="Calibri" w:eastAsia="Calibri" w:hAnsi="Calibri"/>
          <w:i/>
          <w:iCs/>
          <w:color w:val="1F3864"/>
          <w:sz w:val="21"/>
          <w:szCs w:val="21"/>
        </w:rPr>
        <w:t xml:space="preserve">Sector context calibrates the tools. A Mature FCF Generator in Technology (e.g. Microsoft) will be analysed differently from a Mature FCF Generator in Utilities (e.g. National Grid). The profile tells you the tools; the sector calibrates them.</w:t>
      </w:r>
    </w:p>
    <w:p>
      <w:pPr>
        <w:spacing w:after="0" w:before="80"/>
      </w:pPr>
      <w:r>
        <w:t xml:space="preserve"/>
      </w:r>
    </w:p>
    <w:p>
      <w:pPr>
        <w:shd w:fill="1F3864" w:val="clear"/>
        <w:spacing w:after="0" w:before="240"/>
        <w:ind w:left="200"/>
      </w:pPr>
      <w:r>
        <w:rPr>
          <w:rFonts w:ascii="Calibri" w:cs="Calibri" w:eastAsia="Calibri" w:hAnsi="Calibri"/>
          <w:b/>
          <w:bCs/>
          <w:color w:val="FFFFFF"/>
          <w:sz w:val="30"/>
          <w:szCs w:val="30"/>
        </w:rPr>
        <w:t xml:space="preserve">Profile 1  —  Mature FCF Generator</w:t>
      </w:r>
    </w:p>
    <w:p>
      <w:pPr>
        <w:shd w:fill="1F3864" w:val="clear"/>
        <w:spacing w:after="120" w:before="0"/>
        <w:ind w:left="200"/>
      </w:pPr>
      <w:r>
        <w:rPr>
          <w:rFonts w:ascii="Calibri" w:cs="Calibri" w:eastAsia="Calibri" w:hAnsi="Calibri"/>
          <w:i/>
          <w:iCs/>
          <w:color w:val="FFFFFF"/>
          <w:sz w:val="20"/>
          <w:szCs w:val="20"/>
        </w:rPr>
        <w:t xml:space="preserve">Established, profitable companies with stable cash flows and moderate growth</w:t>
      </w:r>
    </w:p>
    <w:p>
      <w:pPr>
        <w:spacing w:after="0" w:before="60"/>
      </w:pPr>
      <w:r>
        <w:t xml:space="preserve"/>
      </w:r>
    </w:p>
    <w:p>
      <w:pPr>
        <w:spacing w:after="80" w:before="240"/>
      </w:pPr>
      <w:r>
        <w:rPr>
          <w:rFonts w:ascii="Calibri" w:cs="Calibri" w:eastAsia="Calibri" w:hAnsi="Calibri"/>
          <w:b/>
          <w:bCs/>
          <w:color w:val="1F3864"/>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A Mature FCF Generator is the archetypal quality investment: a business so operationally excellent that it produces more cash than it can profitably reinvest, year after year. Because cash flows are predictable, you can build reliable valuation models. The risk is paying too much for stability — these companies often trade at premium multiples that leave little margin for error.</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P/OCF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Price / Operating Cash Flow per share. More reliable than P/E because OCF is harder to manipulate than accounting earnings. Best for companies with stable, growing OCF.</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DCF (Primary)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Discounted Cash Flow. Project future free cash flows and discount back to present value. Highly sensitive to growth rate and discount rate — always run bear, base, and bull scenarios.</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EV/EBITDA (Secondary)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Enterprise Value / EBITDA. Useful for comparing across capital structures. Typically 10–18x for quality mature companies.</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Reverse DCF (Check)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Ask: 'what growth rate is the current price implying?' If the implied growth looks unrealistic, the stock is overvalued.</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FCF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15% of revenue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Confirms conversion of revenue into real cash, not just accounting profit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ROIC</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12%, above WACC</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Single best measure of whether management creates value with reinvested capital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Revenue Growth CAGR</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3–10% annually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Slow but steady growth sustains the FCF machine without requiring massive reinvestment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Gross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Stable or expanding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Pricing power indicator — expanding margins signal a competitive moat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Debt / EBITDA</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2.5x</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Low leverage means FCF can be returned to shareholders, not used to service debt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FCF per Share CAGR</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8% annually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Per-share growth matters more than total FCF if the company is buying back shares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Share Count Trend</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Flat or declining</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Buybacks increase per-share value without requiring earnings growth</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Paying 25x+ P/OCF for a company growing at 5% — the math rarely works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Gross margin compression over multiple years — signals competitive pressure or pricing power erosion</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FCF consistently lower than reported net income — possible aggressive accounting or poor working capital management</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Capex growing faster than revenue — maintenance costs rising, not genuine growth investment</w:t>
      </w:r>
    </w:p>
    <w:p>
      <w:pPr>
        <w:spacing w:after="0" w:before="60"/>
      </w:pPr>
      <w:r>
        <w:t xml:space="preserve"/>
      </w:r>
    </w:p>
    <w:p>
      <w:pPr>
        <w:pBdr>
          <w:left w:val="single" w:color="1F3864" w:sz="20" w:space="10"/>
        </w:pBdr>
        <w:shd w:fill="DEEAF1" w:val="clear"/>
        <w:spacing w:after="120" w:before="120" w:line="276"/>
        <w:ind w:left="400" w:right="400"/>
      </w:pPr>
      <w:r>
        <w:rPr>
          <w:rFonts w:ascii="Calibri" w:cs="Calibri" w:eastAsia="Calibri" w:hAnsi="Calibri"/>
          <w:i/>
          <w:iCs/>
          <w:color w:val="1F3864"/>
          <w:sz w:val="21"/>
          <w:szCs w:val="21"/>
        </w:rPr>
        <w:t xml:space="preserve">The core logic: a company that reliably generates cash, grows it at 8–12% annually, and returns excess via dividends and buybacks will compound shareholder wealth even without multiple expansion. You are buying the cash flow machine, not a growth story.</w:t>
      </w:r>
    </w:p>
    <w:p>
      <w:pPr>
        <w:spacing w:after="0" w:before="120"/>
      </w:pPr>
      <w:r>
        <w:t xml:space="preserve"/>
      </w:r>
    </w:p>
    <w:p>
      <w:pPr>
        <w:shd w:fill="2E75B6" w:val="clear"/>
        <w:spacing w:after="0" w:before="240"/>
        <w:ind w:left="200"/>
      </w:pPr>
      <w:r>
        <w:rPr>
          <w:rFonts w:ascii="Calibri" w:cs="Calibri" w:eastAsia="Calibri" w:hAnsi="Calibri"/>
          <w:b/>
          <w:bCs/>
          <w:color w:val="FFFFFF"/>
          <w:sz w:val="30"/>
          <w:szCs w:val="30"/>
        </w:rPr>
        <w:t xml:space="preserve">Profile 2  —  Growth + FCF Positive</w:t>
      </w:r>
    </w:p>
    <w:p>
      <w:pPr>
        <w:shd w:fill="2E75B6" w:val="clear"/>
        <w:spacing w:after="120" w:before="0"/>
        <w:ind w:left="200"/>
      </w:pPr>
      <w:r>
        <w:rPr>
          <w:rFonts w:ascii="Calibri" w:cs="Calibri" w:eastAsia="Calibri" w:hAnsi="Calibri"/>
          <w:i/>
          <w:iCs/>
          <w:color w:val="FFFFFF"/>
          <w:sz w:val="20"/>
          <w:szCs w:val="20"/>
        </w:rPr>
        <w:t xml:space="preserve">Fast-growing companies (revenue ≥ 15% annually) that have crossed into positive free cash flow</w:t>
      </w:r>
    </w:p>
    <w:p>
      <w:pPr>
        <w:spacing w:after="0" w:before="60"/>
      </w:pPr>
      <w:r>
        <w:t xml:space="preserve"/>
      </w:r>
    </w:p>
    <w:p>
      <w:pPr>
        <w:spacing w:after="80" w:before="240"/>
      </w:pPr>
      <w:r>
        <w:rPr>
          <w:rFonts w:ascii="Calibri" w:cs="Calibri" w:eastAsia="Calibri" w:hAnsi="Calibri"/>
          <w:b/>
          <w:bCs/>
          <w:color w:val="2E75B6"/>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This profile sits at the intersection of growth and quality. The company is expanding rapidly but has already proven it can generate more cash than it spends. This is significantly de-risked compared to a pre-profit growth company. The challenge is that growth expectations are already embedded in the price — you must assess whether the current valuation is justified by the realistic future trajectory.</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EV/EBITDA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Growth companies typically trade at 15–35x EBITDA. Compare to sector average and the company's own historical range.</w:t>
            </w:r>
          </w:p>
        </w:tc>
      </w:tr>
      <w:tr>
        <w:tc>
          <w:tcPr>
            <w:tcW w:type="dxa" w:w="2000"/>
            <w:tcBorders>
              <w:top w:val="single" w:color="CCCCCC" w:sz="4"/>
              <w:left w:val="single" w:color="CCCCCC" w:sz="4"/>
              <w:bottom w:val="single" w:color="CCCCCC" w:sz="4"/>
              <w:right w:val="single" w:color="CCCCCC" w:sz="4"/>
            </w:tcBorders>
            <w:shd w:fill="BDD7EE"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2E75B6"/>
                <w:sz w:val="20"/>
                <w:szCs w:val="20"/>
              </w:rPr>
              <w:t xml:space="preserve">PEG Ratio (Primary)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P/E divided by earnings growth rate. A PEG of 1.0 means you pay 1x for each percentage point of growth — broadly fair. Below 1.0 suggests undervaluation.</w:t>
            </w:r>
          </w:p>
        </w:tc>
      </w:tr>
      <w:tr>
        <w:tc>
          <w:tcPr>
            <w:tcW w:type="dxa" w:w="2000"/>
            <w:tcBorders>
              <w:top w:val="single" w:color="CCCCCC" w:sz="4"/>
              <w:left w:val="single" w:color="CCCCCC" w:sz="4"/>
              <w:bottom w:val="single" w:color="CCCCCC" w:sz="4"/>
              <w:right w:val="single" w:color="CCCCCC" w:sz="4"/>
            </w:tcBorders>
            <w:shd w:fill="BDD7EE"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2E75B6"/>
                <w:sz w:val="20"/>
                <w:szCs w:val="20"/>
              </w:rPr>
              <w:t xml:space="preserve">Reverse DCF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Calculate what growth rate the current valuation implies, then ask: is that realistic? If the market prices in 25% growth for 10 years, that is a very high bar.</w:t>
            </w:r>
          </w:p>
        </w:tc>
      </w:tr>
      <w:tr>
        <w:tc>
          <w:tcPr>
            <w:tcW w:type="dxa" w:w="2000"/>
            <w:tcBorders>
              <w:top w:val="single" w:color="CCCCCC" w:sz="4"/>
              <w:left w:val="single" w:color="CCCCCC" w:sz="4"/>
              <w:bottom w:val="single" w:color="CCCCCC" w:sz="4"/>
              <w:right w:val="single" w:color="CCCCCC" w:sz="4"/>
            </w:tcBorders>
            <w:shd w:fill="BDD7EE"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2E75B6"/>
                <w:sz w:val="20"/>
                <w:szCs w:val="20"/>
              </w:rPr>
              <w:t xml:space="preserve">P/FCF (Secondary)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As the company matures, P/FCF becomes increasingly relevant. Track its trajectory over time.</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Revenue Growth CAGR</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15–25% annually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Core premise of the investment — deceleration is the biggest valuation risk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Gross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55% and stable/expanding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Expanding margins as revenue scales confirms operating leverage in the business model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FCF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Positive and improving (5% → 12% → 20%)</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The trajectory matters as much as the absolute level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FCF Conversion (FCF / Net Income)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80%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Confirms earnings quality — low conversion means profits are not reaching the bank account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Net Revenue Retention (SaaS)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110%</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Existing customers expanding spend — organic growth from the installed base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R&amp;D as % of Revenue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Declining as revenue scales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Shows operating leverage — fixed R&amp;D costs spread over growing revenue improves margins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Customer LTV / CAC</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LTV ≥ 3x CAC</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Unit economics: acquiring a customer must be worth at least 3x what it costs</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Revenue growth decelerating from 30% → 20% → 12% — the market will reprice sharply even if the business is still growing</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Gross margin declining even as revenue grows — the business is getting more expensive to operate, not less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High stock-based compensation not reflected in reported FCF — dilutes shareholders silently</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Competition from well-funded incumbents disrupting the growth trajectory that justified the premium multiple</w:t>
      </w:r>
    </w:p>
    <w:p>
      <w:pPr>
        <w:spacing w:after="0" w:before="60"/>
      </w:pPr>
      <w:r>
        <w:t xml:space="preserve"/>
      </w:r>
    </w:p>
    <w:p>
      <w:pPr>
        <w:pBdr>
          <w:left w:val="single" w:color="2E75B6" w:sz="20" w:space="10"/>
        </w:pBdr>
        <w:shd w:fill="BDD7EE" w:val="clear"/>
        <w:spacing w:after="120" w:before="120" w:line="276"/>
        <w:ind w:left="400" w:right="400"/>
      </w:pPr>
      <w:r>
        <w:rPr>
          <w:rFonts w:ascii="Calibri" w:cs="Calibri" w:eastAsia="Calibri" w:hAnsi="Calibri"/>
          <w:i/>
          <w:iCs/>
          <w:color w:val="1F3864"/>
          <w:sz w:val="21"/>
          <w:szCs w:val="21"/>
        </w:rPr>
        <w:t xml:space="preserve">The core logic: you are paying a premium multiple for a future earnings stream that does not fully exist yet. The margin of safety comes from the reliability of the growth trajectory. A growth company that decelerates loses its multiple rapidly — 'multiple compression' destroys returns even when the underlying business is still growing.</w:t>
      </w:r>
    </w:p>
    <w:p>
      <w:pPr>
        <w:spacing w:after="0" w:before="120"/>
      </w:pPr>
      <w:r>
        <w:t xml:space="preserve"/>
      </w:r>
    </w:p>
    <w:p>
      <w:pPr>
        <w:shd w:fill="5B4FCF" w:val="clear"/>
        <w:spacing w:after="0" w:before="240"/>
        <w:ind w:left="200"/>
      </w:pPr>
      <w:r>
        <w:rPr>
          <w:rFonts w:ascii="Calibri" w:cs="Calibri" w:eastAsia="Calibri" w:hAnsi="Calibri"/>
          <w:b/>
          <w:bCs/>
          <w:color w:val="FFFFFF"/>
          <w:sz w:val="30"/>
          <w:szCs w:val="30"/>
        </w:rPr>
        <w:t xml:space="preserve">Profile 3  —  Pre-Profit / High Growth</w:t>
      </w:r>
    </w:p>
    <w:p>
      <w:pPr>
        <w:shd w:fill="5B4FCF" w:val="clear"/>
        <w:spacing w:after="120" w:before="0"/>
        <w:ind w:left="200"/>
      </w:pPr>
      <w:r>
        <w:rPr>
          <w:rFonts w:ascii="Calibri" w:cs="Calibri" w:eastAsia="Calibri" w:hAnsi="Calibri"/>
          <w:i/>
          <w:iCs/>
          <w:color w:val="FFFFFF"/>
          <w:sz w:val="20"/>
          <w:szCs w:val="20"/>
        </w:rPr>
        <w:t xml:space="preserve">Fast-growing companies with negative or minimal FCF — all revenue is reinvested into expansion</w:t>
      </w:r>
    </w:p>
    <w:p>
      <w:pPr>
        <w:spacing w:after="0" w:before="60"/>
      </w:pPr>
      <w:r>
        <w:t xml:space="preserve"/>
      </w:r>
    </w:p>
    <w:p>
      <w:pPr>
        <w:spacing w:after="80" w:before="240"/>
      </w:pPr>
      <w:r>
        <w:rPr>
          <w:rFonts w:ascii="Calibri" w:cs="Calibri" w:eastAsia="Calibri" w:hAnsi="Calibri"/>
          <w:b/>
          <w:bCs/>
          <w:color w:val="5B4FCF"/>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Pre-profit companies cannot be valued using earnings-based or cash-flow-based methods because those metrics are negative or meaningless. Instead, the valuation is anchored by revenue, market size (TAM), and unit economics. These are inherently speculative investments — you are paying for a profitable business that does not yet exist. The risk is binary: achieve scale and the returns can be exceptional; fail to reach escape velocity and the stock can lose 70–90% of its value.</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5B4FC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EV/Revenue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most common metric for pre-profit companies. Technology SaaS companies trade at 5–20x revenue depending on growth rate and gross margin quality.</w:t>
            </w:r>
          </w:p>
        </w:tc>
      </w:tr>
      <w:tr>
        <w:tc>
          <w:tcPr>
            <w:tcW w:type="dxa" w:w="2000"/>
            <w:tcBorders>
              <w:top w:val="single" w:color="CCCCCC" w:sz="4"/>
              <w:left w:val="single" w:color="CCCCCC" w:sz="4"/>
              <w:bottom w:val="single" w:color="CCCCCC" w:sz="4"/>
              <w:right w:val="single" w:color="CCCCCC" w:sz="4"/>
            </w:tcBorders>
            <w:shd w:fill="E8E6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5B4FCF"/>
                <w:sz w:val="20"/>
                <w:szCs w:val="20"/>
              </w:rPr>
              <w:t xml:space="preserve">Rule of 40 (Primary)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Growth % + FCF Margin %. A score above 40 indicates a healthy balance between growth and efficiency.</w:t>
            </w:r>
          </w:p>
        </w:tc>
      </w:tr>
      <w:tr>
        <w:tc>
          <w:tcPr>
            <w:tcW w:type="dxa" w:w="2000"/>
            <w:tcBorders>
              <w:top w:val="single" w:color="CCCCCC" w:sz="4"/>
              <w:left w:val="single" w:color="CCCCCC" w:sz="4"/>
              <w:bottom w:val="single" w:color="CCCCCC" w:sz="4"/>
              <w:right w:val="single" w:color="CCCCCC" w:sz="4"/>
            </w:tcBorders>
            <w:shd w:fill="E8E6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5B4FCF"/>
                <w:sz w:val="20"/>
                <w:szCs w:val="20"/>
              </w:rPr>
              <w:t xml:space="preserve">TAM Analysis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How large is the opportunity if this company wins significant market share? The valuation must be compared to the realistically achievable revenue at scale.</w:t>
            </w:r>
          </w:p>
        </w:tc>
      </w:tr>
      <w:tr>
        <w:tc>
          <w:tcPr>
            <w:tcW w:type="dxa" w:w="2000"/>
            <w:tcBorders>
              <w:top w:val="single" w:color="CCCCCC" w:sz="4"/>
              <w:left w:val="single" w:color="CCCCCC" w:sz="4"/>
              <w:bottom w:val="single" w:color="CCCCCC" w:sz="4"/>
              <w:right w:val="single" w:color="CCCCCC" w:sz="4"/>
            </w:tcBorders>
            <w:shd w:fill="E8E6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5B4FCF"/>
                <w:sz w:val="20"/>
                <w:szCs w:val="20"/>
              </w:rPr>
              <w:t xml:space="preserve">Reverse DCF (Check)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Model what the company must achieve in 5–7 years in revenue and margins to justify the current price. If that requires near-perfect execution, the risk/reward is poor.</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Revenue Growth Rate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30–40% annually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Primary justification for the premium — anything slower means the market will re-rate down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Gross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60% (software) / ≥ 40% (hardware)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Best predictor of long-term FCF margin — low gross margin companies rarely become highly profitable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Cash Burn Rate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Declining relative to revenue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Absolute burn is less important than trajectory — burn should fall as revenue scales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Cash Runway</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18–24 months without new fundraising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 company running out of cash is at the mercy of markets for survival capital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Customer Churn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5% annually (SaaS)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High churn means the product is not truly solving a problem — growth is a leaky bucket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Rule of 40 Score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40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Balances growth against efficiency — very high growth can offset negative margins, but not forever</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Equity issuance to fund operations — dilutes existing shareholders and signals the business cannot fund itself</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Rising customer acquisition costs — suggests the easy customers have been won and expansion is getting harder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Gross margin below 50% — makes the path to long-term profitability very steep</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Management without a credible, time-bound path to profitability</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Interest rate sensitivity — pre-profit companies are valued on distant future cash flows; higher rates crush valuations</w:t>
      </w:r>
    </w:p>
    <w:p>
      <w:pPr>
        <w:spacing w:after="0" w:before="60"/>
      </w:pPr>
      <w:r>
        <w:t xml:space="preserve"/>
      </w:r>
    </w:p>
    <w:p>
      <w:pPr>
        <w:pBdr>
          <w:left w:val="single" w:color="5B4FCF" w:sz="20" w:space="10"/>
        </w:pBdr>
        <w:shd w:fill="E8E6FC" w:val="clear"/>
        <w:spacing w:after="120" w:before="120" w:line="276"/>
        <w:ind w:left="400" w:right="400"/>
      </w:pPr>
      <w:r>
        <w:rPr>
          <w:rFonts w:ascii="Calibri" w:cs="Calibri" w:eastAsia="Calibri" w:hAnsi="Calibri"/>
          <w:i/>
          <w:iCs/>
          <w:color w:val="1F3864"/>
          <w:sz w:val="21"/>
          <w:szCs w:val="21"/>
        </w:rPr>
        <w:t xml:space="preserve">The core logic: you are not buying current earnings — you are buying an option on future scale. A company growing at 40% with 70% gross margins and a $50bn TAM at 10x revenue has a credible path to being worth far more in 5 years. The same valuation on a company growing at 20% with 45% margins in a $5bn market does not.</w:t>
      </w:r>
    </w:p>
    <w:p>
      <w:pPr>
        <w:spacing w:after="0" w:before="120"/>
      </w:pPr>
      <w:r>
        <w:t xml:space="preserve"/>
      </w:r>
    </w:p>
    <w:p>
      <w:pPr>
        <w:shd w:fill="1B6B5A" w:val="clear"/>
        <w:spacing w:after="0" w:before="240"/>
        <w:ind w:left="200"/>
      </w:pPr>
      <w:r>
        <w:rPr>
          <w:rFonts w:ascii="Calibri" w:cs="Calibri" w:eastAsia="Calibri" w:hAnsi="Calibri"/>
          <w:b/>
          <w:bCs/>
          <w:color w:val="FFFFFF"/>
          <w:sz w:val="30"/>
          <w:szCs w:val="30"/>
        </w:rPr>
        <w:t xml:space="preserve">Profile 4  —  Dividend Payer</w:t>
      </w:r>
    </w:p>
    <w:p>
      <w:pPr>
        <w:shd w:fill="1B6B5A" w:val="clear"/>
        <w:spacing w:after="120" w:before="0"/>
        <w:ind w:left="200"/>
      </w:pPr>
      <w:r>
        <w:rPr>
          <w:rFonts w:ascii="Calibri" w:cs="Calibri" w:eastAsia="Calibri" w:hAnsi="Calibri"/>
          <w:i/>
          <w:iCs/>
          <w:color w:val="FFFFFF"/>
          <w:sz w:val="20"/>
          <w:szCs w:val="20"/>
        </w:rPr>
        <w:t xml:space="preserve">Mature companies with a consistent history of paying and growing dividends</w:t>
      </w:r>
    </w:p>
    <w:p>
      <w:pPr>
        <w:spacing w:after="0" w:before="60"/>
      </w:pPr>
      <w:r>
        <w:t xml:space="preserve"/>
      </w:r>
    </w:p>
    <w:p>
      <w:pPr>
        <w:spacing w:after="80" w:before="240"/>
      </w:pPr>
      <w:r>
        <w:rPr>
          <w:rFonts w:ascii="Calibri" w:cs="Calibri" w:eastAsia="Calibri" w:hAnsi="Calibri"/>
          <w:b/>
          <w:bCs/>
          <w:color w:val="1B6B5A"/>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A Dividend Payer has chosen to return a significant portion of its cash flows to shareholders as regular income rather than reinvesting all of it for growth. This is often a signal of maturity — the company has well-established operations with limited high-return reinvestment opportunities. The key analytical challenge is distinguishing a sustainably high yield from a dividend that will be cut.</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1B6B5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DDM — Dividend Discount Model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Values the stock as the present value of all future dividends. Gordon Growth Model: Price = D1 / (r - g), where D1 is next year's dividend, r is your discount rate, g is the long-term dividend growth rate.</w:t>
            </w:r>
          </w:p>
        </w:tc>
      </w:tr>
      <w:tr>
        <w:tc>
          <w:tcPr>
            <w:tcW w:type="dxa" w:w="2000"/>
            <w:tcBorders>
              <w:top w:val="single" w:color="CCCCCC" w:sz="4"/>
              <w:left w:val="single" w:color="CCCCCC" w:sz="4"/>
              <w:bottom w:val="single" w:color="CCCCCC" w:sz="4"/>
              <w:right w:val="single" w:color="CCCCCC" w:sz="4"/>
            </w:tcBorders>
            <w:shd w:fill="C6EFCE"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B6B5A"/>
                <w:sz w:val="20"/>
                <w:szCs w:val="20"/>
              </w:rPr>
              <w:t xml:space="preserve">P/OCF (Primary)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Assess whether the dividend is sustainably funded by operating cash flow. The FCF payout ratio (dividends / FCF, not dividends / EPS) is the most reliable sustainability measure.</w:t>
            </w:r>
          </w:p>
        </w:tc>
      </w:tr>
      <w:tr>
        <w:tc>
          <w:tcPr>
            <w:tcW w:type="dxa" w:w="2000"/>
            <w:tcBorders>
              <w:top w:val="single" w:color="CCCCCC" w:sz="4"/>
              <w:left w:val="single" w:color="CCCCCC" w:sz="4"/>
              <w:bottom w:val="single" w:color="CCCCCC" w:sz="4"/>
              <w:right w:val="single" w:color="CCCCCC" w:sz="4"/>
            </w:tcBorders>
            <w:shd w:fill="C6EFCE"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B6B5A"/>
                <w:sz w:val="20"/>
                <w:szCs w:val="20"/>
              </w:rPr>
              <w:t xml:space="preserve">Dividend Yield vs 10-Year Treasury (Relative)</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Compare the dividend yield to the risk-free rate. If the yield is 4% and the 10-year Treasury is 4.5%, the risk premium for holding the equity is thin.</w:t>
            </w:r>
          </w:p>
        </w:tc>
      </w:tr>
      <w:tr>
        <w:tc>
          <w:tcPr>
            <w:tcW w:type="dxa" w:w="2000"/>
            <w:tcBorders>
              <w:top w:val="single" w:color="CCCCCC" w:sz="4"/>
              <w:left w:val="single" w:color="CCCCCC" w:sz="4"/>
              <w:bottom w:val="single" w:color="CCCCCC" w:sz="4"/>
              <w:right w:val="single" w:color="CCCCCC" w:sz="4"/>
            </w:tcBorders>
            <w:shd w:fill="C6EFCE"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B6B5A"/>
                <w:sz w:val="20"/>
                <w:szCs w:val="20"/>
              </w:rPr>
              <w:t xml:space="preserve">P/E (Secondary)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For mature dividend payers, P/E is a useful secondary check. Most trade at 12–20x earnings depending on sector and growth.</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Dividend Growth Rate (5yr CAGR)</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5% annually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Dividend growth above inflation protects purchasing power — look for aristocrats (25+ consecutive years of increases)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FCF Payout Ratio</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65–70%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Dividends / Free Cash Flow — not earnings. FCF is what actually pays dividends. Above 80% suggests unsustainability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Dividend Yield</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Treasury yield + 2–3% risk premium</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 yield that looks abnormally high (10%+) usually prices in a dividend cut, not generosity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EPS Coverage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EPS covers dividend ≥ 1.5x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Redundant check: earnings per share must support the declared dividend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Debt / EBITDA</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3x</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Excessive debt competes with dividends for cash flow — high leverage is a cut risk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Revenue Stability</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No single year &gt; 20% revenue drop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Cyclical revenue swings are the most common reason mature companies cut dividends</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FCF payout ratio above 90% — the dividend has almost no buffer against a bad year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Dividend yield rising due to falling share price — the market is often right to be sceptical</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Companies that borrow to pay dividends — financially unsustainable, signals deteriorating business quality</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Payout ratio near 100% with no growth — the dividend is a withdrawal of capital, not a return on it</w:t>
      </w:r>
    </w:p>
    <w:p>
      <w:pPr>
        <w:spacing w:after="0" w:before="60"/>
      </w:pPr>
      <w:r>
        <w:t xml:space="preserve"/>
      </w:r>
    </w:p>
    <w:p>
      <w:pPr>
        <w:pBdr>
          <w:left w:val="single" w:color="1B6B5A" w:sz="20" w:space="10"/>
        </w:pBdr>
        <w:shd w:fill="C6EFCE" w:val="clear"/>
        <w:spacing w:after="120" w:before="120" w:line="276"/>
        <w:ind w:left="400" w:right="400"/>
      </w:pPr>
      <w:r>
        <w:rPr>
          <w:rFonts w:ascii="Calibri" w:cs="Calibri" w:eastAsia="Calibri" w:hAnsi="Calibri"/>
          <w:i/>
          <w:iCs/>
          <w:color w:val="1F3864"/>
          <w:sz w:val="21"/>
          <w:szCs w:val="21"/>
        </w:rPr>
        <w:t xml:space="preserve">The core logic: a quality dividend payer compounds wealth through income plus price appreciation as the dividend grows. A company growing its dividend at 7% per year doubles its dividend in approximately 10 years. Patient investors earn a growing income stream on their original cost basis.</w:t>
      </w:r>
    </w:p>
    <w:p>
      <w:pPr>
        <w:spacing w:after="0" w:before="120"/>
      </w:pPr>
      <w:r>
        <w:t xml:space="preserve"/>
      </w:r>
    </w:p>
    <w:p>
      <w:pPr>
        <w:shd w:fill="404040" w:val="clear"/>
        <w:spacing w:after="0" w:before="240"/>
        <w:ind w:left="200"/>
      </w:pPr>
      <w:r>
        <w:rPr>
          <w:rFonts w:ascii="Calibri" w:cs="Calibri" w:eastAsia="Calibri" w:hAnsi="Calibri"/>
          <w:b/>
          <w:bCs/>
          <w:color w:val="FFFFFF"/>
          <w:sz w:val="30"/>
          <w:szCs w:val="30"/>
        </w:rPr>
        <w:t xml:space="preserve">Profile 5  —  Asset-Heavy / Regulated</w:t>
      </w:r>
    </w:p>
    <w:p>
      <w:pPr>
        <w:shd w:fill="404040" w:val="clear"/>
        <w:spacing w:after="120" w:before="0"/>
        <w:ind w:left="200"/>
      </w:pPr>
      <w:r>
        <w:rPr>
          <w:rFonts w:ascii="Calibri" w:cs="Calibri" w:eastAsia="Calibri" w:hAnsi="Calibri"/>
          <w:i/>
          <w:iCs/>
          <w:color w:val="FFFFFF"/>
          <w:sz w:val="20"/>
          <w:szCs w:val="20"/>
        </w:rPr>
        <w:t xml:space="preserve">Banks, insurers, regulated utilities, and infrastructure operators</w:t>
      </w:r>
    </w:p>
    <w:p>
      <w:pPr>
        <w:spacing w:after="0" w:before="60"/>
      </w:pPr>
      <w:r>
        <w:t xml:space="preserve"/>
      </w:r>
    </w:p>
    <w:p>
      <w:pPr>
        <w:spacing w:after="80" w:before="240"/>
      </w:pPr>
      <w:r>
        <w:rPr>
          <w:rFonts w:ascii="Calibri" w:cs="Calibri" w:eastAsia="Calibri" w:hAnsi="Calibri"/>
          <w:b/>
          <w:bCs/>
          <w:color w:val="404040"/>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These companies require entirely different tools because the concepts of free cash flow and enterprise value do not translate cleanly. For a bank, deposits are liabilities and lending is the asset — debt is the product. For a regulated utility, the allowed return on equity is set by a government regulator, not by market competition. Standard EV/EBITDA and DCF models produce misleading results here.</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404040"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P/Book (Banks, Insurers)</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Price / Book Value of Equity. Key question: is the company earning its cost of equity? If ROE consistently exceeds cost of equity (e.g. 12% ROE vs 8% cost), a premium to book value is justified.</w:t>
            </w:r>
          </w:p>
        </w:tc>
      </w:tr>
      <w:tr>
        <w:tc>
          <w:tcPr>
            <w:tcW w:type="dxa" w:w="2000"/>
            <w:tcBorders>
              <w:top w:val="single" w:color="CCCCCC" w:sz="4"/>
              <w:left w:val="single" w:color="CCCCCC" w:sz="4"/>
              <w:bottom w:val="single" w:color="CCCCCC" w:sz="4"/>
              <w:right w:val="single" w:color="CCCCCC" w:sz="4"/>
            </w:tcBorders>
            <w:shd w:fill="D6DCE4"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404040"/>
                <w:sz w:val="20"/>
                <w:szCs w:val="20"/>
              </w:rPr>
              <w:t xml:space="preserve">ROE vs Cost of Equity (Banks)</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 bank earning 15% ROE with a 10% cost of equity is creating value; one earning 8% ROE is destroying it.</w:t>
            </w:r>
          </w:p>
        </w:tc>
      </w:tr>
      <w:tr>
        <w:tc>
          <w:tcPr>
            <w:tcW w:type="dxa" w:w="2000"/>
            <w:tcBorders>
              <w:top w:val="single" w:color="CCCCCC" w:sz="4"/>
              <w:left w:val="single" w:color="CCCCCC" w:sz="4"/>
              <w:bottom w:val="single" w:color="CCCCCC" w:sz="4"/>
              <w:right w:val="single" w:color="CCCCCC" w:sz="4"/>
            </w:tcBorders>
            <w:shd w:fill="D6DCE4"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404040"/>
                <w:sz w:val="20"/>
                <w:szCs w:val="20"/>
              </w:rPr>
              <w:t xml:space="preserve">Regulated Asset Base / Rate Base (Utilities)</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RAB or Rate Base is the value of assets on which the regulator allows a return. A utility trading at 1.1x RAB is priced near its book value equivalent.</w:t>
            </w:r>
          </w:p>
        </w:tc>
      </w:tr>
      <w:tr>
        <w:tc>
          <w:tcPr>
            <w:tcW w:type="dxa" w:w="2000"/>
            <w:tcBorders>
              <w:top w:val="single" w:color="CCCCCC" w:sz="4"/>
              <w:left w:val="single" w:color="CCCCCC" w:sz="4"/>
              <w:bottom w:val="single" w:color="CCCCCC" w:sz="4"/>
              <w:right w:val="single" w:color="CCCCCC" w:sz="4"/>
            </w:tcBorders>
            <w:shd w:fill="D6DCE4"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404040"/>
                <w:sz w:val="20"/>
                <w:szCs w:val="20"/>
              </w:rPr>
              <w:t xml:space="preserve">P/E (Utilities, Insurers)</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P/E works better for regulated companies than cyclical ones because earnings are more predictable. 15–20x is typical for quality regulated utilities.</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ROE (Banks)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10–15%</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Fundamental profitability measure for banks — must exceed cost of equity to justify P/Book premium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NIM — Net Interest Margin (Banks)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2.5%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The spread between lending and deposit rates — the bank's core profit engine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Tier 1 Capital Ratio (Banks)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10–12%</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Regulatory safety buffer — below minimums forces capital raises that dilute shareholders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NPL — Non-Performing Loans (Banks)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Quality of the loan book — rising NPLs are the early warning of credit losses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Rate Base Growth (Utilities)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5% annually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Growing rate base directly drives regulated earnings growth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Allowed ROE vs Achieved ROE (Utilities)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Achieved ≥ Allowed (≥ 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If the company consistently earns below its allowed ROE, it is inefficient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Combined Ratio (Insurers)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100%</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Premiums collected vs claims paid — below 100% means profitable underwriting</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Banks: NPL ratio rising quarter-over-quarter — credit losses are coming</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Utilities: regulatory review pending — allowed returns can be cut, directly reducing the value of the entire business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Insurers: reserve development (unexpected claims from prior years) — suggests prior premiums were underpriced</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Applying EV multiples to banks or utilities — EV/EBITDA is meaningless here because debt cannot be treated as leverage</w:t>
      </w:r>
    </w:p>
    <w:p>
      <w:pPr>
        <w:spacing w:after="0" w:before="60"/>
      </w:pPr>
      <w:r>
        <w:t xml:space="preserve"/>
      </w:r>
    </w:p>
    <w:p>
      <w:pPr>
        <w:pBdr>
          <w:left w:val="single" w:color="404040" w:sz="20" w:space="10"/>
        </w:pBdr>
        <w:shd w:fill="D6DCE4" w:val="clear"/>
        <w:spacing w:after="120" w:before="120" w:line="276"/>
        <w:ind w:left="400" w:right="400"/>
      </w:pPr>
      <w:r>
        <w:rPr>
          <w:rFonts w:ascii="Calibri" w:cs="Calibri" w:eastAsia="Calibri" w:hAnsi="Calibri"/>
          <w:i/>
          <w:iCs/>
          <w:color w:val="1F3864"/>
          <w:sz w:val="21"/>
          <w:szCs w:val="21"/>
        </w:rPr>
        <w:t xml:space="preserve">The core logic: regulated and asset-heavy businesses derive their value from the return they earn on their asset or capital base, relative to what that base cost to assemble. A bank that reliably earns 14% ROE and trades at 1.3x book is a better investment than one at 0.8x book earning only 6% ROE — because the first is compounding at 14% while the second barely covers its cost of capital.</w:t>
      </w:r>
    </w:p>
    <w:p>
      <w:pPr>
        <w:spacing w:after="0" w:before="120"/>
      </w:pPr>
      <w:r>
        <w:t xml:space="preserve"/>
      </w:r>
    </w:p>
    <w:p>
      <w:pPr>
        <w:shd w:fill="C55A11" w:val="clear"/>
        <w:spacing w:after="0" w:before="240"/>
        <w:ind w:left="200"/>
      </w:pPr>
      <w:r>
        <w:rPr>
          <w:rFonts w:ascii="Calibri" w:cs="Calibri" w:eastAsia="Calibri" w:hAnsi="Calibri"/>
          <w:b/>
          <w:bCs/>
          <w:color w:val="FFFFFF"/>
          <w:sz w:val="30"/>
          <w:szCs w:val="30"/>
        </w:rPr>
        <w:t xml:space="preserve">Profile 6  —  Cyclical Business</w:t>
      </w:r>
    </w:p>
    <w:p>
      <w:pPr>
        <w:shd w:fill="C55A11" w:val="clear"/>
        <w:spacing w:after="120" w:before="0"/>
        <w:ind w:left="200"/>
      </w:pPr>
      <w:r>
        <w:rPr>
          <w:rFonts w:ascii="Calibri" w:cs="Calibri" w:eastAsia="Calibri" w:hAnsi="Calibri"/>
          <w:i/>
          <w:iCs/>
          <w:color w:val="FFFFFF"/>
          <w:sz w:val="20"/>
          <w:szCs w:val="20"/>
        </w:rPr>
        <w:t xml:space="preserve">Companies whose earnings swing materially with the economic cycle or commodity prices</w:t>
      </w:r>
    </w:p>
    <w:p>
      <w:pPr>
        <w:spacing w:after="0" w:before="60"/>
      </w:pPr>
      <w:r>
        <w:t xml:space="preserve"/>
      </w:r>
    </w:p>
    <w:p>
      <w:pPr>
        <w:spacing w:after="80" w:before="240"/>
      </w:pPr>
      <w:r>
        <w:rPr>
          <w:rFonts w:ascii="Calibri" w:cs="Calibri" w:eastAsia="Calibri" w:hAnsi="Calibri"/>
          <w:b/>
          <w:bCs/>
          <w:color w:val="C55A11"/>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Cyclical companies are the most dangerous to value using current or recent earnings — because those earnings may be at a multi-year peak or trough that gives a completely false picture of normal profitability. The classic mistake is buying a cyclical stock at a low P/E when earnings are at their peak. When the cycle turns, earnings collapse — and the low P/E was an illusion. The correct approach is to value on normalised, mid-cycle earnings and cash flows.</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EV/EBITDA on Normalised Earnings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 a 7–10 year average EBITDA rather than the most recent year. This smooths peaks and troughs and gives you the mid-cycle earning power.</w:t>
            </w:r>
          </w:p>
        </w:tc>
      </w:tr>
      <w:tr>
        <w:tc>
          <w:tcPr>
            <w:tcW w:type="dxa" w:w="20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C55A11"/>
                <w:sz w:val="20"/>
                <w:szCs w:val="20"/>
              </w:rPr>
              <w:t xml:space="preserve">P/OCF on Normalised Cash Flows (Primary)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 a multi-year average operating cash flow. For energy: model at a conservative commodity price ($55–65 oil), not the current spot price.</w:t>
            </w:r>
          </w:p>
        </w:tc>
      </w:tr>
      <w:tr>
        <w:tc>
          <w:tcPr>
            <w:tcW w:type="dxa" w:w="20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C55A11"/>
                <w:sz w:val="20"/>
                <w:szCs w:val="20"/>
              </w:rPr>
              <w:t xml:space="preserve">EV/Replacement Cost (Check)</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would it cost to build the same business from scratch? If the company trades at a deep discount to replacement cost, it may be genuinely cheap.</w:t>
            </w:r>
          </w:p>
        </w:tc>
      </w:tr>
      <w:tr>
        <w:tc>
          <w:tcPr>
            <w:tcW w:type="dxa" w:w="20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C55A11"/>
                <w:sz w:val="20"/>
                <w:szCs w:val="20"/>
              </w:rPr>
              <w:t xml:space="preserve">Trough Valuation (Stress Test)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Model what happens at the worst point of the cycle. If the company survives with its dividend and debt covenants intact, the downside is bounded.</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Mid-Cycle EBITDA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Compare to 10-year average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Current margins are often inflated at cycle peak — mid-cycle margins reveal true earning power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Balance Sheet at Mid-Cycle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Net Debt / EBITDA &lt; 2x at mid-cycle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Companies with too much debt at the peak face existential risk when earnings collapse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FCF at Cycle Trough</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Positive even in worst year</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If FCF goes deeply negative at trough, the company may need to raise equity at the worst possible time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Break-Even Level (Energy)</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Oil break-even ≤ $55/bbl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The commodity price at which FCF turns to zero — lower is safer</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Dividend Coverage at Trough</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FCF covers dividend at cycle low</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 dividend that relies on peak earnings will be cut — triggering a price collapse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Order Backlog (Industrials)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12 months of revenue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Future revenue visibility buffers the company through the early phase of a downturn</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Buying based on current-year P/E of 8x when earnings are at a cycle peak — the most common cyclical investing mistake</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Companies that issued large debt at the top of the cycle — forced to sell assets or dilute shareholders at the worst time</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Management guiding for 'record earnings' — this is often the signal the cycle is turning</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Commodity producers expanding production aggressively at price peaks — historically ends in oversupply and price collapse</w:t>
      </w:r>
    </w:p>
    <w:p>
      <w:pPr>
        <w:spacing w:after="0" w:before="60"/>
      </w:pPr>
      <w:r>
        <w:t xml:space="preserve"/>
      </w:r>
    </w:p>
    <w:p>
      <w:pPr>
        <w:pBdr>
          <w:left w:val="single" w:color="C55A11" w:sz="20" w:space="10"/>
        </w:pBdr>
        <w:shd w:fill="FCE4D6" w:val="clear"/>
        <w:spacing w:after="120" w:before="120" w:line="276"/>
        <w:ind w:left="400" w:right="400"/>
      </w:pPr>
      <w:r>
        <w:rPr>
          <w:rFonts w:ascii="Calibri" w:cs="Calibri" w:eastAsia="Calibri" w:hAnsi="Calibri"/>
          <w:i/>
          <w:iCs/>
          <w:color w:val="1F3864"/>
          <w:sz w:val="21"/>
          <w:szCs w:val="21"/>
        </w:rPr>
        <w:t xml:space="preserve">The core logic: the best time to buy a cyclical stock is when earnings are at their worst and the P/E looks extremely high or meaningless. The best time to sell is when earnings are at their best and the P/E looks attractively low. This requires buying when news is terrible and selling when sentiment is euphoric — counterintuitive but consistently profitable.</w:t>
      </w:r>
    </w:p>
    <w:p>
      <w:pPr>
        <w:spacing w:after="0" w:before="120"/>
      </w:pPr>
      <w:r>
        <w:t xml:space="preserve"/>
      </w:r>
    </w:p>
    <w:p>
      <w:pPr>
        <w:shd w:fill="C00000" w:val="clear"/>
        <w:spacing w:after="0" w:before="240"/>
        <w:ind w:left="200"/>
      </w:pPr>
      <w:r>
        <w:rPr>
          <w:rFonts w:ascii="Calibri" w:cs="Calibri" w:eastAsia="Calibri" w:hAnsi="Calibri"/>
          <w:b/>
          <w:bCs/>
          <w:color w:val="FFFFFF"/>
          <w:sz w:val="30"/>
          <w:szCs w:val="30"/>
        </w:rPr>
        <w:t xml:space="preserve">Profile 7  —  Turnaround / Distressed</w:t>
      </w:r>
    </w:p>
    <w:p>
      <w:pPr>
        <w:shd w:fill="C00000" w:val="clear"/>
        <w:spacing w:after="120" w:before="0"/>
        <w:ind w:left="200"/>
      </w:pPr>
      <w:r>
        <w:rPr>
          <w:rFonts w:ascii="Calibri" w:cs="Calibri" w:eastAsia="Calibri" w:hAnsi="Calibri"/>
          <w:i/>
          <w:iCs/>
          <w:color w:val="FFFFFF"/>
          <w:sz w:val="20"/>
          <w:szCs w:val="20"/>
        </w:rPr>
        <w:t xml:space="preserve">Companies with declining revenue, prior losses, or ongoing restructuring</w:t>
      </w:r>
    </w:p>
    <w:p>
      <w:pPr>
        <w:spacing w:after="0" w:before="60"/>
      </w:pPr>
      <w:r>
        <w:t xml:space="preserve"/>
      </w:r>
    </w:p>
    <w:p>
      <w:pPr>
        <w:spacing w:after="80" w:before="240"/>
      </w:pPr>
      <w:r>
        <w:rPr>
          <w:rFonts w:ascii="Calibri" w:cs="Calibri" w:eastAsia="Calibri" w:hAnsi="Calibri"/>
          <w:b/>
          <w:bCs/>
          <w:color w:val="C00000"/>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Turnaround investments can generate exceptional returns — buying a broken company at a fraction of its intrinsic value. But the failure rate is high. Most companies identified as turnarounds do not successfully turn around. The key analytical task is distinguishing a temporary, fixable problem (new management, one-time write-off, cyclical downturn) from a structural, unfixable one (permanent loss of market share, technological disruption, balance sheet insolvency).</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C00000"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EV/Revenue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When EBITDA and FCF are negative, revenue becomes the anchor. What would a healthy competitor pay to acquire this company's revenue base?</w:t>
            </w:r>
          </w:p>
        </w:tc>
      </w:tr>
      <w:tr>
        <w:tc>
          <w:tcPr>
            <w:tcW w:type="dxa" w:w="20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C00000"/>
                <w:sz w:val="20"/>
                <w:szCs w:val="20"/>
              </w:rPr>
              <w:t xml:space="preserve">Asset Value / Liquidation Value (Check)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are the assets worth if the business is wound down? This sets the absolute floor. If the stock trades below liquidation value, the downside is mechanically limited.</w:t>
            </w:r>
          </w:p>
        </w:tc>
      </w:tr>
      <w:tr>
        <w:tc>
          <w:tcPr>
            <w:tcW w:type="dxa" w:w="20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C00000"/>
                <w:sz w:val="20"/>
                <w:szCs w:val="20"/>
              </w:rPr>
              <w:t xml:space="preserve">Reverse DCF — Recovery Scenario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Model the specific recovery scenario: what revenue, margin, and FCF assumptions must hold true for the current price to be justified?</w:t>
            </w:r>
          </w:p>
        </w:tc>
      </w:tr>
      <w:tr>
        <w:tc>
          <w:tcPr>
            <w:tcW w:type="dxa" w:w="20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C00000"/>
                <w:sz w:val="20"/>
                <w:szCs w:val="20"/>
              </w:rPr>
              <w:t xml:space="preserve">Comparable Acquisition Multiples</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have acquirers paid for similar businesses in similar situations? Strategic buyers often value distressed assets differently from public market investors.</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Revenue Trend</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Stabilising — YoY decline shrinking</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Revenue must stop falling before any recovery thesis can hold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Gross Margin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Positive and ≥ 30%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 company with positive gross margin can reach profitability by cutting costs — one with negative gross margin cannot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Cash Runway</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18 months at current burn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 company that runs out of cash before the turnaround completes fails regardless of its potential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Debt Covenants</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No imminent breach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Covenant triggers allow lenders to take control, destroying equity value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Management Track Record</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New CEO with prior turnaround success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Quality of leadership is the single biggest non-financial predictor of success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Catalyst Identification</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Specific, named, time-bound event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A turnaround without a clear catalyst is just a hope</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Confusing 'cheap' with 'good value' — a stock that falls from $50 to $5 is not automatically a bargain; it may continue to zero</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Equity raises at distressed prices — highly dilutive and signals management has run out of options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Restructuring charges that recur every year — 'one-time' charges that appear repeatedly are normal operations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New management with no history in the industry — turnarounds require operational credibility, not just financial engineering</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Debt maturities in the near term — a company that must refinance in a bad market is at serious risk</w:t>
      </w:r>
    </w:p>
    <w:p>
      <w:pPr>
        <w:spacing w:after="0" w:before="60"/>
      </w:pPr>
      <w:r>
        <w:t xml:space="preserve"/>
      </w:r>
    </w:p>
    <w:p>
      <w:pPr>
        <w:pBdr>
          <w:left w:val="single" w:color="C00000" w:sz="20" w:space="10"/>
        </w:pBdr>
        <w:shd w:fill="FFCCCC" w:val="clear"/>
        <w:spacing w:after="120" w:before="120" w:line="276"/>
        <w:ind w:left="400" w:right="400"/>
      </w:pPr>
      <w:r>
        <w:rPr>
          <w:rFonts w:ascii="Calibri" w:cs="Calibri" w:eastAsia="Calibri" w:hAnsi="Calibri"/>
          <w:i/>
          <w:iCs/>
          <w:color w:val="1F3864"/>
          <w:sz w:val="21"/>
          <w:szCs w:val="21"/>
        </w:rPr>
        <w:t xml:space="preserve">The core logic: turnaround investing is about identifying the difference between a price problem and a business problem. A good business with a temporarily depressed price will recover. A broken business with a cheap price is a value trap. The margin of safety in turnarounds must be exceptionally large — 40–50% below assessed value — because the probability of being wrong is significantly higher than in any other profile.</w:t>
      </w:r>
    </w:p>
    <w:p>
      <w:pPr>
        <w:spacing w:after="0" w:before="120"/>
      </w:pPr>
      <w:r>
        <w:t xml:space="preserve"/>
      </w:r>
    </w:p>
    <w:p>
      <w:pPr>
        <w:shd w:fill="4B2D8C" w:val="clear"/>
        <w:spacing w:after="0" w:before="240"/>
        <w:ind w:left="200"/>
      </w:pPr>
      <w:r>
        <w:rPr>
          <w:rFonts w:ascii="Calibri" w:cs="Calibri" w:eastAsia="Calibri" w:hAnsi="Calibri"/>
          <w:b/>
          <w:bCs/>
          <w:color w:val="FFFFFF"/>
          <w:sz w:val="30"/>
          <w:szCs w:val="30"/>
        </w:rPr>
        <w:t xml:space="preserve">Profile 8  —  REIT (Real Estate Investment Trust)</w:t>
      </w:r>
    </w:p>
    <w:p>
      <w:pPr>
        <w:shd w:fill="4B2D8C" w:val="clear"/>
        <w:spacing w:after="120" w:before="0"/>
        <w:ind w:left="200"/>
      </w:pPr>
      <w:r>
        <w:rPr>
          <w:rFonts w:ascii="Calibri" w:cs="Calibri" w:eastAsia="Calibri" w:hAnsi="Calibri"/>
          <w:i/>
          <w:iCs/>
          <w:color w:val="FFFFFF"/>
          <w:sz w:val="20"/>
          <w:szCs w:val="20"/>
        </w:rPr>
        <w:t xml:space="preserve">Companies legally structured as REITs, owning income-producing real estate</w:t>
      </w:r>
    </w:p>
    <w:p>
      <w:pPr>
        <w:spacing w:after="0" w:before="60"/>
      </w:pPr>
      <w:r>
        <w:t xml:space="preserve"/>
      </w:r>
    </w:p>
    <w:p>
      <w:pPr>
        <w:spacing w:after="80" w:before="240"/>
      </w:pPr>
      <w:r>
        <w:rPr>
          <w:rFonts w:ascii="Calibri" w:cs="Calibri" w:eastAsia="Calibri" w:hAnsi="Calibri"/>
          <w:b/>
          <w:bCs/>
          <w:color w:val="4B2D8C"/>
          <w:sz w:val="24"/>
          <w:szCs w:val="24"/>
        </w:rPr>
        <w:t xml:space="preserve">Why This Profile Exists</w:t>
      </w:r>
    </w:p>
    <w:p>
      <w:pPr>
        <w:spacing w:after="60" w:before="60" w:line="300"/>
        <w:jc w:val="left"/>
      </w:pPr>
      <w:r>
        <w:rPr>
          <w:rFonts w:ascii="Calibri" w:cs="Calibri" w:eastAsia="Calibri" w:hAnsi="Calibri"/>
          <w:b w:val="false"/>
          <w:bCs w:val="false"/>
          <w:i w:val="false"/>
          <w:iCs w:val="false"/>
          <w:color w:val="404040"/>
          <w:sz w:val="22"/>
          <w:szCs w:val="22"/>
        </w:rPr>
        <w:t xml:space="preserve">REITs exist in a separate analytical universe from regular equities. By law, they must distribute at least 90% of taxable income as dividends, which means they cannot retain earnings for reinvestment in the same way. This is why Earnings Per Share is meaningless for REITs — it is distorted by large non-cash depreciation charges on real estate assets. The industry uses Funds From Operations (FFO) and Adjusted Funds From Operations (AFFO) instead.</w:t>
      </w:r>
    </w:p>
    <w:p>
      <w:pPr>
        <w:spacing w:after="0" w:before="60"/>
      </w:pPr>
      <w:r>
        <w:t xml:space="preserve"/>
      </w:r>
    </w:p>
    <w:p>
      <w:pPr>
        <w:spacing w:after="60" w:before="160"/>
      </w:pPr>
      <w:r>
        <w:rPr>
          <w:rFonts w:ascii="Calibri" w:cs="Calibri" w:eastAsia="Calibri" w:hAnsi="Calibri"/>
          <w:b/>
          <w:bCs/>
          <w:color w:val="404040"/>
          <w:sz w:val="22"/>
          <w:szCs w:val="22"/>
        </w:rPr>
        <w:t xml:space="preserve">Recommended Valuation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4B2D8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FFFFFF"/>
                <w:sz w:val="20"/>
                <w:szCs w:val="20"/>
              </w:rPr>
              <w:t xml:space="preserve">P/FFO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Price / Funds From Operations. FFO = Net Income + Depreciation - Gains on Property Sales. This is the REIT equivalent of P/E. Typical range: 12–25x depending on property type and growth.</w:t>
            </w:r>
          </w:p>
        </w:tc>
      </w:tr>
      <w:tr>
        <w:tc>
          <w:tcPr>
            <w:tcW w:type="dxa" w:w="2000"/>
            <w:tcBorders>
              <w:top w:val="single" w:color="CCCCCC" w:sz="4"/>
              <w:left w:val="single" w:color="CCCCCC" w:sz="4"/>
              <w:bottom w:val="single" w:color="CCCCCC" w:sz="4"/>
              <w:right w:val="single" w:color="CCCCCC" w:sz="4"/>
            </w:tcBorders>
            <w:shd w:fill="EAE3F8"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4B2D8C"/>
                <w:sz w:val="20"/>
                <w:szCs w:val="20"/>
              </w:rPr>
              <w:t xml:space="preserve">P/AFFO (Primary)</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Adjusted FFO further deducts routine maintenance capex and straight-line rent adjustments. AFFO is the most conservative and reliable measure of distributable cash flow.</w:t>
            </w:r>
          </w:p>
        </w:tc>
      </w:tr>
      <w:tr>
        <w:tc>
          <w:tcPr>
            <w:tcW w:type="dxa" w:w="2000"/>
            <w:tcBorders>
              <w:top w:val="single" w:color="CCCCCC" w:sz="4"/>
              <w:left w:val="single" w:color="CCCCCC" w:sz="4"/>
              <w:bottom w:val="single" w:color="CCCCCC" w:sz="4"/>
              <w:right w:val="single" w:color="CCCCCC" w:sz="4"/>
            </w:tcBorders>
            <w:shd w:fill="EAE3F8"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4B2D8C"/>
                <w:sz w:val="20"/>
                <w:szCs w:val="20"/>
              </w:rPr>
              <w:t xml:space="preserve">NAV — Net Asset Value (Primary)</w:t>
            </w:r>
          </w:p>
        </w:tc>
        <w:tc>
          <w:tcPr>
            <w:tcW w:type="dxa" w:w="7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Estimated market value of all properties minus total debt. If a REIT trades at a significant discount to NAV, you are buying $1 of real estate for $0.80.</w:t>
            </w:r>
          </w:p>
        </w:tc>
      </w:tr>
      <w:tr>
        <w:tc>
          <w:tcPr>
            <w:tcW w:type="dxa" w:w="2000"/>
            <w:tcBorders>
              <w:top w:val="single" w:color="CCCCCC" w:sz="4"/>
              <w:left w:val="single" w:color="CCCCCC" w:sz="4"/>
              <w:bottom w:val="single" w:color="CCCCCC" w:sz="4"/>
              <w:right w:val="single" w:color="CCCCCC" w:sz="4"/>
            </w:tcBorders>
            <w:shd w:fill="EAE3F8"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4B2D8C"/>
                <w:sz w:val="20"/>
                <w:szCs w:val="20"/>
              </w:rPr>
              <w:t xml:space="preserve">Dividend Yield (Relative)</w:t>
            </w:r>
          </w:p>
        </w:tc>
        <w:tc>
          <w:tcPr>
            <w:tcW w:type="dxa" w:w="7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Compare to the 10-year Treasury plus a risk premium. REITs typically yield 3–7% depending on property type.</w:t>
            </w:r>
          </w:p>
        </w:tc>
      </w:tr>
    </w:tbl>
    <w:p>
      <w:pPr>
        <w:spacing w:after="0" w:before="80"/>
      </w:pPr>
      <w:r>
        <w:t xml:space="preserve"/>
      </w:r>
    </w:p>
    <w:p>
      <w:pPr>
        <w:spacing w:after="60" w:before="160"/>
      </w:pPr>
      <w:r>
        <w:rPr>
          <w:rFonts w:ascii="Calibri" w:cs="Calibri" w:eastAsia="Calibri" w:hAnsi="Calibri"/>
          <w:b/>
          <w:bCs/>
          <w:color w:val="404040"/>
          <w:sz w:val="22"/>
          <w:szCs w:val="22"/>
        </w:rPr>
        <w:t xml:space="preserve">Key Metrics &amp; Healthy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FFO Per Share Growth</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3–5% annually</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The growth engine — driven by rental rate increases, occupancy improvement, and new acquisitions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Occupancy Rate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90% for most property types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The fundamental driver of revenue — empty space generates no income but still incurs costs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AFFO Payout Ratio</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80%</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Dividends / AFFO — the headroom determines how safe the dividend is and whether it can grow</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Same-Store NOI Growth</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 2–3% annually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Net Operating Income growth from existing properties (excluding acquisitions) — measures organic rental pricing power</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LTV — Loan to Value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&lt; 40%</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Debt / Total Asset Value — too much debt is dangerous when property values fall or rates rise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Debt Maturity Profile</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Average maturity ≥ 5 years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Short-dated debt that must be refinanced in a high-rate environment is a serious risk</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20"/>
                <w:szCs w:val="20"/>
              </w:rPr>
              <w:t xml:space="preserve">Cap Rate vs Cost of Debt</w:t>
            </w:r>
          </w:p>
        </w:tc>
        <w:tc>
          <w:tcPr>
            <w:tcW w:type="dxa" w:w="2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375623"/>
                <w:sz w:val="20"/>
                <w:szCs w:val="20"/>
              </w:rPr>
              <w:t xml:space="preserve">Cap rate &gt; cost of debt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iCs/>
                <w:color w:val="404040"/>
                <w:sz w:val="20"/>
                <w:szCs w:val="20"/>
              </w:rPr>
              <w:t xml:space="preserve">When property yield exceeds cost of borrowing, each new acquisition is accretive</w:t>
            </w:r>
          </w:p>
        </w:tc>
      </w:tr>
    </w:tbl>
    <w:p>
      <w:pPr>
        <w:spacing w:after="0" w:before="80"/>
      </w:pPr>
      <w:r>
        <w:t xml:space="preserve"/>
      </w:r>
    </w:p>
    <w:p>
      <w:pPr>
        <w:spacing w:after="60" w:before="160"/>
      </w:pPr>
      <w:r>
        <w:rPr>
          <w:rFonts w:ascii="Calibri" w:cs="Calibri" w:eastAsia="Calibri" w:hAnsi="Calibri"/>
          <w:b/>
          <w:bCs/>
          <w:color w:val="404040"/>
          <w:sz w:val="22"/>
          <w:szCs w:val="22"/>
        </w:rPr>
        <w:t xml:space="preserve">Watch Out For</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Rising interest rates — REITs borrow heavily, so higher rates increase debt costs and simultaneously compress cap rates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AFFO payout ratio above 95% — no buffer against vacancies, capex surprises, or rate resets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Office REITs post-2020 — structural demand headwinds from hybrid working have permanently impaired many portfolios</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Retail REITs with high mall exposure — e-commerce disruption continues to create vacancy pressure</w:t>
      </w:r>
    </w:p>
    <w:p>
      <w:pPr>
        <w:pStyle w:val="ListParagraph"/>
        <w:numPr>
          <w:ilvl w:val="0"/>
          <w:numId w:val="2"/>
        </w:numPr>
        <w:spacing w:after="40" w:before="40" w:line="276"/>
      </w:pPr>
      <w:r>
        <w:rPr>
          <w:rFonts w:ascii="Calibri" w:cs="Calibri" w:eastAsia="Calibri" w:hAnsi="Calibri"/>
          <w:b w:val="false"/>
          <w:bCs w:val="false"/>
          <w:color w:val="404040"/>
          <w:sz w:val="22"/>
          <w:szCs w:val="22"/>
        </w:rPr>
        <w:t xml:space="preserve">Continuous equity issuance to fund acquisitions — dilutes existing holders over time</w:t>
      </w:r>
    </w:p>
    <w:p>
      <w:pPr>
        <w:spacing w:after="0" w:before="60"/>
      </w:pPr>
      <w:r>
        <w:t xml:space="preserve"/>
      </w:r>
    </w:p>
    <w:p>
      <w:pPr>
        <w:pBdr>
          <w:left w:val="single" w:color="4B2D8C" w:sz="20" w:space="10"/>
        </w:pBdr>
        <w:shd w:fill="EAE3F8" w:val="clear"/>
        <w:spacing w:after="120" w:before="120" w:line="276"/>
        <w:ind w:left="400" w:right="400"/>
      </w:pPr>
      <w:r>
        <w:rPr>
          <w:rFonts w:ascii="Calibri" w:cs="Calibri" w:eastAsia="Calibri" w:hAnsi="Calibri"/>
          <w:i/>
          <w:iCs/>
          <w:color w:val="1F3864"/>
          <w:sz w:val="21"/>
          <w:szCs w:val="21"/>
        </w:rPr>
        <w:t xml:space="preserve">The core logic: a REIT gives individual investors access to commercial real estate income without the complexity of direct property ownership. Buy a portfolio of income-producing properties at a discount to NAV, collect a sustainable dividend while the portfolio appreciates, and benefit from rental growth over your 1–3 year holding horizon. The primary risks are interest rate sensitivity and property-type-specific demand shifts.</w:t>
      </w:r>
    </w:p>
    <w:p>
      <w:pPr>
        <w:spacing w:after="0" w:before="120"/>
      </w:pPr>
      <w:r>
        <w:t xml:space="preserve"/>
      </w:r>
    </w:p>
    <w:p>
      <w:r>
        <w:br w:type="page"/>
      </w:r>
    </w:p>
    <w:p>
      <w:pPr>
        <w:pStyle w:val="Heading1"/>
        <w:shd w:fill="1F3864" w:val="clear"/>
        <w:spacing w:after="160" w:before="360"/>
        <w:ind w:left="200"/>
      </w:pPr>
      <w:r>
        <w:rPr>
          <w:rFonts w:ascii="Calibri" w:cs="Calibri" w:eastAsia="Calibri" w:hAnsi="Calibri"/>
          <w:b/>
          <w:bCs/>
          <w:color w:val="FFFFFF"/>
          <w:sz w:val="36"/>
          <w:szCs w:val="36"/>
        </w:rPr>
        <w:t xml:space="preserve">Quick Reference — The Full 11-Sector Matrix</w:t>
      </w:r>
    </w:p>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Find the intersection of your sector (column) and financial profile (row) for the primary valuation methods to apply. Always use 2–3 methods and triangulate for convergence.</w:t>
      </w:r>
    </w:p>
    <w:p>
      <w:pPr>
        <w:spacing w:after="0" w:before="80"/>
      </w:pPr>
      <w:r>
        <w:t xml:space="preserve"/>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900"/>
        <w:gridCol w:w="900"/>
        <w:gridCol w:w="900"/>
        <w:gridCol w:w="900"/>
        <w:gridCol w:w="900"/>
      </w:tblGrid>
      <w:tr>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Profile</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Tech</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Comm Svcs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Healthcare</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Financials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Energy</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Materials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Staples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Discretionary</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Industrials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Utilities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6"/>
                <w:szCs w:val="16"/>
              </w:rPr>
              <w:t xml:space="preserve">Real Estate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Mature FCF Gen.</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P/OCF, DCF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P/E, EV/EBITDA</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P/Book, ROE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P/OCF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P/OCF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P/FCF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P/E, EV/EBITDA</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NAV</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Growth + FCF+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P/E, ROE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P/OCF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P/OCF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Yield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(growth)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Pre-Profit</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Rule40</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TAM</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Pipeline NPV</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P/Book, EV/Rev</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Rev.DCF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Res.Val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Rev.DCF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GMV, EV/Rev</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Rev.DCF</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RAB</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Dev.NAV</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Dividend Payer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P/OCF, DDM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DDM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P/OCF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P/OCF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DDM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Yield, P/FCF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DDM, Yield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P/AFFO, Yield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Asset-Heavy/Reg.</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adj</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RAB</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P/Book, ROE, NIM</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RAB</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RepCost</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ROIC</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ROIC</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P/Book</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RAB, P/E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NAV, Cap Rate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Cyclical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norm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norm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P/Book (trough)</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mid-cyc</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mid-cyc</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norm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norm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mid-cyc</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(trough)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Turnaround</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P/Book,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EV/Rev,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AssetVal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EV/EBITDA, RAB</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NAV, P/FFO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F3864"/>
                <w:sz w:val="19"/>
                <w:szCs w:val="19"/>
              </w:rPr>
              <w:t xml:space="preserve">REIT</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P/AFFO,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Yield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P/AFFO,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P/AFFO, NAV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NAV, CapRate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Yield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404040"/>
                <w:sz w:val="16"/>
                <w:szCs w:val="16"/>
              </w:rPr>
              <w:t xml:space="preserve">P/FFO, P/AFFO, NAV</w:t>
            </w:r>
          </w:p>
        </w:tc>
      </w:tr>
    </w:tbl>
    <w:p>
      <w:pPr>
        <w:spacing w:after="0" w:before="120"/>
      </w:pPr>
      <w:r>
        <w:t xml:space="preserve"/>
      </w:r>
    </w:p>
    <w:p>
      <w:pPr>
        <w:pStyle w:val="Heading2"/>
        <w:pBdr>
          <w:bottom w:val="single" w:color="2E75B6" w:sz="8" w:space="4"/>
        </w:pBdr>
        <w:spacing w:after="120" w:before="320"/>
      </w:pPr>
      <w:r>
        <w:rPr>
          <w:rFonts w:ascii="Calibri" w:cs="Calibri" w:eastAsia="Calibri" w:hAnsi="Calibri"/>
          <w:b/>
          <w:bCs/>
          <w:color w:val="1F3864"/>
          <w:sz w:val="28"/>
          <w:szCs w:val="28"/>
        </w:rPr>
        <w:t xml:space="preserve">The Five Rules of This Framework</w:t>
      </w:r>
    </w:p>
    <w:p>
      <w:pPr>
        <w:spacing w:after="0" w:before="60"/>
      </w:pPr>
      <w:r>
        <w:t xml:space="preserve"/>
      </w:r>
    </w:p>
    <w:p>
      <w:pPr>
        <w:pStyle w:val="ListParagraph"/>
        <w:numPr>
          <w:ilvl w:val="0"/>
          <w:numId w:val="2"/>
        </w:numPr>
        <w:spacing w:after="40" w:before="40" w:line="276"/>
      </w:pPr>
      <w:r>
        <w:rPr>
          <w:rFonts w:ascii="Calibri" w:cs="Calibri" w:eastAsia="Calibri" w:hAnsi="Calibri"/>
          <w:b/>
          <w:bCs/>
          <w:color w:val="404040"/>
          <w:sz w:val="22"/>
          <w:szCs w:val="22"/>
        </w:rPr>
        <w:t xml:space="preserve">Always use 2–3 valuation methods — never rely on a single metric</w:t>
      </w:r>
    </w:p>
    <w:p>
      <w:pPr>
        <w:spacing w:after="60" w:before="60" w:line="300"/>
        <w:jc w:val="left"/>
      </w:pPr>
      <w:r>
        <w:rPr>
          <w:rFonts w:ascii="Calibri" w:cs="Calibri" w:eastAsia="Calibri" w:hAnsi="Calibri"/>
          <w:b w:val="false"/>
          <w:bCs w:val="false"/>
          <w:i w:val="false"/>
          <w:iCs w:val="false"/>
          <w:color w:val="404040"/>
          <w:sz w:val="22"/>
          <w:szCs w:val="22"/>
        </w:rPr>
        <w:t xml:space="preserve">Single-method valuation creates blind spots. If DCF, P/OCF, and comparable transactions all point to the same fair value range, your conviction is much higher than if only one method supports the conclusion.</w:t>
      </w:r>
    </w:p>
    <w:p>
      <w:pPr>
        <w:spacing w:after="0" w:before="60"/>
      </w:pPr>
      <w:r>
        <w:t xml:space="preserve"/>
      </w:r>
    </w:p>
    <w:p>
      <w:pPr>
        <w:pStyle w:val="ListParagraph"/>
        <w:numPr>
          <w:ilvl w:val="0"/>
          <w:numId w:val="2"/>
        </w:numPr>
        <w:spacing w:after="40" w:before="40" w:line="276"/>
      </w:pPr>
      <w:r>
        <w:rPr>
          <w:rFonts w:ascii="Calibri" w:cs="Calibri" w:eastAsia="Calibri" w:hAnsi="Calibri"/>
          <w:b/>
          <w:bCs/>
          <w:color w:val="404040"/>
          <w:sz w:val="22"/>
          <w:szCs w:val="22"/>
        </w:rPr>
        <w:t xml:space="preserve">Sector sets the context; financial profile sets the method</w:t>
      </w:r>
    </w:p>
    <w:p>
      <w:pPr>
        <w:spacing w:after="60" w:before="60" w:line="300"/>
        <w:jc w:val="left"/>
      </w:pPr>
      <w:r>
        <w:rPr>
          <w:rFonts w:ascii="Calibri" w:cs="Calibri" w:eastAsia="Calibri" w:hAnsi="Calibri"/>
          <w:b w:val="false"/>
          <w:bCs w:val="false"/>
          <w:i w:val="false"/>
          <w:iCs w:val="false"/>
          <w:color w:val="404040"/>
          <w:sz w:val="22"/>
          <w:szCs w:val="22"/>
        </w:rPr>
        <w:t xml:space="preserve">The sector tells you what benchmarks to use and what competitive dynamics matter. The financial profile tells you which analytical tools are valid. You need both.</w:t>
      </w:r>
    </w:p>
    <w:p>
      <w:pPr>
        <w:spacing w:after="0" w:before="60"/>
      </w:pPr>
      <w:r>
        <w:t xml:space="preserve"/>
      </w:r>
    </w:p>
    <w:p>
      <w:pPr>
        <w:pStyle w:val="ListParagraph"/>
        <w:numPr>
          <w:ilvl w:val="0"/>
          <w:numId w:val="2"/>
        </w:numPr>
        <w:spacing w:after="40" w:before="40" w:line="276"/>
      </w:pPr>
      <w:r>
        <w:rPr>
          <w:rFonts w:ascii="Calibri" w:cs="Calibri" w:eastAsia="Calibri" w:hAnsi="Calibri"/>
          <w:b/>
          <w:bCs/>
          <w:color w:val="404040"/>
          <w:sz w:val="22"/>
          <w:szCs w:val="22"/>
        </w:rPr>
        <w:t xml:space="preserve">Always run bear, base, and bull scenarios — never a single point estimate</w:t>
      </w:r>
    </w:p>
    <w:p>
      <w:pPr>
        <w:spacing w:after="60" w:before="60" w:line="300"/>
        <w:jc w:val="left"/>
      </w:pPr>
      <w:r>
        <w:rPr>
          <w:rFonts w:ascii="Calibri" w:cs="Calibri" w:eastAsia="Calibri" w:hAnsi="Calibri"/>
          <w:b w:val="false"/>
          <w:bCs w:val="false"/>
          <w:i w:val="false"/>
          <w:iCs w:val="false"/>
          <w:color w:val="404040"/>
          <w:sz w:val="22"/>
          <w:szCs w:val="22"/>
        </w:rPr>
        <w:t xml:space="preserve">A model with a single set of assumptions produces false precision. Run three scenarios with different growth rates, margins, and multiples. The range of outcomes tells you more than any single number.</w:t>
      </w:r>
    </w:p>
    <w:p>
      <w:pPr>
        <w:spacing w:after="0" w:before="60"/>
      </w:pPr>
      <w:r>
        <w:t xml:space="preserve"/>
      </w:r>
    </w:p>
    <w:p>
      <w:pPr>
        <w:pStyle w:val="ListParagraph"/>
        <w:numPr>
          <w:ilvl w:val="0"/>
          <w:numId w:val="2"/>
        </w:numPr>
        <w:spacing w:after="40" w:before="40" w:line="276"/>
      </w:pPr>
      <w:r>
        <w:rPr>
          <w:rFonts w:ascii="Calibri" w:cs="Calibri" w:eastAsia="Calibri" w:hAnsi="Calibri"/>
          <w:b/>
          <w:bCs/>
          <w:color w:val="404040"/>
          <w:sz w:val="22"/>
          <w:szCs w:val="22"/>
        </w:rPr>
        <w:t xml:space="preserve">Apply a margin of safety — only buy when price is materially below your base-case fair value</w:t>
      </w:r>
    </w:p>
    <w:p>
      <w:pPr>
        <w:spacing w:after="60" w:before="60" w:line="300"/>
        <w:jc w:val="left"/>
      </w:pPr>
      <w:r>
        <w:rPr>
          <w:rFonts w:ascii="Calibri" w:cs="Calibri" w:eastAsia="Calibri" w:hAnsi="Calibri"/>
          <w:b w:val="false"/>
          <w:bCs w:val="false"/>
          <w:i w:val="false"/>
          <w:iCs w:val="false"/>
          <w:color w:val="404040"/>
          <w:sz w:val="22"/>
          <w:szCs w:val="22"/>
        </w:rPr>
        <w:t xml:space="preserve">High-quality companies: require 15–20% discount. Average-quality or cyclical: 25–30%. Turnarounds or distressed: 40–50%. The margin of safety compensates for errors in your assumptions.</w:t>
      </w:r>
    </w:p>
    <w:p>
      <w:pPr>
        <w:spacing w:after="0" w:before="60"/>
      </w:pPr>
      <w:r>
        <w:t xml:space="preserve"/>
      </w:r>
    </w:p>
    <w:p>
      <w:pPr>
        <w:pStyle w:val="ListParagraph"/>
        <w:numPr>
          <w:ilvl w:val="0"/>
          <w:numId w:val="2"/>
        </w:numPr>
        <w:spacing w:after="40" w:before="40" w:line="276"/>
      </w:pPr>
      <w:r>
        <w:rPr>
          <w:rFonts w:ascii="Calibri" w:cs="Calibri" w:eastAsia="Calibri" w:hAnsi="Calibri"/>
          <w:b/>
          <w:bCs/>
          <w:color w:val="404040"/>
          <w:sz w:val="22"/>
          <w:szCs w:val="22"/>
        </w:rPr>
        <w:t xml:space="preserve">Identify the catalyst — what will close the gap between price and value within your time horizon?</w:t>
      </w:r>
    </w:p>
    <w:p>
      <w:pPr>
        <w:spacing w:after="60" w:before="60" w:line="300"/>
        <w:jc w:val="left"/>
      </w:pPr>
      <w:r>
        <w:rPr>
          <w:rFonts w:ascii="Calibri" w:cs="Calibri" w:eastAsia="Calibri" w:hAnsi="Calibri"/>
          <w:b w:val="false"/>
          <w:bCs w:val="false"/>
          <w:i w:val="false"/>
          <w:iCs w:val="false"/>
          <w:color w:val="404040"/>
          <w:sz w:val="22"/>
          <w:szCs w:val="22"/>
        </w:rPr>
        <w:t xml:space="preserve">A stock can be undervalued for years if there is no reason for the market to recognise that value. Before buying, identify the specific event that will drive re-rating: an earnings recovery, a product launch, a management change, a dividend initiation, or a sector rotation.</w:t>
      </w:r>
    </w:p>
    <w:p>
      <w:pPr>
        <w:spacing w:after="0" w:before="120"/>
      </w:pPr>
      <w:r>
        <w:t xml:space="preserve"/>
      </w:r>
    </w:p>
    <w:p>
      <w:pPr>
        <w:shd w:fill="1F3864" w:val="clear"/>
        <w:spacing w:after="240" w:before="240"/>
        <w:jc w:val="center"/>
      </w:pPr>
      <w:r>
        <w:rPr>
          <w:rFonts w:ascii="Calibri" w:cs="Calibri" w:eastAsia="Calibri" w:hAnsi="Calibri"/>
          <w:i/>
          <w:iCs/>
          <w:color w:val="BDD7EE"/>
          <w:sz w:val="20"/>
          <w:szCs w:val="20"/>
        </w:rPr>
        <w:t xml:space="preserve">This framework covers all 11 GICS sectors. Valuation methods evolve with market conditions — revisit assumptions regularly.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2026-05-09T12:28:41.621Z</dcterms:created>
  <dcterms:modified xsi:type="dcterms:W3CDTF">2026-05-09T12:28:41.621Z</dcterms:modified>
</cp:coreProperties>
</file>

<file path=docProps/custom.xml><?xml version="1.0" encoding="utf-8"?>
<Properties xmlns="http://schemas.openxmlformats.org/officeDocument/2006/custom-properties" xmlns:vt="http://schemas.openxmlformats.org/officeDocument/2006/docPropsVTypes"/>
</file>