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FBEB" w14:textId="77777777" w:rsidR="00E35A84" w:rsidRDefault="00E35A84" w:rsidP="00E35A84">
      <w:pPr>
        <w:pStyle w:val="paragraph"/>
        <w:spacing w:before="0" w:beforeAutospacing="0" w:after="0" w:afterAutospacing="0" w:line="288" w:lineRule="auto"/>
        <w:textAlignment w:val="baseline"/>
        <w:rPr>
          <w:rStyle w:val="normaltextrun"/>
          <w:rFonts w:eastAsiaTheme="majorEastAsia" w:cs="Arial"/>
          <w:b/>
          <w:bCs/>
          <w:color w:val="000000"/>
          <w:lang w:val="es-ES"/>
        </w:rPr>
      </w:pPr>
    </w:p>
    <w:p w14:paraId="1B861E0C" w14:textId="77777777" w:rsidR="00E35A84" w:rsidRDefault="00E35A84" w:rsidP="00E35A84">
      <w:pPr>
        <w:pStyle w:val="paragraph"/>
        <w:spacing w:before="0" w:beforeAutospacing="0" w:after="0" w:afterAutospacing="0" w:line="288" w:lineRule="auto"/>
        <w:textAlignment w:val="baseline"/>
        <w:rPr>
          <w:rStyle w:val="normaltextrun"/>
          <w:rFonts w:eastAsiaTheme="majorEastAsia" w:cs="Arial"/>
          <w:b/>
          <w:bCs/>
          <w:color w:val="000000"/>
          <w:lang w:val="es-ES"/>
        </w:rPr>
      </w:pPr>
      <w:r w:rsidRPr="003B5404">
        <w:rPr>
          <w:rFonts w:ascii="Arial" w:eastAsiaTheme="minorHAnsi" w:hAnsi="Arial" w:cs="Arial"/>
          <w:noProof/>
          <w:kern w:val="2"/>
          <w:lang w:eastAsia="en-US"/>
          <w14:ligatures w14:val="standardContextual"/>
        </w:rPr>
        <w:drawing>
          <wp:inline distT="0" distB="0" distL="0" distR="0" wp14:anchorId="1BF41BB0" wp14:editId="7ED701A8">
            <wp:extent cx="1327028" cy="1771650"/>
            <wp:effectExtent l="0" t="0" r="6985" b="0"/>
            <wp:docPr id="1542723453"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84763" name="Picture 6" descr="Logotipo, nombre de la empres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6276" cy="1783996"/>
                    </a:xfrm>
                    <a:prstGeom prst="rect">
                      <a:avLst/>
                    </a:prstGeom>
                    <a:noFill/>
                    <a:ln>
                      <a:noFill/>
                    </a:ln>
                  </pic:spPr>
                </pic:pic>
              </a:graphicData>
            </a:graphic>
          </wp:inline>
        </w:drawing>
      </w:r>
    </w:p>
    <w:p w14:paraId="033B6444" w14:textId="77777777" w:rsidR="00E35A84" w:rsidRDefault="00E35A84" w:rsidP="00E35A84">
      <w:pPr>
        <w:pStyle w:val="paragraph"/>
        <w:spacing w:before="0" w:beforeAutospacing="0" w:after="0" w:afterAutospacing="0" w:line="288" w:lineRule="auto"/>
        <w:textAlignment w:val="baseline"/>
        <w:rPr>
          <w:rStyle w:val="normaltextrun"/>
          <w:rFonts w:eastAsiaTheme="majorEastAsia" w:cs="Arial"/>
          <w:b/>
          <w:bCs/>
          <w:color w:val="000000"/>
          <w:lang w:val="es-ES"/>
        </w:rPr>
      </w:pPr>
    </w:p>
    <w:p w14:paraId="18823722" w14:textId="77777777" w:rsidR="00E35A84" w:rsidRDefault="00E35A84" w:rsidP="00E35A84">
      <w:pPr>
        <w:pStyle w:val="paragraph"/>
        <w:spacing w:before="0" w:beforeAutospacing="0" w:after="0" w:afterAutospacing="0" w:line="288" w:lineRule="auto"/>
        <w:textAlignment w:val="baseline"/>
        <w:rPr>
          <w:rStyle w:val="normaltextrun"/>
          <w:rFonts w:eastAsiaTheme="majorEastAsia" w:cs="Arial"/>
          <w:b/>
          <w:bCs/>
          <w:color w:val="000000"/>
          <w:lang w:val="es-ES"/>
        </w:rPr>
      </w:pPr>
      <w:r w:rsidRPr="003B5404">
        <w:rPr>
          <w:rStyle w:val="normaltextrun"/>
          <w:rFonts w:eastAsiaTheme="majorEastAsia" w:cs="Arial"/>
          <w:b/>
          <w:bCs/>
          <w:color w:val="000000"/>
          <w:lang w:val="es-ES"/>
        </w:rPr>
        <w:t>UNIVERSIDAD FRANCISCO GAVIDIA</w:t>
      </w:r>
    </w:p>
    <w:p w14:paraId="3B271D6D" w14:textId="77777777" w:rsidR="00E35A84" w:rsidRPr="003B5404" w:rsidRDefault="00E35A84" w:rsidP="00E35A84">
      <w:pPr>
        <w:pStyle w:val="paragraph"/>
        <w:spacing w:before="0" w:beforeAutospacing="0" w:after="0" w:afterAutospacing="0" w:line="288" w:lineRule="auto"/>
        <w:textAlignment w:val="baseline"/>
        <w:rPr>
          <w:rFonts w:ascii="Arial" w:hAnsi="Arial" w:cs="Arial"/>
          <w:color w:val="000000"/>
        </w:rPr>
      </w:pPr>
    </w:p>
    <w:p w14:paraId="5689D032" w14:textId="77777777" w:rsidR="00E35A84" w:rsidRPr="003B5404" w:rsidRDefault="00E35A84" w:rsidP="00E35A84">
      <w:pPr>
        <w:pStyle w:val="paragraph"/>
        <w:spacing w:before="0" w:beforeAutospacing="0" w:after="0" w:afterAutospacing="0" w:line="288" w:lineRule="auto"/>
        <w:textAlignment w:val="baseline"/>
        <w:rPr>
          <w:rFonts w:ascii="Arial" w:hAnsi="Arial" w:cs="Arial"/>
          <w:color w:val="000000"/>
        </w:rPr>
      </w:pPr>
    </w:p>
    <w:p w14:paraId="0004EB87" w14:textId="77777777" w:rsidR="00E35A84" w:rsidRDefault="00E35A84" w:rsidP="00E35A84">
      <w:pPr>
        <w:pStyle w:val="paragraph"/>
        <w:spacing w:before="0" w:beforeAutospacing="0" w:after="0" w:afterAutospacing="0" w:line="288" w:lineRule="auto"/>
        <w:textAlignment w:val="baseline"/>
        <w:rPr>
          <w:rStyle w:val="normaltextrun"/>
          <w:rFonts w:eastAsiaTheme="majorEastAsia" w:cs="Arial"/>
          <w:color w:val="000000"/>
          <w:lang w:val="es-ES"/>
        </w:rPr>
      </w:pPr>
      <w:r w:rsidRPr="003B5404">
        <w:rPr>
          <w:rStyle w:val="normaltextrun"/>
          <w:rFonts w:eastAsiaTheme="majorEastAsia" w:cs="Arial"/>
          <w:b/>
          <w:bCs/>
          <w:color w:val="000000"/>
          <w:lang w:val="es-ES"/>
        </w:rPr>
        <w:t>Facultad:</w:t>
      </w:r>
      <w:r w:rsidRPr="003B5404">
        <w:rPr>
          <w:rStyle w:val="normaltextrun"/>
          <w:rFonts w:eastAsiaTheme="majorEastAsia" w:cs="Arial"/>
          <w:color w:val="000000"/>
          <w:lang w:val="es-ES"/>
        </w:rPr>
        <w:t xml:space="preserve"> Ingeniería y Sistemas</w:t>
      </w:r>
    </w:p>
    <w:p w14:paraId="3D944096" w14:textId="77777777" w:rsidR="00E35A84" w:rsidRPr="003B5404" w:rsidRDefault="00E35A84" w:rsidP="00E35A84">
      <w:pPr>
        <w:pStyle w:val="paragraph"/>
        <w:spacing w:before="0" w:beforeAutospacing="0" w:after="0" w:afterAutospacing="0" w:line="288" w:lineRule="auto"/>
        <w:textAlignment w:val="baseline"/>
        <w:rPr>
          <w:rStyle w:val="eop"/>
          <w:rFonts w:ascii="Arial" w:eastAsiaTheme="majorEastAsia" w:hAnsi="Arial" w:cs="Arial"/>
          <w:color w:val="000000"/>
        </w:rPr>
      </w:pPr>
    </w:p>
    <w:p w14:paraId="57CC59F5" w14:textId="77777777" w:rsidR="00E35A84" w:rsidRPr="003B5404" w:rsidRDefault="00E35A84" w:rsidP="00E35A84">
      <w:pPr>
        <w:pStyle w:val="paragraph"/>
        <w:spacing w:before="0" w:beforeAutospacing="0" w:after="0" w:afterAutospacing="0" w:line="288" w:lineRule="auto"/>
        <w:textAlignment w:val="baseline"/>
        <w:rPr>
          <w:rFonts w:ascii="Arial" w:hAnsi="Arial" w:cs="Arial"/>
          <w:color w:val="000000"/>
        </w:rPr>
      </w:pPr>
    </w:p>
    <w:p w14:paraId="55A3E385" w14:textId="77777777" w:rsidR="00E35A84" w:rsidRDefault="00E35A84" w:rsidP="00E35A84">
      <w:pPr>
        <w:pStyle w:val="paragraph"/>
        <w:spacing w:before="0" w:beforeAutospacing="0" w:after="0" w:afterAutospacing="0" w:line="288" w:lineRule="auto"/>
        <w:textAlignment w:val="baseline"/>
        <w:rPr>
          <w:rStyle w:val="normaltextrun"/>
          <w:rFonts w:eastAsiaTheme="majorEastAsia" w:cs="Arial"/>
          <w:color w:val="000000"/>
          <w:lang w:val="es-ES"/>
        </w:rPr>
      </w:pPr>
      <w:r w:rsidRPr="003B5404">
        <w:rPr>
          <w:rStyle w:val="normaltextrun"/>
          <w:rFonts w:eastAsiaTheme="majorEastAsia" w:cs="Arial"/>
          <w:b/>
          <w:bCs/>
          <w:color w:val="000000"/>
          <w:lang w:val="es-ES"/>
        </w:rPr>
        <w:t>Carrera:</w:t>
      </w:r>
      <w:r w:rsidRPr="003B5404">
        <w:rPr>
          <w:rStyle w:val="normaltextrun"/>
          <w:rFonts w:eastAsiaTheme="majorEastAsia" w:cs="Arial"/>
          <w:color w:val="000000"/>
          <w:lang w:val="es-ES"/>
        </w:rPr>
        <w:t xml:space="preserve"> Ingeniería en Ciencias de la Computación</w:t>
      </w:r>
    </w:p>
    <w:p w14:paraId="40EDDF7C" w14:textId="77777777" w:rsidR="00E35A84" w:rsidRPr="003B5404" w:rsidRDefault="00E35A84" w:rsidP="00E35A84">
      <w:pPr>
        <w:pStyle w:val="paragraph"/>
        <w:spacing w:before="0" w:beforeAutospacing="0" w:after="0" w:afterAutospacing="0" w:line="288" w:lineRule="auto"/>
        <w:textAlignment w:val="baseline"/>
        <w:rPr>
          <w:rStyle w:val="eop"/>
          <w:rFonts w:ascii="Arial" w:eastAsiaTheme="majorEastAsia" w:hAnsi="Arial" w:cs="Arial"/>
          <w:color w:val="000000"/>
        </w:rPr>
      </w:pPr>
    </w:p>
    <w:p w14:paraId="0B5C5304" w14:textId="77777777" w:rsidR="00E35A84" w:rsidRPr="003B5404" w:rsidRDefault="00E35A84" w:rsidP="00E35A84">
      <w:pPr>
        <w:pStyle w:val="paragraph"/>
        <w:spacing w:before="0" w:beforeAutospacing="0" w:after="0" w:afterAutospacing="0" w:line="288" w:lineRule="auto"/>
        <w:textAlignment w:val="baseline"/>
        <w:rPr>
          <w:rFonts w:ascii="Arial" w:hAnsi="Arial" w:cs="Arial"/>
          <w:color w:val="000000"/>
        </w:rPr>
      </w:pPr>
    </w:p>
    <w:p w14:paraId="699E484E" w14:textId="2981412B" w:rsidR="00E35A84" w:rsidRDefault="00E35A84" w:rsidP="00E35A84">
      <w:pPr>
        <w:pStyle w:val="paragraph"/>
        <w:spacing w:before="0" w:beforeAutospacing="0" w:after="0" w:afterAutospacing="0" w:line="288" w:lineRule="auto"/>
        <w:textAlignment w:val="baseline"/>
        <w:rPr>
          <w:rFonts w:eastAsiaTheme="majorEastAsia"/>
          <w:b/>
          <w:bCs/>
        </w:rPr>
      </w:pPr>
      <w:r w:rsidRPr="003B5404">
        <w:rPr>
          <w:rStyle w:val="normaltextrun"/>
          <w:rFonts w:eastAsiaTheme="majorEastAsia" w:cs="Arial"/>
          <w:b/>
          <w:bCs/>
          <w:color w:val="000000"/>
          <w:lang w:val="es-ES"/>
        </w:rPr>
        <w:t>Asignatura</w:t>
      </w:r>
      <w:r w:rsidRPr="005F081A">
        <w:rPr>
          <w:rStyle w:val="normaltextrun"/>
          <w:rFonts w:eastAsiaTheme="majorEastAsia" w:cs="Arial"/>
          <w:color w:val="000000"/>
          <w:lang w:val="es-ES"/>
        </w:rPr>
        <w:t>:</w:t>
      </w:r>
      <w:r w:rsidRPr="003B5404">
        <w:rPr>
          <w:rStyle w:val="normaltextrun"/>
          <w:rFonts w:eastAsiaTheme="majorEastAsia" w:cs="Arial"/>
          <w:color w:val="000000"/>
          <w:lang w:val="es-ES"/>
        </w:rPr>
        <w:t xml:space="preserve"> </w:t>
      </w:r>
      <w:r>
        <w:rPr>
          <w:rFonts w:eastAsiaTheme="majorEastAsia"/>
          <w:b/>
          <w:bCs/>
        </w:rPr>
        <w:t>A</w:t>
      </w:r>
      <w:r w:rsidRPr="00E35A84">
        <w:rPr>
          <w:rFonts w:eastAsiaTheme="majorEastAsia"/>
          <w:b/>
          <w:bCs/>
        </w:rPr>
        <w:t>nalizando las necesidades de hardware y software - grupo 01</w:t>
      </w:r>
    </w:p>
    <w:p w14:paraId="17CDF4BA" w14:textId="77777777" w:rsidR="00E35A84" w:rsidRDefault="00E35A84" w:rsidP="00E35A84">
      <w:pPr>
        <w:pStyle w:val="paragraph"/>
        <w:spacing w:before="0" w:beforeAutospacing="0" w:after="0" w:afterAutospacing="0" w:line="288" w:lineRule="auto"/>
        <w:textAlignment w:val="baseline"/>
        <w:rPr>
          <w:rStyle w:val="eop"/>
          <w:rFonts w:ascii="Arial" w:eastAsiaTheme="majorEastAsia" w:hAnsi="Arial" w:cs="Arial"/>
          <w:color w:val="000000"/>
        </w:rPr>
      </w:pPr>
    </w:p>
    <w:p w14:paraId="1991A6E2" w14:textId="0F893AF4" w:rsidR="00E35A84" w:rsidRDefault="00E35A84" w:rsidP="00E35A84">
      <w:pPr>
        <w:pStyle w:val="paragraph"/>
        <w:spacing w:line="288" w:lineRule="auto"/>
        <w:textAlignment w:val="baseline"/>
        <w:rPr>
          <w:b/>
          <w:bCs/>
        </w:rPr>
      </w:pPr>
      <w:r w:rsidRPr="00DF1B8A">
        <w:rPr>
          <w:rStyle w:val="normaltextrun"/>
          <w:rFonts w:eastAsiaTheme="majorEastAsia" w:cs="Arial"/>
          <w:b/>
          <w:bCs/>
          <w:lang w:val="es-ES"/>
        </w:rPr>
        <w:t>Profesor</w:t>
      </w:r>
      <w:r w:rsidRPr="052181F6">
        <w:rPr>
          <w:rStyle w:val="eop"/>
          <w:rFonts w:ascii="Arial" w:eastAsiaTheme="majorEastAsia" w:hAnsi="Arial" w:cs="Arial"/>
        </w:rPr>
        <w:t xml:space="preserve">: </w:t>
      </w:r>
      <w:r>
        <w:rPr>
          <w:b/>
          <w:bCs/>
        </w:rPr>
        <w:t>C</w:t>
      </w:r>
      <w:r w:rsidRPr="00E35A84">
        <w:rPr>
          <w:b/>
          <w:bCs/>
        </w:rPr>
        <w:t xml:space="preserve">arlos </w:t>
      </w:r>
      <w:r>
        <w:rPr>
          <w:b/>
          <w:bCs/>
        </w:rPr>
        <w:t>B</w:t>
      </w:r>
      <w:r w:rsidRPr="00E35A84">
        <w:rPr>
          <w:b/>
          <w:bCs/>
        </w:rPr>
        <w:t xml:space="preserve">oris </w:t>
      </w:r>
      <w:r>
        <w:rPr>
          <w:b/>
          <w:bCs/>
        </w:rPr>
        <w:t>M</w:t>
      </w:r>
      <w:r w:rsidRPr="00E35A84">
        <w:rPr>
          <w:b/>
          <w:bCs/>
        </w:rPr>
        <w:t xml:space="preserve">artínez </w:t>
      </w:r>
      <w:r>
        <w:rPr>
          <w:b/>
          <w:bCs/>
        </w:rPr>
        <w:t>C</w:t>
      </w:r>
      <w:r w:rsidRPr="00E35A84">
        <w:rPr>
          <w:b/>
          <w:bCs/>
        </w:rPr>
        <w:t>alzadia</w:t>
      </w:r>
    </w:p>
    <w:p w14:paraId="4BE63CF5" w14:textId="77777777" w:rsidR="00E35A84" w:rsidRPr="00E35A84" w:rsidRDefault="00E35A84" w:rsidP="00E35A84">
      <w:pPr>
        <w:pStyle w:val="paragraph"/>
        <w:spacing w:line="288" w:lineRule="auto"/>
        <w:textAlignment w:val="baseline"/>
        <w:rPr>
          <w:rStyle w:val="normaltextrun"/>
          <w:b/>
          <w:bCs/>
        </w:rPr>
      </w:pPr>
    </w:p>
    <w:p w14:paraId="03BBE32E" w14:textId="141A2C6E" w:rsidR="00E35A84" w:rsidRDefault="00E35A84" w:rsidP="00E35A84">
      <w:pPr>
        <w:pStyle w:val="paragraph"/>
        <w:spacing w:before="0" w:beforeAutospacing="0" w:after="0" w:afterAutospacing="0" w:line="288" w:lineRule="auto"/>
        <w:rPr>
          <w:rStyle w:val="normaltextrun"/>
          <w:rFonts w:eastAsiaTheme="majorEastAsia"/>
          <w:lang w:val="es-ES"/>
        </w:rPr>
      </w:pPr>
      <w:r w:rsidRPr="00FD09A0">
        <w:rPr>
          <w:rStyle w:val="normaltextrun"/>
          <w:rFonts w:eastAsiaTheme="majorEastAsia" w:cs="Arial"/>
          <w:b/>
          <w:lang w:val="es-ES"/>
        </w:rPr>
        <w:t>Tarea:</w:t>
      </w:r>
      <w:r w:rsidRPr="052181F6">
        <w:rPr>
          <w:rStyle w:val="normaltextrun"/>
          <w:rFonts w:eastAsiaTheme="majorEastAsia" w:cs="Arial"/>
          <w:lang w:val="es-ES"/>
        </w:rPr>
        <w:t xml:space="preserve"> </w:t>
      </w:r>
      <w:r>
        <w:rPr>
          <w:rStyle w:val="normaltextrun"/>
          <w:rFonts w:eastAsiaTheme="majorEastAsia"/>
          <w:lang w:val="es-ES"/>
        </w:rPr>
        <w:t xml:space="preserve">Parcial 3 </w:t>
      </w:r>
    </w:p>
    <w:p w14:paraId="307C9B2A" w14:textId="77777777" w:rsidR="00E35A84" w:rsidRDefault="00E35A84" w:rsidP="00E35A84">
      <w:pPr>
        <w:pStyle w:val="paragraph"/>
        <w:spacing w:before="0" w:beforeAutospacing="0" w:after="0" w:afterAutospacing="0" w:line="288" w:lineRule="auto"/>
        <w:rPr>
          <w:rStyle w:val="normaltextrun"/>
          <w:rFonts w:eastAsiaTheme="majorEastAsia" w:cs="Arial"/>
          <w:lang w:val="es-ES"/>
        </w:rPr>
      </w:pPr>
    </w:p>
    <w:p w14:paraId="5A06FC3B" w14:textId="77777777" w:rsidR="00E35A84" w:rsidRDefault="00E35A84" w:rsidP="00E35A84">
      <w:pPr>
        <w:pStyle w:val="paragraph"/>
        <w:spacing w:before="0" w:beforeAutospacing="0" w:after="0" w:afterAutospacing="0" w:line="288" w:lineRule="auto"/>
        <w:textAlignment w:val="baseline"/>
        <w:rPr>
          <w:rStyle w:val="normaltextrun"/>
          <w:rFonts w:eastAsiaTheme="majorEastAsia" w:cs="Arial"/>
          <w:color w:val="000000"/>
        </w:rPr>
      </w:pPr>
    </w:p>
    <w:p w14:paraId="47161626" w14:textId="77777777" w:rsidR="00E35A84" w:rsidRPr="003B5404" w:rsidRDefault="00E35A84" w:rsidP="00E35A84">
      <w:pPr>
        <w:pStyle w:val="paragraph"/>
        <w:spacing w:before="0" w:beforeAutospacing="0" w:after="0" w:afterAutospacing="0" w:line="288" w:lineRule="auto"/>
        <w:textAlignment w:val="baseline"/>
        <w:rPr>
          <w:rStyle w:val="normaltextrun"/>
          <w:rFonts w:eastAsiaTheme="majorEastAsia" w:cs="Arial"/>
          <w:color w:val="000000"/>
        </w:rPr>
      </w:pPr>
    </w:p>
    <w:p w14:paraId="590736D4" w14:textId="77777777" w:rsidR="00E35A84" w:rsidRDefault="00E35A84" w:rsidP="00E35A84">
      <w:pPr>
        <w:pStyle w:val="paragraph"/>
        <w:spacing w:before="0" w:beforeAutospacing="0" w:after="0" w:afterAutospacing="0" w:line="288" w:lineRule="auto"/>
        <w:textAlignment w:val="baseline"/>
        <w:rPr>
          <w:rStyle w:val="normaltextrun"/>
          <w:rFonts w:eastAsiaTheme="majorEastAsia" w:cs="Arial"/>
          <w:b/>
          <w:bCs/>
          <w:color w:val="000000"/>
          <w:lang w:val="es-ES"/>
        </w:rPr>
      </w:pPr>
      <w:r w:rsidRPr="003B5404">
        <w:rPr>
          <w:rStyle w:val="normaltextrun"/>
          <w:rFonts w:eastAsiaTheme="majorEastAsia" w:cs="Arial"/>
          <w:b/>
          <w:bCs/>
          <w:color w:val="000000"/>
          <w:lang w:val="es-ES"/>
        </w:rPr>
        <w:t>Integrantes:</w:t>
      </w:r>
    </w:p>
    <w:p w14:paraId="2F61382E" w14:textId="77777777" w:rsidR="000C4E2D" w:rsidRDefault="000C4E2D" w:rsidP="00E35A84">
      <w:pPr>
        <w:pStyle w:val="paragraph"/>
        <w:spacing w:before="0" w:beforeAutospacing="0" w:after="0" w:afterAutospacing="0" w:line="288" w:lineRule="auto"/>
        <w:textAlignment w:val="baseline"/>
        <w:rPr>
          <w:rStyle w:val="normaltextrun"/>
          <w:rFonts w:eastAsiaTheme="majorEastAsia" w:cs="Arial"/>
          <w:b/>
          <w:bCs/>
          <w:color w:val="000000"/>
          <w:lang w:val="es-ES"/>
        </w:rPr>
      </w:pPr>
    </w:p>
    <w:p w14:paraId="1EA54E20" w14:textId="77777777" w:rsidR="000C4E2D" w:rsidRPr="003B5404" w:rsidRDefault="000C4E2D" w:rsidP="00E35A84">
      <w:pPr>
        <w:pStyle w:val="paragraph"/>
        <w:spacing w:before="0" w:beforeAutospacing="0" w:after="0" w:afterAutospacing="0" w:line="288" w:lineRule="auto"/>
        <w:textAlignment w:val="baseline"/>
        <w:rPr>
          <w:rFonts w:ascii="Arial" w:hAnsi="Arial" w:cs="Arial"/>
          <w:color w:val="000000"/>
        </w:rPr>
      </w:pPr>
    </w:p>
    <w:p w14:paraId="04CF433A" w14:textId="77777777" w:rsidR="00E35A84" w:rsidRPr="003B5404" w:rsidRDefault="00E35A84" w:rsidP="00E35A84">
      <w:pPr>
        <w:pStyle w:val="paragraph"/>
        <w:spacing w:before="0" w:beforeAutospacing="0" w:after="0" w:afterAutospacing="0" w:line="288" w:lineRule="auto"/>
        <w:textAlignment w:val="baseline"/>
        <w:rPr>
          <w:rStyle w:val="normaltextrun"/>
          <w:rFonts w:eastAsiaTheme="majorEastAsia" w:cs="Arial"/>
          <w:color w:val="000000"/>
        </w:rPr>
      </w:pPr>
    </w:p>
    <w:tbl>
      <w:tblPr>
        <w:tblW w:w="6662" w:type="dxa"/>
        <w:jc w:val="center"/>
        <w:tblLook w:val="04A0" w:firstRow="1" w:lastRow="0" w:firstColumn="1" w:lastColumn="0" w:noHBand="0" w:noVBand="1"/>
      </w:tblPr>
      <w:tblGrid>
        <w:gridCol w:w="4675"/>
        <w:gridCol w:w="1987"/>
      </w:tblGrid>
      <w:tr w:rsidR="00E35A84" w:rsidRPr="003B5404" w14:paraId="33489CDB" w14:textId="77777777" w:rsidTr="00E35A84">
        <w:trPr>
          <w:jc w:val="center"/>
        </w:trPr>
        <w:tc>
          <w:tcPr>
            <w:tcW w:w="4675" w:type="dxa"/>
            <w:shd w:val="clear" w:color="auto" w:fill="45B0E1" w:themeFill="accent1" w:themeFillTint="99"/>
          </w:tcPr>
          <w:p w14:paraId="1E52C43D" w14:textId="77777777" w:rsidR="00E35A84" w:rsidRPr="003B5404" w:rsidRDefault="00E35A84" w:rsidP="00F326F8">
            <w:pPr>
              <w:spacing w:line="276" w:lineRule="auto"/>
              <w:rPr>
                <w:rFonts w:cs="Arial"/>
                <w:b/>
                <w:color w:val="0A2F41" w:themeColor="accent1" w:themeShade="80"/>
              </w:rPr>
            </w:pPr>
            <w:r w:rsidRPr="003B5404">
              <w:rPr>
                <w:rFonts w:cs="Arial"/>
                <w:b/>
                <w:color w:val="0A2F41" w:themeColor="accent1" w:themeShade="80"/>
              </w:rPr>
              <w:t>Integrantes</w:t>
            </w:r>
          </w:p>
        </w:tc>
        <w:tc>
          <w:tcPr>
            <w:tcW w:w="1987" w:type="dxa"/>
            <w:shd w:val="clear" w:color="auto" w:fill="45B0E1" w:themeFill="accent1" w:themeFillTint="99"/>
          </w:tcPr>
          <w:p w14:paraId="683F2C87" w14:textId="77777777" w:rsidR="00E35A84" w:rsidRPr="003B5404" w:rsidRDefault="00E35A84" w:rsidP="00F326F8">
            <w:pPr>
              <w:spacing w:line="276" w:lineRule="auto"/>
              <w:rPr>
                <w:rFonts w:cs="Arial"/>
                <w:b/>
                <w:color w:val="0A2F41" w:themeColor="accent1" w:themeShade="80"/>
              </w:rPr>
            </w:pPr>
            <w:r w:rsidRPr="003B5404">
              <w:rPr>
                <w:rFonts w:cs="Arial"/>
                <w:b/>
                <w:color w:val="0A2F41" w:themeColor="accent1" w:themeShade="80"/>
              </w:rPr>
              <w:t>Carné</w:t>
            </w:r>
          </w:p>
        </w:tc>
      </w:tr>
      <w:tr w:rsidR="00E35A84" w:rsidRPr="003B5404" w14:paraId="1D607907" w14:textId="77777777" w:rsidTr="00E35A84">
        <w:trPr>
          <w:jc w:val="center"/>
        </w:trPr>
        <w:tc>
          <w:tcPr>
            <w:tcW w:w="4675" w:type="dxa"/>
          </w:tcPr>
          <w:p w14:paraId="0014F806" w14:textId="77777777" w:rsidR="00E35A84" w:rsidRPr="00977996" w:rsidRDefault="00E35A84" w:rsidP="00F326F8">
            <w:pPr>
              <w:spacing w:line="276" w:lineRule="auto"/>
              <w:rPr>
                <w:rStyle w:val="normaltextrun"/>
                <w:lang w:val="es-ES"/>
              </w:rPr>
            </w:pPr>
            <w:r w:rsidRPr="00977996">
              <w:rPr>
                <w:rStyle w:val="normaltextrun"/>
                <w:rFonts w:cs="Arial"/>
                <w:lang w:val="es-ES"/>
              </w:rPr>
              <w:t>Portillo Marroquín, Wilson Alexander</w:t>
            </w:r>
          </w:p>
        </w:tc>
        <w:tc>
          <w:tcPr>
            <w:tcW w:w="1987" w:type="dxa"/>
          </w:tcPr>
          <w:p w14:paraId="3F7BAF2F" w14:textId="77777777" w:rsidR="00E35A84" w:rsidRPr="00977996" w:rsidRDefault="00E35A84" w:rsidP="00F326F8">
            <w:pPr>
              <w:spacing w:line="276" w:lineRule="auto"/>
              <w:rPr>
                <w:rStyle w:val="normaltextrun"/>
                <w:lang w:val="es-ES"/>
              </w:rPr>
            </w:pPr>
            <w:r w:rsidRPr="00977996">
              <w:rPr>
                <w:rStyle w:val="normaltextrun"/>
                <w:rFonts w:cs="Arial"/>
                <w:lang w:val="es-ES"/>
              </w:rPr>
              <w:t>PM100422</w:t>
            </w:r>
          </w:p>
        </w:tc>
      </w:tr>
    </w:tbl>
    <w:p w14:paraId="0B06BE08" w14:textId="1CCEF2D5" w:rsidR="000C4E2D" w:rsidRDefault="00E35A84" w:rsidP="00E35A84">
      <w:r>
        <w:br w:type="page"/>
      </w:r>
    </w:p>
    <w:sdt>
      <w:sdtPr>
        <w:rPr>
          <w:rFonts w:ascii="Arial" w:eastAsiaTheme="minorHAnsi" w:hAnsi="Arial" w:cstheme="minorBidi"/>
          <w:color w:val="auto"/>
          <w:kern w:val="2"/>
          <w:sz w:val="24"/>
          <w:szCs w:val="24"/>
          <w:lang w:val="es-ES" w:eastAsia="en-US"/>
          <w14:ligatures w14:val="standardContextual"/>
        </w:rPr>
        <w:id w:val="-243885175"/>
        <w:docPartObj>
          <w:docPartGallery w:val="Table of Contents"/>
          <w:docPartUnique/>
        </w:docPartObj>
      </w:sdtPr>
      <w:sdtEndPr>
        <w:rPr>
          <w:b/>
          <w:bCs/>
        </w:rPr>
      </w:sdtEndPr>
      <w:sdtContent>
        <w:p w14:paraId="1CB4FA9F" w14:textId="531571CC" w:rsidR="000C4E2D" w:rsidRDefault="000C4E2D">
          <w:pPr>
            <w:pStyle w:val="TtuloTDC"/>
          </w:pPr>
          <w:r>
            <w:rPr>
              <w:lang w:val="es-ES"/>
            </w:rPr>
            <w:t>Contenido</w:t>
          </w:r>
        </w:p>
        <w:p w14:paraId="155ABED7" w14:textId="6AAE5344" w:rsidR="00560D48" w:rsidRDefault="000C4E2D">
          <w:pPr>
            <w:pStyle w:val="TDC1"/>
            <w:tabs>
              <w:tab w:val="right" w:leader="dot" w:pos="9350"/>
            </w:tabs>
            <w:rPr>
              <w:rFonts w:asciiTheme="minorHAnsi" w:eastAsiaTheme="minorEastAsia" w:hAnsiTheme="minorHAnsi"/>
              <w:noProof/>
              <w:lang w:eastAsia="es-SV"/>
            </w:rPr>
          </w:pPr>
          <w:r>
            <w:fldChar w:fldCharType="begin"/>
          </w:r>
          <w:r>
            <w:instrText xml:space="preserve"> TOC \o "1-3" \h \z \u </w:instrText>
          </w:r>
          <w:r>
            <w:fldChar w:fldCharType="separate"/>
          </w:r>
          <w:hyperlink w:anchor="_Toc212640221" w:history="1">
            <w:r w:rsidR="00560D48" w:rsidRPr="00E71016">
              <w:rPr>
                <w:rStyle w:val="Hipervnculo"/>
                <w:noProof/>
              </w:rPr>
              <w:t>Nombre del proyecto y descripción breve</w:t>
            </w:r>
            <w:r w:rsidR="00560D48">
              <w:rPr>
                <w:noProof/>
                <w:webHidden/>
              </w:rPr>
              <w:tab/>
            </w:r>
            <w:r w:rsidR="00560D48">
              <w:rPr>
                <w:noProof/>
                <w:webHidden/>
              </w:rPr>
              <w:fldChar w:fldCharType="begin"/>
            </w:r>
            <w:r w:rsidR="00560D48">
              <w:rPr>
                <w:noProof/>
                <w:webHidden/>
              </w:rPr>
              <w:instrText xml:space="preserve"> PAGEREF _Toc212640221 \h </w:instrText>
            </w:r>
            <w:r w:rsidR="00560D48">
              <w:rPr>
                <w:noProof/>
                <w:webHidden/>
              </w:rPr>
            </w:r>
            <w:r w:rsidR="00560D48">
              <w:rPr>
                <w:noProof/>
                <w:webHidden/>
              </w:rPr>
              <w:fldChar w:fldCharType="separate"/>
            </w:r>
            <w:r w:rsidR="00560D48">
              <w:rPr>
                <w:noProof/>
                <w:webHidden/>
              </w:rPr>
              <w:t>1</w:t>
            </w:r>
            <w:r w:rsidR="00560D48">
              <w:rPr>
                <w:noProof/>
                <w:webHidden/>
              </w:rPr>
              <w:fldChar w:fldCharType="end"/>
            </w:r>
          </w:hyperlink>
        </w:p>
        <w:p w14:paraId="5557F10E" w14:textId="44A90A8F" w:rsidR="00560D48" w:rsidRDefault="00560D48">
          <w:pPr>
            <w:pStyle w:val="TDC1"/>
            <w:tabs>
              <w:tab w:val="right" w:leader="dot" w:pos="9350"/>
            </w:tabs>
            <w:rPr>
              <w:rFonts w:asciiTheme="minorHAnsi" w:eastAsiaTheme="minorEastAsia" w:hAnsiTheme="minorHAnsi"/>
              <w:noProof/>
              <w:lang w:eastAsia="es-SV"/>
            </w:rPr>
          </w:pPr>
          <w:hyperlink w:anchor="_Toc212640222" w:history="1">
            <w:r w:rsidRPr="00E71016">
              <w:rPr>
                <w:rStyle w:val="Hipervnculo"/>
                <w:noProof/>
              </w:rPr>
              <w:t>Plataforma No-Code/Low-Code elegida</w:t>
            </w:r>
            <w:r>
              <w:rPr>
                <w:noProof/>
                <w:webHidden/>
              </w:rPr>
              <w:tab/>
            </w:r>
            <w:r>
              <w:rPr>
                <w:noProof/>
                <w:webHidden/>
              </w:rPr>
              <w:fldChar w:fldCharType="begin"/>
            </w:r>
            <w:r>
              <w:rPr>
                <w:noProof/>
                <w:webHidden/>
              </w:rPr>
              <w:instrText xml:space="preserve"> PAGEREF _Toc212640222 \h </w:instrText>
            </w:r>
            <w:r>
              <w:rPr>
                <w:noProof/>
                <w:webHidden/>
              </w:rPr>
            </w:r>
            <w:r>
              <w:rPr>
                <w:noProof/>
                <w:webHidden/>
              </w:rPr>
              <w:fldChar w:fldCharType="separate"/>
            </w:r>
            <w:r>
              <w:rPr>
                <w:noProof/>
                <w:webHidden/>
              </w:rPr>
              <w:t>1</w:t>
            </w:r>
            <w:r>
              <w:rPr>
                <w:noProof/>
                <w:webHidden/>
              </w:rPr>
              <w:fldChar w:fldCharType="end"/>
            </w:r>
          </w:hyperlink>
        </w:p>
        <w:p w14:paraId="29C793B5" w14:textId="39BF2AFC" w:rsidR="00560D48" w:rsidRDefault="00560D48">
          <w:pPr>
            <w:pStyle w:val="TDC1"/>
            <w:tabs>
              <w:tab w:val="right" w:leader="dot" w:pos="9350"/>
            </w:tabs>
            <w:rPr>
              <w:rFonts w:asciiTheme="minorHAnsi" w:eastAsiaTheme="minorEastAsia" w:hAnsiTheme="minorHAnsi"/>
              <w:noProof/>
              <w:lang w:eastAsia="es-SV"/>
            </w:rPr>
          </w:pPr>
          <w:hyperlink w:anchor="_Toc212640223" w:history="1">
            <w:r w:rsidRPr="00E71016">
              <w:rPr>
                <w:rStyle w:val="Hipervnculo"/>
                <w:noProof/>
              </w:rPr>
              <w:t>Descripción de la funcionalidad implementada</w:t>
            </w:r>
            <w:r>
              <w:rPr>
                <w:noProof/>
                <w:webHidden/>
              </w:rPr>
              <w:tab/>
            </w:r>
            <w:r>
              <w:rPr>
                <w:noProof/>
                <w:webHidden/>
              </w:rPr>
              <w:fldChar w:fldCharType="begin"/>
            </w:r>
            <w:r>
              <w:rPr>
                <w:noProof/>
                <w:webHidden/>
              </w:rPr>
              <w:instrText xml:space="preserve"> PAGEREF _Toc212640223 \h </w:instrText>
            </w:r>
            <w:r>
              <w:rPr>
                <w:noProof/>
                <w:webHidden/>
              </w:rPr>
            </w:r>
            <w:r>
              <w:rPr>
                <w:noProof/>
                <w:webHidden/>
              </w:rPr>
              <w:fldChar w:fldCharType="separate"/>
            </w:r>
            <w:r>
              <w:rPr>
                <w:noProof/>
                <w:webHidden/>
              </w:rPr>
              <w:t>1</w:t>
            </w:r>
            <w:r>
              <w:rPr>
                <w:noProof/>
                <w:webHidden/>
              </w:rPr>
              <w:fldChar w:fldCharType="end"/>
            </w:r>
          </w:hyperlink>
        </w:p>
        <w:p w14:paraId="687A56A0" w14:textId="4DCCF74F" w:rsidR="00560D48" w:rsidRDefault="00560D48">
          <w:pPr>
            <w:pStyle w:val="TDC1"/>
            <w:tabs>
              <w:tab w:val="right" w:leader="dot" w:pos="9350"/>
            </w:tabs>
            <w:rPr>
              <w:rFonts w:asciiTheme="minorHAnsi" w:eastAsiaTheme="minorEastAsia" w:hAnsiTheme="minorHAnsi"/>
              <w:noProof/>
              <w:lang w:eastAsia="es-SV"/>
            </w:rPr>
          </w:pPr>
          <w:hyperlink w:anchor="_Toc212640224" w:history="1">
            <w:r w:rsidRPr="00E71016">
              <w:rPr>
                <w:rStyle w:val="Hipervnculo"/>
                <w:noProof/>
              </w:rPr>
              <w:t>Explicación de cómo se usó la IA</w:t>
            </w:r>
            <w:r>
              <w:rPr>
                <w:noProof/>
                <w:webHidden/>
              </w:rPr>
              <w:tab/>
            </w:r>
            <w:r>
              <w:rPr>
                <w:noProof/>
                <w:webHidden/>
              </w:rPr>
              <w:fldChar w:fldCharType="begin"/>
            </w:r>
            <w:r>
              <w:rPr>
                <w:noProof/>
                <w:webHidden/>
              </w:rPr>
              <w:instrText xml:space="preserve"> PAGEREF _Toc212640224 \h </w:instrText>
            </w:r>
            <w:r>
              <w:rPr>
                <w:noProof/>
                <w:webHidden/>
              </w:rPr>
            </w:r>
            <w:r>
              <w:rPr>
                <w:noProof/>
                <w:webHidden/>
              </w:rPr>
              <w:fldChar w:fldCharType="separate"/>
            </w:r>
            <w:r>
              <w:rPr>
                <w:noProof/>
                <w:webHidden/>
              </w:rPr>
              <w:t>2</w:t>
            </w:r>
            <w:r>
              <w:rPr>
                <w:noProof/>
                <w:webHidden/>
              </w:rPr>
              <w:fldChar w:fldCharType="end"/>
            </w:r>
          </w:hyperlink>
        </w:p>
        <w:p w14:paraId="385A2A17" w14:textId="51793CA9" w:rsidR="00560D48" w:rsidRDefault="00560D48">
          <w:pPr>
            <w:pStyle w:val="TDC1"/>
            <w:tabs>
              <w:tab w:val="right" w:leader="dot" w:pos="9350"/>
            </w:tabs>
            <w:rPr>
              <w:rFonts w:asciiTheme="minorHAnsi" w:eastAsiaTheme="minorEastAsia" w:hAnsiTheme="minorHAnsi"/>
              <w:noProof/>
              <w:lang w:eastAsia="es-SV"/>
            </w:rPr>
          </w:pPr>
          <w:hyperlink w:anchor="_Toc212640225" w:history="1">
            <w:r w:rsidRPr="00E71016">
              <w:rPr>
                <w:rStyle w:val="Hipervnculo"/>
                <w:noProof/>
              </w:rPr>
              <w:t>Cálculo de costos</w:t>
            </w:r>
            <w:r>
              <w:rPr>
                <w:noProof/>
                <w:webHidden/>
              </w:rPr>
              <w:tab/>
            </w:r>
            <w:r>
              <w:rPr>
                <w:noProof/>
                <w:webHidden/>
              </w:rPr>
              <w:fldChar w:fldCharType="begin"/>
            </w:r>
            <w:r>
              <w:rPr>
                <w:noProof/>
                <w:webHidden/>
              </w:rPr>
              <w:instrText xml:space="preserve"> PAGEREF _Toc212640225 \h </w:instrText>
            </w:r>
            <w:r>
              <w:rPr>
                <w:noProof/>
                <w:webHidden/>
              </w:rPr>
            </w:r>
            <w:r>
              <w:rPr>
                <w:noProof/>
                <w:webHidden/>
              </w:rPr>
              <w:fldChar w:fldCharType="separate"/>
            </w:r>
            <w:r>
              <w:rPr>
                <w:noProof/>
                <w:webHidden/>
              </w:rPr>
              <w:t>3</w:t>
            </w:r>
            <w:r>
              <w:rPr>
                <w:noProof/>
                <w:webHidden/>
              </w:rPr>
              <w:fldChar w:fldCharType="end"/>
            </w:r>
          </w:hyperlink>
        </w:p>
        <w:p w14:paraId="760D98C2" w14:textId="63BBDAD3" w:rsidR="00560D48" w:rsidRDefault="00560D48">
          <w:pPr>
            <w:pStyle w:val="TDC1"/>
            <w:tabs>
              <w:tab w:val="right" w:leader="dot" w:pos="9350"/>
            </w:tabs>
            <w:rPr>
              <w:rFonts w:asciiTheme="minorHAnsi" w:eastAsiaTheme="minorEastAsia" w:hAnsiTheme="minorHAnsi"/>
              <w:noProof/>
              <w:lang w:eastAsia="es-SV"/>
            </w:rPr>
          </w:pPr>
          <w:hyperlink w:anchor="_Toc212640226" w:history="1">
            <w:r w:rsidRPr="00E71016">
              <w:rPr>
                <w:rStyle w:val="Hipervnculo"/>
                <w:noProof/>
              </w:rPr>
              <w:t>Gastos de Capital (CAPEX) - Inversión Inicial</w:t>
            </w:r>
            <w:r>
              <w:rPr>
                <w:noProof/>
                <w:webHidden/>
              </w:rPr>
              <w:tab/>
            </w:r>
            <w:r>
              <w:rPr>
                <w:noProof/>
                <w:webHidden/>
              </w:rPr>
              <w:fldChar w:fldCharType="begin"/>
            </w:r>
            <w:r>
              <w:rPr>
                <w:noProof/>
                <w:webHidden/>
              </w:rPr>
              <w:instrText xml:space="preserve"> PAGEREF _Toc212640226 \h </w:instrText>
            </w:r>
            <w:r>
              <w:rPr>
                <w:noProof/>
                <w:webHidden/>
              </w:rPr>
            </w:r>
            <w:r>
              <w:rPr>
                <w:noProof/>
                <w:webHidden/>
              </w:rPr>
              <w:fldChar w:fldCharType="separate"/>
            </w:r>
            <w:r>
              <w:rPr>
                <w:noProof/>
                <w:webHidden/>
              </w:rPr>
              <w:t>3</w:t>
            </w:r>
            <w:r>
              <w:rPr>
                <w:noProof/>
                <w:webHidden/>
              </w:rPr>
              <w:fldChar w:fldCharType="end"/>
            </w:r>
          </w:hyperlink>
        </w:p>
        <w:p w14:paraId="02AA339B" w14:textId="3AD1DB10" w:rsidR="00560D48" w:rsidRDefault="00560D48">
          <w:pPr>
            <w:pStyle w:val="TDC1"/>
            <w:tabs>
              <w:tab w:val="right" w:leader="dot" w:pos="9350"/>
            </w:tabs>
            <w:rPr>
              <w:rFonts w:asciiTheme="minorHAnsi" w:eastAsiaTheme="minorEastAsia" w:hAnsiTheme="minorHAnsi"/>
              <w:noProof/>
              <w:lang w:eastAsia="es-SV"/>
            </w:rPr>
          </w:pPr>
          <w:hyperlink w:anchor="_Toc212640227" w:history="1">
            <w:r w:rsidRPr="00E71016">
              <w:rPr>
                <w:rStyle w:val="Hipervnculo"/>
                <w:noProof/>
              </w:rPr>
              <w:t>Gastos Operativos (OPEX) - Costos Mensuales Recurrentes</w:t>
            </w:r>
            <w:r>
              <w:rPr>
                <w:noProof/>
                <w:webHidden/>
              </w:rPr>
              <w:tab/>
            </w:r>
            <w:r>
              <w:rPr>
                <w:noProof/>
                <w:webHidden/>
              </w:rPr>
              <w:fldChar w:fldCharType="begin"/>
            </w:r>
            <w:r>
              <w:rPr>
                <w:noProof/>
                <w:webHidden/>
              </w:rPr>
              <w:instrText xml:space="preserve"> PAGEREF _Toc212640227 \h </w:instrText>
            </w:r>
            <w:r>
              <w:rPr>
                <w:noProof/>
                <w:webHidden/>
              </w:rPr>
            </w:r>
            <w:r>
              <w:rPr>
                <w:noProof/>
                <w:webHidden/>
              </w:rPr>
              <w:fldChar w:fldCharType="separate"/>
            </w:r>
            <w:r>
              <w:rPr>
                <w:noProof/>
                <w:webHidden/>
              </w:rPr>
              <w:t>4</w:t>
            </w:r>
            <w:r>
              <w:rPr>
                <w:noProof/>
                <w:webHidden/>
              </w:rPr>
              <w:fldChar w:fldCharType="end"/>
            </w:r>
          </w:hyperlink>
        </w:p>
        <w:p w14:paraId="568A6ECA" w14:textId="35EAE96D" w:rsidR="00560D48" w:rsidRDefault="00560D48">
          <w:pPr>
            <w:pStyle w:val="TDC2"/>
            <w:tabs>
              <w:tab w:val="right" w:leader="dot" w:pos="9350"/>
            </w:tabs>
            <w:rPr>
              <w:rFonts w:asciiTheme="minorHAnsi" w:eastAsiaTheme="minorEastAsia" w:hAnsiTheme="minorHAnsi"/>
              <w:noProof/>
              <w:lang w:eastAsia="es-SV"/>
            </w:rPr>
          </w:pPr>
          <w:hyperlink w:anchor="_Toc212640228" w:history="1">
            <w:r w:rsidRPr="00E71016">
              <w:rPr>
                <w:rStyle w:val="Hipervnculo"/>
                <w:bCs/>
                <w:noProof/>
              </w:rPr>
              <w:t>Punto de Equilibrio Estimado</w:t>
            </w:r>
            <w:r>
              <w:rPr>
                <w:noProof/>
                <w:webHidden/>
              </w:rPr>
              <w:tab/>
            </w:r>
            <w:r>
              <w:rPr>
                <w:noProof/>
                <w:webHidden/>
              </w:rPr>
              <w:fldChar w:fldCharType="begin"/>
            </w:r>
            <w:r>
              <w:rPr>
                <w:noProof/>
                <w:webHidden/>
              </w:rPr>
              <w:instrText xml:space="preserve"> PAGEREF _Toc212640228 \h </w:instrText>
            </w:r>
            <w:r>
              <w:rPr>
                <w:noProof/>
                <w:webHidden/>
              </w:rPr>
            </w:r>
            <w:r>
              <w:rPr>
                <w:noProof/>
                <w:webHidden/>
              </w:rPr>
              <w:fldChar w:fldCharType="separate"/>
            </w:r>
            <w:r>
              <w:rPr>
                <w:noProof/>
                <w:webHidden/>
              </w:rPr>
              <w:t>6</w:t>
            </w:r>
            <w:r>
              <w:rPr>
                <w:noProof/>
                <w:webHidden/>
              </w:rPr>
              <w:fldChar w:fldCharType="end"/>
            </w:r>
          </w:hyperlink>
        </w:p>
        <w:p w14:paraId="17C91F0B" w14:textId="639DA491" w:rsidR="00560D48" w:rsidRDefault="00560D48">
          <w:pPr>
            <w:pStyle w:val="TDC2"/>
            <w:tabs>
              <w:tab w:val="right" w:leader="dot" w:pos="9350"/>
            </w:tabs>
            <w:rPr>
              <w:rFonts w:asciiTheme="minorHAnsi" w:eastAsiaTheme="minorEastAsia" w:hAnsiTheme="minorHAnsi"/>
              <w:noProof/>
              <w:lang w:eastAsia="es-SV"/>
            </w:rPr>
          </w:pPr>
          <w:hyperlink w:anchor="_Toc212640229" w:history="1">
            <w:r w:rsidRPr="00E71016">
              <w:rPr>
                <w:rStyle w:val="Hipervnculo"/>
                <w:bCs/>
                <w:noProof/>
              </w:rPr>
              <w:t>Escenario de Rentabilidad Simple</w:t>
            </w:r>
            <w:r>
              <w:rPr>
                <w:noProof/>
                <w:webHidden/>
              </w:rPr>
              <w:tab/>
            </w:r>
            <w:r>
              <w:rPr>
                <w:noProof/>
                <w:webHidden/>
              </w:rPr>
              <w:fldChar w:fldCharType="begin"/>
            </w:r>
            <w:r>
              <w:rPr>
                <w:noProof/>
                <w:webHidden/>
              </w:rPr>
              <w:instrText xml:space="preserve"> PAGEREF _Toc212640229 \h </w:instrText>
            </w:r>
            <w:r>
              <w:rPr>
                <w:noProof/>
                <w:webHidden/>
              </w:rPr>
            </w:r>
            <w:r>
              <w:rPr>
                <w:noProof/>
                <w:webHidden/>
              </w:rPr>
              <w:fldChar w:fldCharType="separate"/>
            </w:r>
            <w:r>
              <w:rPr>
                <w:noProof/>
                <w:webHidden/>
              </w:rPr>
              <w:t>7</w:t>
            </w:r>
            <w:r>
              <w:rPr>
                <w:noProof/>
                <w:webHidden/>
              </w:rPr>
              <w:fldChar w:fldCharType="end"/>
            </w:r>
          </w:hyperlink>
        </w:p>
        <w:p w14:paraId="19B8A371" w14:textId="0E56D80F" w:rsidR="00560D48" w:rsidRDefault="00560D48">
          <w:pPr>
            <w:pStyle w:val="TDC1"/>
            <w:tabs>
              <w:tab w:val="right" w:leader="dot" w:pos="9350"/>
            </w:tabs>
            <w:rPr>
              <w:rFonts w:asciiTheme="minorHAnsi" w:eastAsiaTheme="minorEastAsia" w:hAnsiTheme="minorHAnsi"/>
              <w:noProof/>
              <w:lang w:eastAsia="es-SV"/>
            </w:rPr>
          </w:pPr>
          <w:hyperlink w:anchor="_Toc212640230" w:history="1">
            <w:r w:rsidRPr="00E71016">
              <w:rPr>
                <w:rStyle w:val="Hipervnculo"/>
                <w:noProof/>
              </w:rPr>
              <w:t>Diagrama de infraestructura</w:t>
            </w:r>
            <w:r>
              <w:rPr>
                <w:noProof/>
                <w:webHidden/>
              </w:rPr>
              <w:tab/>
            </w:r>
            <w:r>
              <w:rPr>
                <w:noProof/>
                <w:webHidden/>
              </w:rPr>
              <w:fldChar w:fldCharType="begin"/>
            </w:r>
            <w:r>
              <w:rPr>
                <w:noProof/>
                <w:webHidden/>
              </w:rPr>
              <w:instrText xml:space="preserve"> PAGEREF _Toc212640230 \h </w:instrText>
            </w:r>
            <w:r>
              <w:rPr>
                <w:noProof/>
                <w:webHidden/>
              </w:rPr>
            </w:r>
            <w:r>
              <w:rPr>
                <w:noProof/>
                <w:webHidden/>
              </w:rPr>
              <w:fldChar w:fldCharType="separate"/>
            </w:r>
            <w:r>
              <w:rPr>
                <w:noProof/>
                <w:webHidden/>
              </w:rPr>
              <w:t>8</w:t>
            </w:r>
            <w:r>
              <w:rPr>
                <w:noProof/>
                <w:webHidden/>
              </w:rPr>
              <w:fldChar w:fldCharType="end"/>
            </w:r>
          </w:hyperlink>
        </w:p>
        <w:p w14:paraId="572D0687" w14:textId="5B62F39A" w:rsidR="000C4E2D" w:rsidRDefault="000C4E2D" w:rsidP="00E35A84">
          <w:pPr>
            <w:sectPr w:rsidR="000C4E2D">
              <w:pgSz w:w="12240" w:h="15840"/>
              <w:pgMar w:top="1440" w:right="1440" w:bottom="1440" w:left="1440" w:header="708" w:footer="708" w:gutter="0"/>
              <w:cols w:space="708"/>
              <w:docGrid w:linePitch="360"/>
            </w:sectPr>
          </w:pPr>
          <w:r>
            <w:rPr>
              <w:b/>
              <w:bCs/>
              <w:lang w:val="es-ES"/>
            </w:rPr>
            <w:fldChar w:fldCharType="end"/>
          </w:r>
        </w:p>
      </w:sdtContent>
    </w:sdt>
    <w:p w14:paraId="23093EEC" w14:textId="46B2DF4A" w:rsidR="00E35A84" w:rsidRDefault="00E35A84" w:rsidP="00E35A84"/>
    <w:p w14:paraId="11EA6BF0" w14:textId="79DBC06E" w:rsidR="006320D9" w:rsidRDefault="006320D9" w:rsidP="006320D9">
      <w:pPr>
        <w:pStyle w:val="Ttulo1"/>
      </w:pPr>
      <w:bookmarkStart w:id="0" w:name="_Toc212640221"/>
      <w:r w:rsidRPr="006320D9">
        <w:t>Nombre del proyecto y descripción breve</w:t>
      </w:r>
      <w:bookmarkEnd w:id="0"/>
    </w:p>
    <w:p w14:paraId="6D5CBD47" w14:textId="0F678873" w:rsidR="006320D9" w:rsidRDefault="006320D9" w:rsidP="00E35A84">
      <w:pPr>
        <w:spacing w:line="276" w:lineRule="auto"/>
        <w:jc w:val="both"/>
        <w:rPr>
          <w:rFonts w:cs="Arial"/>
        </w:rPr>
      </w:pPr>
      <w:r w:rsidRPr="006320D9">
        <w:br/>
      </w:r>
      <w:r w:rsidRPr="006320D9">
        <w:rPr>
          <w:rFonts w:cs="Arial"/>
        </w:rPr>
        <w:t>El proyecto lleva por nombre </w:t>
      </w:r>
      <w:r>
        <w:rPr>
          <w:rFonts w:cs="Arial"/>
        </w:rPr>
        <w:t>“</w:t>
      </w:r>
      <w:r w:rsidRPr="006320D9">
        <w:rPr>
          <w:rFonts w:cs="Arial"/>
        </w:rPr>
        <w:t>LogisticsRoute</w:t>
      </w:r>
      <w:r>
        <w:rPr>
          <w:rFonts w:cs="Arial"/>
        </w:rPr>
        <w:t>”</w:t>
      </w:r>
      <w:r w:rsidRPr="006320D9">
        <w:rPr>
          <w:rFonts w:cs="Arial"/>
        </w:rPr>
        <w:t>, y se define como un Sistema de Optimización de Rutas de Entrega. Se trata de una aplicación móvil desarrollada para conductores y empresas del sector logístico, con el objetivo de optimizar las rutas de entrega, realizar un seguimiento en tiempo real de los envíos y promover el ahorro de combustible. Esta herramienta integra algoritmos avanzados de optimización basados en Google Maps API, autenticación segura con verificación en dos pasos, gestión completa de entregas y un asistente de inteligencia artificial impulsado por Google Gemini, ofreciendo una solución integral para modernizar y hacer más eficiente la logística de última milla.</w:t>
      </w:r>
    </w:p>
    <w:p w14:paraId="6AFDFAE3" w14:textId="77777777" w:rsidR="006320D9" w:rsidRPr="006320D9" w:rsidRDefault="006320D9" w:rsidP="00E35A84">
      <w:pPr>
        <w:spacing w:line="276" w:lineRule="auto"/>
        <w:jc w:val="both"/>
        <w:rPr>
          <w:rFonts w:cs="Arial"/>
        </w:rPr>
      </w:pPr>
    </w:p>
    <w:p w14:paraId="011C3B97" w14:textId="77777777" w:rsidR="006320D9" w:rsidRDefault="006320D9" w:rsidP="00E35A84">
      <w:pPr>
        <w:spacing w:line="276" w:lineRule="auto"/>
        <w:rPr>
          <w:rStyle w:val="Ttulo1Car"/>
        </w:rPr>
      </w:pPr>
      <w:bookmarkStart w:id="1" w:name="_Toc212640222"/>
      <w:r w:rsidRPr="006320D9">
        <w:rPr>
          <w:rStyle w:val="Ttulo1Car"/>
        </w:rPr>
        <w:t>Plataforma No-Code/Low-Code elegida</w:t>
      </w:r>
      <w:bookmarkEnd w:id="1"/>
    </w:p>
    <w:p w14:paraId="19D62F8D" w14:textId="09CF82E5" w:rsidR="006320D9" w:rsidRDefault="006320D9" w:rsidP="00E35A84">
      <w:pPr>
        <w:spacing w:line="276" w:lineRule="auto"/>
        <w:jc w:val="both"/>
        <w:rPr>
          <w:rFonts w:cs="Arial"/>
        </w:rPr>
      </w:pPr>
      <w:r w:rsidRPr="006320D9">
        <w:rPr>
          <w:rFonts w:cs="Arial"/>
        </w:rPr>
        <w:br/>
        <w:t xml:space="preserve">Para el desarrollo del proyecto se seleccionó una arquitectura basada en Expo y Supabase, representando un enfoque low-code que agiliza significativamente el proceso de creación. Expo, como framework de React Native, permitió el desarrollo rápido de la aplicación móvil sin la necesidad de configurar entornos nativos complejos. Por su parte, Supabase funcionó como un Backend-as-a-Service (BaaS) completo, proporcionando una base de datos PostgreSQL, un sistema de autenticación con OTP, una API REST automática y políticas de seguridad como Row Level Security, lo que eliminó la necesidad de desarrollar el </w:t>
      </w:r>
      <w:r w:rsidR="000C4E2D" w:rsidRPr="006320D9">
        <w:rPr>
          <w:rFonts w:cs="Arial"/>
        </w:rPr>
        <w:t>Backend</w:t>
      </w:r>
      <w:r w:rsidRPr="006320D9">
        <w:rPr>
          <w:rFonts w:cs="Arial"/>
        </w:rPr>
        <w:t xml:space="preserve"> desde cero. Para los componentes de interfaz de usuario, se utilizó la librería React Native Paper, la cual ofrece componentes preconstruidos bajo el diseño Material Design, facilitando la creación de una interfaz coherente y profesional sin requerir un diseño visual desde cero.</w:t>
      </w:r>
    </w:p>
    <w:p w14:paraId="6ED5FFEF" w14:textId="77777777" w:rsidR="006320D9" w:rsidRPr="006320D9" w:rsidRDefault="006320D9" w:rsidP="00E35A84">
      <w:pPr>
        <w:spacing w:line="276" w:lineRule="auto"/>
        <w:jc w:val="both"/>
        <w:rPr>
          <w:rFonts w:cs="Arial"/>
        </w:rPr>
      </w:pPr>
    </w:p>
    <w:p w14:paraId="7A81C727" w14:textId="77777777" w:rsidR="006320D9" w:rsidRDefault="006320D9" w:rsidP="00E35A84">
      <w:pPr>
        <w:spacing w:line="276" w:lineRule="auto"/>
        <w:rPr>
          <w:rStyle w:val="Ttulo1Car"/>
        </w:rPr>
      </w:pPr>
      <w:bookmarkStart w:id="2" w:name="_Toc212640223"/>
      <w:r w:rsidRPr="006320D9">
        <w:rPr>
          <w:rStyle w:val="Ttulo1Car"/>
        </w:rPr>
        <w:t>Descripción de la funcionalidad implementada</w:t>
      </w:r>
      <w:bookmarkEnd w:id="2"/>
    </w:p>
    <w:p w14:paraId="48EAF749" w14:textId="22C8556C" w:rsidR="006320D9" w:rsidRPr="006320D9" w:rsidRDefault="006320D9" w:rsidP="00E35A84">
      <w:pPr>
        <w:spacing w:line="276" w:lineRule="auto"/>
        <w:jc w:val="both"/>
        <w:rPr>
          <w:rFonts w:cs="Arial"/>
        </w:rPr>
      </w:pPr>
      <w:r w:rsidRPr="006320D9">
        <w:rPr>
          <w:rFonts w:cs="Arial"/>
        </w:rPr>
        <w:br/>
        <w:t>La aplicación LogisticsRoute incorpora un conjunto robusto de funcionalidades diseñadas para cubrir el ciclo completo de una entrega. Comienza con un sistema de Autenticación</w:t>
      </w:r>
      <w:r w:rsidRPr="006320D9">
        <w:rPr>
          <w:rFonts w:cs="Arial"/>
          <w:b/>
          <w:bCs/>
        </w:rPr>
        <w:t xml:space="preserve"> y </w:t>
      </w:r>
      <w:r w:rsidRPr="006320D9">
        <w:rPr>
          <w:rFonts w:cs="Arial"/>
        </w:rPr>
        <w:t xml:space="preserve">Seguridad que incluye registro de usuarios y un inicio de sesión seguro en dos fases, combinando contraseñas cifradas con bcrypt y un código de un solo uso (OTP) enviado por correo electrónico. Una vez dentro, los usuarios acceden a un Dashboard Principal que muestra estadísticas en tiempo real, como el número de </w:t>
      </w:r>
      <w:r w:rsidRPr="006320D9">
        <w:rPr>
          <w:rFonts w:cs="Arial"/>
        </w:rPr>
        <w:lastRenderedPageBreak/>
        <w:t>entregas del día, pendientes y completadas, junto con una métrica del combustible ahorrado.</w:t>
      </w:r>
    </w:p>
    <w:p w14:paraId="791D74CC" w14:textId="77777777" w:rsidR="006320D9" w:rsidRPr="006320D9" w:rsidRDefault="006320D9" w:rsidP="00E35A84">
      <w:pPr>
        <w:spacing w:line="276" w:lineRule="auto"/>
        <w:jc w:val="both"/>
        <w:rPr>
          <w:rFonts w:cs="Arial"/>
        </w:rPr>
      </w:pPr>
      <w:r w:rsidRPr="006320D9">
        <w:rPr>
          <w:rFonts w:cs="Arial"/>
        </w:rPr>
        <w:t>El núcleo de la aplicación reside en el módulo de Optimización de Rutas, donde los conductores pueden buscar destinos utilizando Google Places Autocomplete. Un algoritmo de optimización, que emplea el "Nearest Neighbor Algorithm" y la Google Distance Matrix API, calcula las distancias reales por carretera y ordena los destinos para minimizar la distancia total del trayecto. Esta ruta optimizada se visualiza en un mapa interactivo de Google Maps con polilíneas y marcadores numerados. Complementando esto, el módulo de Gestión de Entregas permite a los usuarios visualizar los detalles de la ruta, actualizar el estado de cada parada y consultar un historial completo de entregas.</w:t>
      </w:r>
    </w:p>
    <w:p w14:paraId="7A16A8AC" w14:textId="77777777" w:rsidR="006320D9" w:rsidRDefault="006320D9" w:rsidP="00E35A84">
      <w:pPr>
        <w:spacing w:line="276" w:lineRule="auto"/>
        <w:jc w:val="both"/>
        <w:rPr>
          <w:rFonts w:cs="Arial"/>
        </w:rPr>
      </w:pPr>
      <w:r w:rsidRPr="006320D9">
        <w:rPr>
          <w:rFonts w:cs="Arial"/>
        </w:rPr>
        <w:t>Para añadir una capa de inteligencia y soporte, se integró un Asistente de IA con Google Gemini. Este chatbot contextual conoce las estadísticas del usuario y puede ofrecer consejos personalizados para optimizar rutas, analizar datos de eficiencia o simplemente ayudar a navegar por la aplicación. Finalmente, un módulo de </w:t>
      </w:r>
      <w:r w:rsidRPr="006320D9">
        <w:rPr>
          <w:rFonts w:cs="Arial"/>
          <w:b/>
          <w:bCs/>
        </w:rPr>
        <w:t>Perfil de Usuario</w:t>
      </w:r>
      <w:r w:rsidRPr="006320D9">
        <w:rPr>
          <w:rFonts w:cs="Arial"/>
        </w:rPr>
        <w:t> permite gestionar la información personal y revisar las estadísticas acumuladas y el historial de actividad.</w:t>
      </w:r>
    </w:p>
    <w:p w14:paraId="21EF30B7" w14:textId="77777777" w:rsidR="00CA6BBE" w:rsidRPr="006320D9" w:rsidRDefault="00CA6BBE" w:rsidP="00E35A84">
      <w:pPr>
        <w:spacing w:line="276" w:lineRule="auto"/>
        <w:rPr>
          <w:rFonts w:cs="Arial"/>
        </w:rPr>
      </w:pPr>
    </w:p>
    <w:p w14:paraId="7BC33755" w14:textId="58A90F96" w:rsidR="00CA6BBE" w:rsidRDefault="006320D9" w:rsidP="00E35A84">
      <w:pPr>
        <w:spacing w:line="276" w:lineRule="auto"/>
        <w:rPr>
          <w:rStyle w:val="Ttulo1Car"/>
        </w:rPr>
      </w:pPr>
      <w:bookmarkStart w:id="3" w:name="_Toc212640224"/>
      <w:r w:rsidRPr="006320D9">
        <w:rPr>
          <w:rStyle w:val="Ttulo1Car"/>
        </w:rPr>
        <w:t xml:space="preserve">Explicación de cómo </w:t>
      </w:r>
      <w:r w:rsidR="000C4E2D">
        <w:rPr>
          <w:rStyle w:val="Ttulo1Car"/>
        </w:rPr>
        <w:t>se usó la</w:t>
      </w:r>
      <w:r w:rsidRPr="006320D9">
        <w:rPr>
          <w:rStyle w:val="Ttulo1Car"/>
        </w:rPr>
        <w:t xml:space="preserve"> IA</w:t>
      </w:r>
      <w:bookmarkEnd w:id="3"/>
    </w:p>
    <w:p w14:paraId="5251C459" w14:textId="2453A973" w:rsidR="00CA6BBE" w:rsidRDefault="006320D9" w:rsidP="00E35A84">
      <w:pPr>
        <w:spacing w:line="276" w:lineRule="auto"/>
        <w:jc w:val="both"/>
        <w:rPr>
          <w:rFonts w:cs="Arial"/>
        </w:rPr>
      </w:pPr>
      <w:r w:rsidRPr="006320D9">
        <w:rPr>
          <w:rFonts w:cs="Arial"/>
        </w:rPr>
        <w:br/>
        <w:t>La inteligencia artificial se implementó de forma real y operativa, no simulada, mediante la integración de la API de Google Gemini, específicamente el modelo gemini-</w:t>
      </w:r>
      <w:r w:rsidR="000C4E2D">
        <w:rPr>
          <w:rFonts w:cs="Arial"/>
        </w:rPr>
        <w:t>2.0</w:t>
      </w:r>
      <w:r w:rsidRPr="006320D9">
        <w:rPr>
          <w:rFonts w:cs="Arial"/>
        </w:rPr>
        <w:t>-pro. Esta IA se despliega en dos funciones principales dentro de la aplicación. La primera es un Chatbot Asistente que permite a los usuarios realizar preguntas en lenguaje natural. Este asistente no es genérico, sino que tiene contexto sobre la aplicación y los datos específicos del usuario, como sus estadísticas de entregas y combustible ahorrado. Gracias a un prompt de ingeniería cuidadosamente diseñado, la IA puede generar respuestas contextuales y personalizadas en español. La segunda función son las Sugerencias Inteligentes, donde la IA analiza los datos históricos del usuario para generar automáticamente tres consejos personalizados basados en sus patrones de entrega y eficiencia. Casos de uso concretos incluyen preguntas como "¿Cómo ahorrar combustible?", donde la IA no solo da consejos generales, sino que los adapta al historial y comportamiento específico del conductor.</w:t>
      </w:r>
    </w:p>
    <w:p w14:paraId="19395C50" w14:textId="7F213A24" w:rsidR="006320D9" w:rsidRPr="006320D9" w:rsidRDefault="00CA6BBE" w:rsidP="006320D9">
      <w:pPr>
        <w:rPr>
          <w:rFonts w:cs="Arial"/>
        </w:rPr>
      </w:pPr>
      <w:r>
        <w:rPr>
          <w:rFonts w:cs="Arial"/>
        </w:rPr>
        <w:br w:type="page"/>
      </w:r>
    </w:p>
    <w:p w14:paraId="1919EE52" w14:textId="332F0DB7" w:rsidR="00CA6BBE" w:rsidRDefault="00CA6BBE" w:rsidP="00CA6BBE">
      <w:pPr>
        <w:pStyle w:val="Ttulo1"/>
      </w:pPr>
      <w:bookmarkStart w:id="4" w:name="_Toc212640225"/>
      <w:r>
        <w:lastRenderedPageBreak/>
        <w:t>Cálculo de costos</w:t>
      </w:r>
      <w:bookmarkEnd w:id="4"/>
    </w:p>
    <w:p w14:paraId="0EFFF241" w14:textId="77777777" w:rsidR="00CA6BBE" w:rsidRPr="00CA6BBE" w:rsidRDefault="00CA6BBE" w:rsidP="00CA6BBE"/>
    <w:p w14:paraId="1FE1304B" w14:textId="77777777" w:rsidR="000C4E2D" w:rsidRDefault="000C4E2D" w:rsidP="000C4E2D">
      <w:pPr>
        <w:pStyle w:val="Ttulo1"/>
      </w:pPr>
      <w:bookmarkStart w:id="5" w:name="_Toc212640226"/>
      <w:r w:rsidRPr="000C4E2D">
        <w:t>Gastos de Capital (CAPEX) - Inversión Inicial</w:t>
      </w:r>
      <w:bookmarkEnd w:id="5"/>
    </w:p>
    <w:p w14:paraId="612E504C" w14:textId="77777777" w:rsidR="000C4E2D" w:rsidRPr="000C4E2D" w:rsidRDefault="000C4E2D" w:rsidP="000C4E2D"/>
    <w:p w14:paraId="1D067A33" w14:textId="5792275F" w:rsidR="000C4E2D" w:rsidRPr="000C4E2D" w:rsidRDefault="000C4E2D" w:rsidP="000C4E2D">
      <w:pPr>
        <w:jc w:val="both"/>
      </w:pPr>
      <w:r w:rsidRPr="000C4E2D">
        <w:t>El CAPEX principal para este proyecto corresponde al desarrollo inicial de la aplicación móvil y la configuración de los servicios de Backend. No se prevén gastos significativos en hardware físico debido al uso de plataformas BaaS y PaaS.</w:t>
      </w:r>
    </w:p>
    <w:p w14:paraId="1C8ABEE9" w14:textId="77777777" w:rsidR="000C4E2D" w:rsidRPr="000C4E2D" w:rsidRDefault="000C4E2D" w:rsidP="000C4E2D">
      <w:pPr>
        <w:jc w:val="both"/>
      </w:pPr>
      <w:r w:rsidRPr="000C4E2D">
        <w:t>Desarrollo de Software (Estimado):</w:t>
      </w:r>
    </w:p>
    <w:p w14:paraId="11CAB5F5" w14:textId="452D1120" w:rsidR="000C4E2D" w:rsidRPr="000C4E2D" w:rsidRDefault="000C4E2D" w:rsidP="000C4E2D">
      <w:pPr>
        <w:jc w:val="both"/>
      </w:pPr>
      <w:r w:rsidRPr="000C4E2D">
        <w:t>Alcance: Creación de la aplicación móvil (React Native/Expo), configuración de Supabase (Base de Datos PostgreSQL, Autenticación), integración con Apis de Google (Maps y Gemini). Incluye diseño UI/UX, desarrollo frontend y Backend (configuración/scripts), pruebas y despliegue inicial.</w:t>
      </w:r>
    </w:p>
    <w:p w14:paraId="28B32C28" w14:textId="77777777" w:rsidR="000C4E2D" w:rsidRPr="000C4E2D" w:rsidRDefault="000C4E2D" w:rsidP="000C4E2D">
      <w:pPr>
        <w:jc w:val="both"/>
      </w:pPr>
      <w:r w:rsidRPr="000C4E2D">
        <w:t>Esfuerzo Estimado: 1200 - 1800 horas (considerando un equipo de 2-3 desarrolladores durante 4-6 meses para una versión 1.0 robusta).</w:t>
      </w:r>
    </w:p>
    <w:p w14:paraId="7CB1BE30" w14:textId="77777777" w:rsidR="000C4E2D" w:rsidRPr="000C4E2D" w:rsidRDefault="000C4E2D" w:rsidP="000C4E2D">
      <w:pPr>
        <w:jc w:val="both"/>
      </w:pPr>
      <w:r w:rsidRPr="000C4E2D">
        <w:t>Costo Horario Promedio (Mercado): $50 - $80 USD/hora (variable según ubicación y experiencia del equipo).</w:t>
      </w:r>
    </w:p>
    <w:p w14:paraId="49DA3877" w14:textId="77777777" w:rsidR="000C4E2D" w:rsidRPr="000C4E2D" w:rsidRDefault="000C4E2D" w:rsidP="000C4E2D">
      <w:pPr>
        <w:jc w:val="both"/>
      </w:pPr>
      <w:r w:rsidRPr="000C4E2D">
        <w:t>CAPEX Estimado (Desarrollo): $60,000 - $144,000 USD (Pago único por la creación del activo de software).</w:t>
      </w:r>
    </w:p>
    <w:p w14:paraId="53B4FEFA" w14:textId="77777777" w:rsidR="000C4E2D" w:rsidRPr="000C4E2D" w:rsidRDefault="000C4E2D" w:rsidP="000C4E2D">
      <w:pPr>
        <w:jc w:val="both"/>
      </w:pPr>
      <w:r w:rsidRPr="000C4E2D">
        <w:t>Otros Costos Iniciales:</w:t>
      </w:r>
    </w:p>
    <w:p w14:paraId="61A69D2D" w14:textId="77777777" w:rsidR="000C4E2D" w:rsidRPr="000C4E2D" w:rsidRDefault="000C4E2D" w:rsidP="000C4E2D">
      <w:pPr>
        <w:jc w:val="both"/>
      </w:pPr>
      <w:r w:rsidRPr="000C4E2D">
        <w:t>Consultoría/Configuración Avanzada: Posibles costos para configuración de seguridad específica, optimización inicial de base de datos o arquitectura. Estimado: $2,000 - $10,000 USD.</w:t>
      </w:r>
    </w:p>
    <w:p w14:paraId="4FE8B7D0" w14:textId="77777777" w:rsidR="000C4E2D" w:rsidRPr="000C4E2D" w:rsidRDefault="000C4E2D" w:rsidP="000C4E2D">
      <w:pPr>
        <w:jc w:val="both"/>
      </w:pPr>
      <w:r w:rsidRPr="000C4E2D">
        <w:t>CAPEX Total Estimado: $62,000 - $154,000 USD</w:t>
      </w:r>
    </w:p>
    <w:p w14:paraId="11574557" w14:textId="21BD38CB" w:rsidR="000C4E2D" w:rsidRPr="000C4E2D" w:rsidRDefault="000C4E2D" w:rsidP="000C4E2D">
      <w:pPr>
        <w:jc w:val="both"/>
      </w:pPr>
      <w:r>
        <w:br w:type="page"/>
      </w:r>
    </w:p>
    <w:p w14:paraId="1C5C768B" w14:textId="5C0BE1B6" w:rsidR="000C4E2D" w:rsidRDefault="000C4E2D" w:rsidP="000C4E2D">
      <w:pPr>
        <w:pStyle w:val="Ttulo1"/>
        <w:jc w:val="both"/>
      </w:pPr>
      <w:bookmarkStart w:id="6" w:name="_Toc212640227"/>
      <w:r w:rsidRPr="000C4E2D">
        <w:lastRenderedPageBreak/>
        <w:t>Gastos Operativos (OPEX) - Costos Mensuales Recurrentes</w:t>
      </w:r>
      <w:bookmarkEnd w:id="6"/>
    </w:p>
    <w:p w14:paraId="501DD80F" w14:textId="77777777" w:rsidR="000C4E2D" w:rsidRPr="000C4E2D" w:rsidRDefault="000C4E2D" w:rsidP="000C4E2D">
      <w:pPr>
        <w:jc w:val="both"/>
      </w:pPr>
    </w:p>
    <w:p w14:paraId="223C7EC6" w14:textId="4C8E09A3" w:rsidR="000C4E2D" w:rsidRPr="000C4E2D" w:rsidRDefault="000C4E2D" w:rsidP="000C4E2D">
      <w:pPr>
        <w:jc w:val="both"/>
      </w:pPr>
      <w:r w:rsidRPr="000C4E2D">
        <w:t>El OPEX dependerá directamente del volumen de uso de la aplicación (número de conductores, rutas, llamadas a Apis). Las siguientes estimaciones se basan en un escenario de uso moderado para una flota de ~50 conductores activos.</w:t>
      </w:r>
    </w:p>
    <w:p w14:paraId="05D84853" w14:textId="77777777" w:rsidR="000C4E2D" w:rsidRPr="000C4E2D" w:rsidRDefault="000C4E2D" w:rsidP="000C4E2D">
      <w:pPr>
        <w:jc w:val="both"/>
      </w:pPr>
      <w:r w:rsidRPr="000C4E2D">
        <w:t>1. Plataforma Supabase (Backend y Base de Datos):</w:t>
      </w:r>
    </w:p>
    <w:p w14:paraId="555B5C30" w14:textId="77777777" w:rsidR="000C4E2D" w:rsidRPr="000C4E2D" w:rsidRDefault="000C4E2D" w:rsidP="000C4E2D">
      <w:pPr>
        <w:jc w:val="both"/>
      </w:pPr>
      <w:r w:rsidRPr="000C4E2D">
        <w:t>Se requiere un plan de pago (ej. "Pro" o superior) para producción.</w:t>
      </w:r>
    </w:p>
    <w:p w14:paraId="2CEC7495" w14:textId="77777777" w:rsidR="000C4E2D" w:rsidRPr="000C4E2D" w:rsidRDefault="000C4E2D" w:rsidP="000C4E2D">
      <w:pPr>
        <w:jc w:val="both"/>
      </w:pPr>
      <w:r w:rsidRPr="000C4E2D">
        <w:t>Cómputo y Base de Datos: Basado en uso. Estimado: $50 - $150 USD/mes.</w:t>
      </w:r>
    </w:p>
    <w:p w14:paraId="06413520" w14:textId="77777777" w:rsidR="000C4E2D" w:rsidRPr="000C4E2D" w:rsidRDefault="000C4E2D" w:rsidP="000C4E2D">
      <w:pPr>
        <w:jc w:val="both"/>
      </w:pPr>
      <w:r w:rsidRPr="000C4E2D">
        <w:t>Autenticación (MAU): Para 50 usuarios, probablemente bajo. Estimado: $10 - $25 USD/mes.</w:t>
      </w:r>
    </w:p>
    <w:p w14:paraId="0E9FBA8F" w14:textId="77777777" w:rsidR="000C4E2D" w:rsidRPr="000C4E2D" w:rsidRDefault="000C4E2D" w:rsidP="000C4E2D">
      <w:pPr>
        <w:jc w:val="both"/>
      </w:pPr>
      <w:r w:rsidRPr="000C4E2D">
        <w:t>Otros (Realtime, Storage si se usan): Estimado: $20 - $50 USD/mes.</w:t>
      </w:r>
    </w:p>
    <w:p w14:paraId="20C4C0B1" w14:textId="7CFBC813" w:rsidR="000C4E2D" w:rsidRPr="000C4E2D" w:rsidRDefault="000C4E2D" w:rsidP="000C4E2D">
      <w:pPr>
        <w:jc w:val="both"/>
      </w:pPr>
      <w:r w:rsidRPr="000C4E2D">
        <w:t>Total, Supabase: ~$80 - $225 USD/mes.</w:t>
      </w:r>
    </w:p>
    <w:p w14:paraId="3720F761" w14:textId="77777777" w:rsidR="000C4E2D" w:rsidRPr="000C4E2D" w:rsidRDefault="000C4E2D" w:rsidP="000C4E2D">
      <w:pPr>
        <w:jc w:val="both"/>
      </w:pPr>
      <w:r w:rsidRPr="000C4E2D">
        <w:t xml:space="preserve">2. Google Maps Platform (Rutas y Mapas): Potencialmente el costo más alto y variable. </w:t>
      </w:r>
    </w:p>
    <w:p w14:paraId="06BF1D1B" w14:textId="77777777" w:rsidR="000C4E2D" w:rsidRPr="000C4E2D" w:rsidRDefault="000C4E2D" w:rsidP="000C4E2D">
      <w:pPr>
        <w:jc w:val="both"/>
      </w:pPr>
      <w:r w:rsidRPr="000C4E2D">
        <w:t>Places API (Autocomplete): Uso moderado. Estimado: $10 - $30 USD/mes.</w:t>
      </w:r>
    </w:p>
    <w:p w14:paraId="6CCC589E" w14:textId="77777777" w:rsidR="000C4E2D" w:rsidRPr="000C4E2D" w:rsidRDefault="000C4E2D" w:rsidP="000C4E2D">
      <w:pPr>
        <w:jc w:val="both"/>
      </w:pPr>
      <w:r w:rsidRPr="000C4E2D">
        <w:t>Directions/Distance Matrix API (Optimización): Uso intensivo. Para 50 conductores, ~25,000-50,000+ llamadas/mes. Estimado: $150 - $400 USD/mes.</w:t>
      </w:r>
    </w:p>
    <w:p w14:paraId="76708DFF" w14:textId="77777777" w:rsidR="000C4E2D" w:rsidRPr="000C4E2D" w:rsidRDefault="000C4E2D" w:rsidP="000C4E2D">
      <w:pPr>
        <w:jc w:val="both"/>
      </w:pPr>
      <w:r w:rsidRPr="000C4E2D">
        <w:t>Maps SDK (Visualización): Uso moderado. Estimado: $5 - $15 USD/mes.</w:t>
      </w:r>
    </w:p>
    <w:p w14:paraId="57045F5B" w14:textId="4E34D78A" w:rsidR="000C4E2D" w:rsidRPr="000C4E2D" w:rsidRDefault="000C4E2D" w:rsidP="000C4E2D">
      <w:pPr>
        <w:jc w:val="both"/>
      </w:pPr>
      <w:r w:rsidRPr="000C4E2D">
        <w:t>Total, Google Maps: ~$165 - $445 USD/mes.</w:t>
      </w:r>
    </w:p>
    <w:p w14:paraId="5DCAF94D" w14:textId="45B8A413" w:rsidR="000C4E2D" w:rsidRPr="000C4E2D" w:rsidRDefault="000C4E2D" w:rsidP="000C4E2D">
      <w:pPr>
        <w:jc w:val="both"/>
      </w:pPr>
      <w:r w:rsidRPr="000C4E2D">
        <w:t>3. Google Gemini AI (Asistente IA): Costo basado en tokens.</w:t>
      </w:r>
    </w:p>
    <w:p w14:paraId="4ECAF79B" w14:textId="77777777" w:rsidR="000C4E2D" w:rsidRPr="000C4E2D" w:rsidRDefault="000C4E2D" w:rsidP="000C4E2D">
      <w:pPr>
        <w:jc w:val="both"/>
      </w:pPr>
      <w:r w:rsidRPr="000C4E2D">
        <w:t>Supuesto: Uso regular por los conductores para consultas y consejos.</w:t>
      </w:r>
    </w:p>
    <w:p w14:paraId="5B89E014" w14:textId="77777777" w:rsidR="000C4E2D" w:rsidRPr="000C4E2D" w:rsidRDefault="000C4E2D" w:rsidP="000C4E2D">
      <w:pPr>
        <w:jc w:val="both"/>
      </w:pPr>
      <w:r w:rsidRPr="000C4E2D">
        <w:t>Estimación: $75 - $200 USD/mes (muy dependiente de la frecuencia y complejidad de las interacciones).</w:t>
      </w:r>
    </w:p>
    <w:p w14:paraId="5366593F" w14:textId="77777777" w:rsidR="000C4E2D" w:rsidRPr="000C4E2D" w:rsidRDefault="000C4E2D" w:rsidP="000C4E2D">
      <w:pPr>
        <w:jc w:val="both"/>
      </w:pPr>
      <w:r w:rsidRPr="000C4E2D">
        <w:t>4. Servicios de Email (Transaccionales - OTP):</w:t>
      </w:r>
    </w:p>
    <w:p w14:paraId="187ABB01" w14:textId="77777777" w:rsidR="000C4E2D" w:rsidRPr="000C4E2D" w:rsidRDefault="000C4E2D" w:rsidP="000C4E2D">
      <w:pPr>
        <w:jc w:val="both"/>
      </w:pPr>
      <w:r w:rsidRPr="000C4E2D">
        <w:t>El volumen para 50 conductores debería ser bajo. Estimado: $5 - $15 USD/mes (puede incluirse en Supabase o requerir un servicio externo como SendGrid/Mailgun si el volumen crece).</w:t>
      </w:r>
    </w:p>
    <w:p w14:paraId="3764C52B" w14:textId="77777777" w:rsidR="000C4E2D" w:rsidRPr="000C4E2D" w:rsidRDefault="000C4E2D" w:rsidP="000C4E2D">
      <w:pPr>
        <w:jc w:val="both"/>
      </w:pPr>
      <w:r w:rsidRPr="000C4E2D">
        <w:t>5. Expo Application Services (EAS): Para builds y actualizaciones.</w:t>
      </w:r>
    </w:p>
    <w:p w14:paraId="2FECD81E" w14:textId="77777777" w:rsidR="000C4E2D" w:rsidRPr="000C4E2D" w:rsidRDefault="000C4E2D" w:rsidP="000C4E2D">
      <w:pPr>
        <w:jc w:val="both"/>
      </w:pPr>
      <w:r w:rsidRPr="000C4E2D">
        <w:t>Plan de pago requerido para producción. Estimado: $30 - $100 USD/mes.</w:t>
      </w:r>
    </w:p>
    <w:p w14:paraId="2C2BB40B" w14:textId="77777777" w:rsidR="000C4E2D" w:rsidRPr="000C4E2D" w:rsidRDefault="000C4E2D" w:rsidP="000C4E2D">
      <w:pPr>
        <w:jc w:val="both"/>
      </w:pPr>
      <w:r w:rsidRPr="000C4E2D">
        <w:t>6. Monitoreo, Logging y Alertas: (Ej. Sentry, Datadog, New Relic)</w:t>
      </w:r>
    </w:p>
    <w:p w14:paraId="23A6C5DE" w14:textId="77777777" w:rsidR="000C4E2D" w:rsidRPr="000C4E2D" w:rsidRDefault="000C4E2D" w:rsidP="000C4E2D">
      <w:pPr>
        <w:jc w:val="both"/>
      </w:pPr>
      <w:r w:rsidRPr="000C4E2D">
        <w:lastRenderedPageBreak/>
        <w:t>Esencial para producción. Estimado: $50 - $200 USD/mes (dependiendo del volumen de datos y retención).</w:t>
      </w:r>
    </w:p>
    <w:p w14:paraId="50018E25" w14:textId="77777777" w:rsidR="000C4E2D" w:rsidRPr="000C4E2D" w:rsidRDefault="000C4E2D" w:rsidP="000C4E2D">
      <w:pPr>
        <w:jc w:val="both"/>
      </w:pPr>
      <w:r w:rsidRPr="000C4E2D">
        <w:t>7. Mantenimiento de Software (Equipo Interno o Contrato Externo):</w:t>
      </w:r>
    </w:p>
    <w:p w14:paraId="66B6F9A1" w14:textId="77777777" w:rsidR="000C4E2D" w:rsidRPr="000C4E2D" w:rsidRDefault="000C4E2D" w:rsidP="000C4E2D">
      <w:pPr>
        <w:jc w:val="both"/>
      </w:pPr>
      <w:r w:rsidRPr="000C4E2D">
        <w:t>Actualizaciones de librerías, corrección de bugs, pequeñas mejoras.</w:t>
      </w:r>
    </w:p>
    <w:p w14:paraId="14938DAD" w14:textId="77777777" w:rsidR="000C4E2D" w:rsidRPr="000C4E2D" w:rsidRDefault="000C4E2D" w:rsidP="000C4E2D">
      <w:pPr>
        <w:jc w:val="both"/>
      </w:pPr>
      <w:r w:rsidRPr="000C4E2D">
        <w:t>Estimación Interna: Costo de horas/hombre del equipo de TI.</w:t>
      </w:r>
    </w:p>
    <w:p w14:paraId="7BAEE6CF" w14:textId="77777777" w:rsidR="000C4E2D" w:rsidRPr="000C4E2D" w:rsidRDefault="000C4E2D" w:rsidP="000C4E2D">
      <w:pPr>
        <w:jc w:val="both"/>
      </w:pPr>
      <w:r w:rsidRPr="000C4E2D">
        <w:t>Estimación Externa (Contrato): $500 - $2,000+ USD/mes.</w:t>
      </w:r>
    </w:p>
    <w:p w14:paraId="7FD97F8B" w14:textId="77777777" w:rsidR="000C4E2D" w:rsidRPr="000C4E2D" w:rsidRDefault="000C4E2D" w:rsidP="000C4E2D">
      <w:pPr>
        <w:jc w:val="both"/>
      </w:pPr>
      <w:r w:rsidRPr="000C4E2D">
        <w:t>OPEX Total Estimado (Sin Mantenimiento): Sumando rangos medios: ($150 + $305 + $140 + $10 + $65 + $125) = ~$795 USD/mes.</w:t>
      </w:r>
    </w:p>
    <w:p w14:paraId="55FEEA83" w14:textId="77777777" w:rsidR="000C4E2D" w:rsidRPr="000C4E2D" w:rsidRDefault="000C4E2D" w:rsidP="000C4E2D">
      <w:pPr>
        <w:jc w:val="both"/>
      </w:pPr>
      <w:r w:rsidRPr="000C4E2D">
        <w:t>Rango OPEX Total Estimado (Sin Mantenimiento): Entre $400 y $1,185+ USD/mes, escalando principalmente con el uso de Google Maps y Gemini.</w:t>
      </w:r>
    </w:p>
    <w:p w14:paraId="2F777689" w14:textId="3CB41A31" w:rsidR="000C4E2D" w:rsidRPr="000C4E2D" w:rsidRDefault="000C4E2D" w:rsidP="000C4E2D"/>
    <w:p w14:paraId="6C04304C" w14:textId="77777777" w:rsidR="000C4E2D" w:rsidRPr="000C4E2D" w:rsidRDefault="000C4E2D" w:rsidP="000C4E2D">
      <w:pPr>
        <w:jc w:val="both"/>
      </w:pPr>
      <w:r w:rsidRPr="000C4E2D">
        <w:t>La adopción de LogisticsRoute representa una inversión inicial significativa en desarrollo de software (CAPEX entre $62k - $154k), pero minimiza la necesidad de adquirir hardware costoso. Los gastos operativos mensuales (OPEX estimados entre $400 - $1,200 sin mantenimiento) son variables y directamente proporcionales al uso de la plataforma, destacando los costos asociados a las APIs de Google Maps y Gemini AI.</w:t>
      </w:r>
    </w:p>
    <w:p w14:paraId="77BDCC17" w14:textId="77777777" w:rsidR="000C4E2D" w:rsidRPr="000C4E2D" w:rsidRDefault="000C4E2D" w:rsidP="000C4E2D">
      <w:pPr>
        <w:jc w:val="both"/>
      </w:pPr>
      <w:r w:rsidRPr="000C4E2D">
        <w:t>Se recomienda una monitorización continua del consumo de APIs para optimizar su uso y controlar el OPEX. La arquitectura basada en la nube ofrece flexibilidad para escalar los recursos (y costos) conforme crezca la demanda operativa.</w:t>
      </w:r>
    </w:p>
    <w:p w14:paraId="4A5AB722" w14:textId="73387DBD" w:rsidR="00545171" w:rsidRDefault="00545171">
      <w:pPr>
        <w:rPr>
          <w:rFonts w:eastAsiaTheme="majorEastAsia" w:cstheme="majorBidi"/>
          <w:b/>
          <w:color w:val="000000" w:themeColor="text1"/>
          <w:szCs w:val="32"/>
        </w:rPr>
      </w:pPr>
      <w:r>
        <w:br w:type="page"/>
      </w:r>
    </w:p>
    <w:p w14:paraId="1366DBBB" w14:textId="77777777" w:rsidR="00545171" w:rsidRDefault="00545171" w:rsidP="00545171">
      <w:pPr>
        <w:pStyle w:val="Ttulo2"/>
        <w:rPr>
          <w:bCs/>
        </w:rPr>
      </w:pPr>
      <w:bookmarkStart w:id="7" w:name="_Toc212640228"/>
      <w:r w:rsidRPr="00545171">
        <w:rPr>
          <w:bCs/>
        </w:rPr>
        <w:lastRenderedPageBreak/>
        <w:t>Punto de Equilibrio Estimado</w:t>
      </w:r>
      <w:bookmarkEnd w:id="7"/>
    </w:p>
    <w:p w14:paraId="3D42F11D" w14:textId="77777777" w:rsidR="00545171" w:rsidRPr="00545171" w:rsidRDefault="00545171" w:rsidP="00545171"/>
    <w:p w14:paraId="6C0863AE" w14:textId="77777777" w:rsidR="00545171" w:rsidRPr="00545171" w:rsidRDefault="00545171" w:rsidP="00545171">
      <w:r w:rsidRPr="00545171">
        <w:t xml:space="preserve">El análisis del punto de equilibrio es fundamental para determinar la viabilidad operativa y la recuperación de la inversión inicial del proyecto LogisticsRoute. Estimamos dos hitos clave. Primero, el </w:t>
      </w:r>
      <w:r w:rsidRPr="00545171">
        <w:rPr>
          <w:bCs/>
        </w:rPr>
        <w:t>punto de equilibrio operativo mensual</w:t>
      </w:r>
      <w:r w:rsidRPr="00545171">
        <w:t xml:space="preserve">, que representa el número mínimo de suscripciones necesarias para cubrir los gastos recurrentes (OPEX). Basándonos en una tarifa de suscripción estimada de $30 USD por conductor y un costo variable aproximado de $11.60 USD, la contribución marginal es de $18.40 USD. Considerando costos fijos operativos base de $400 USD mensuales, se requerirían aproximadamente </w:t>
      </w:r>
      <w:r w:rsidRPr="00545171">
        <w:rPr>
          <w:bCs/>
        </w:rPr>
        <w:t>22 conductores suscritos</w:t>
      </w:r>
      <w:r w:rsidRPr="00545171">
        <w:t xml:space="preserve"> para alcanzar este equilibrio operativo inicial.</w:t>
      </w:r>
    </w:p>
    <w:p w14:paraId="18E506BF" w14:textId="77777777" w:rsidR="00545171" w:rsidRDefault="00545171" w:rsidP="00545171">
      <w:r w:rsidRPr="00545171">
        <w:t xml:space="preserve">Segundo, el </w:t>
      </w:r>
      <w:r w:rsidRPr="00545171">
        <w:rPr>
          <w:bCs/>
        </w:rPr>
        <w:t>punto de equilibrio para recuperar la inversión (CAPEX)</w:t>
      </w:r>
      <w:r w:rsidRPr="00545171">
        <w:t xml:space="preserve"> evalúa la sostenibilidad a largo plazo. Asumiendo un CAPEX promedio de $108,000 USD y un objetivo de recuperación de 36 meses, se necesita generar un beneficio operativo adicional de $3,000 USD mensuales sobre los costos fijos. Para lograr esto, manteniendo la misma contribución marginal, sería necesario alcanzar y sostener una base de aproximadamente </w:t>
      </w:r>
      <w:r w:rsidRPr="00545171">
        <w:rPr>
          <w:bCs/>
        </w:rPr>
        <w:t>185 conductores suscritos</w:t>
      </w:r>
      <w:r w:rsidRPr="00545171">
        <w:t>. Este análisis subraya la importancia de una estrategia de adquisición y retención de clientes efectiva para asegurar no solo la operatividad diaria sino también el retorno de la inversión inicial en el plazo proyectado.</w:t>
      </w:r>
    </w:p>
    <w:p w14:paraId="08DFB714" w14:textId="097F22E1" w:rsidR="00545171" w:rsidRPr="00545171" w:rsidRDefault="00545171" w:rsidP="00545171">
      <w:r>
        <w:br w:type="page"/>
      </w:r>
    </w:p>
    <w:p w14:paraId="40E8CCE8" w14:textId="77777777" w:rsidR="00545171" w:rsidRDefault="00545171" w:rsidP="00545171">
      <w:pPr>
        <w:pStyle w:val="Ttulo2"/>
        <w:rPr>
          <w:bCs/>
        </w:rPr>
      </w:pPr>
      <w:bookmarkStart w:id="8" w:name="_Toc212640229"/>
      <w:r w:rsidRPr="00545171">
        <w:rPr>
          <w:bCs/>
        </w:rPr>
        <w:lastRenderedPageBreak/>
        <w:t>Escenario de Rentabilidad Simple</w:t>
      </w:r>
      <w:bookmarkEnd w:id="8"/>
    </w:p>
    <w:p w14:paraId="2BE99CB8" w14:textId="77777777" w:rsidR="00545171" w:rsidRPr="00545171" w:rsidRDefault="00545171" w:rsidP="00545171"/>
    <w:p w14:paraId="3E09BF97" w14:textId="77777777" w:rsidR="00545171" w:rsidRPr="00545171" w:rsidRDefault="00545171" w:rsidP="00545171">
      <w:r w:rsidRPr="00545171">
        <w:t xml:space="preserve">Para ilustrar el potencial de rentabilidad de LogisticsRoute una vez superado el umbral operativo, se proyecta un escenario con </w:t>
      </w:r>
      <w:r w:rsidRPr="00545171">
        <w:rPr>
          <w:bCs/>
        </w:rPr>
        <w:t>250 conductores suscritos</w:t>
      </w:r>
      <w:r w:rsidRPr="00545171">
        <w:t xml:space="preserve"> activos. Bajo los supuestos de una tarifa mensual de $30 USD por conductor, un costo variable de $11.60 USD y costos fijos de $400 USD, los ingresos totales mensuales ascenderían a $7,500 USD. Descontando los costos variables totales ($2,900 USD) y los costos fijos ($400 USD), se estima un </w:t>
      </w:r>
      <w:r w:rsidRPr="00545171">
        <w:rPr>
          <w:bCs/>
        </w:rPr>
        <w:t>beneficio operativo mensual aproximado de $4,200 USD</w:t>
      </w:r>
      <w:r w:rsidRPr="00545171">
        <w:t>.</w:t>
      </w:r>
    </w:p>
    <w:p w14:paraId="1707DF7F" w14:textId="1EC622EA" w:rsidR="00545171" w:rsidRPr="00545171" w:rsidRDefault="00545171" w:rsidP="00545171">
      <w:r w:rsidRPr="00545171">
        <w:t xml:space="preserve">Este nivel de beneficio no solo demuestra una operación rentable, sino que también impacta significativamente en la recuperación de la inversión inicial. Con un beneficio operativo de $4,200 USD al mes, el período estimado para recuperar el CAPEX promedio de $108,000 USD se reduciría a aproximadamente </w:t>
      </w:r>
      <w:r w:rsidRPr="00545171">
        <w:rPr>
          <w:bCs/>
        </w:rPr>
        <w:t>26 meses</w:t>
      </w:r>
      <w:r w:rsidRPr="00545171">
        <w:t>, o poco más de dos años. Este escenario sugiere que, alcanzando una adopción moderada del mercado, LogisticsRoute presenta un perfil de rentabilidad atractivo y un retorno de la inversión relativamente rápido, aunque estas proyecciones dependen de la validación continua de los costos operativos, especialmente los asociados a las APIs de terceros, y del éxito de la estrategia de precios y comercialización.</w:t>
      </w:r>
    </w:p>
    <w:p w14:paraId="3A1CDB26" w14:textId="77777777" w:rsidR="000F5040" w:rsidRDefault="000F5040" w:rsidP="00545171">
      <w:pPr>
        <w:sectPr w:rsidR="000F5040" w:rsidSect="000C4E2D">
          <w:headerReference w:type="default" r:id="rId9"/>
          <w:footerReference w:type="default" r:id="rId10"/>
          <w:pgSz w:w="12240" w:h="15840"/>
          <w:pgMar w:top="1440" w:right="1440" w:bottom="1440" w:left="1440" w:header="708" w:footer="708" w:gutter="0"/>
          <w:pgNumType w:start="1"/>
          <w:cols w:space="708"/>
          <w:docGrid w:linePitch="360"/>
        </w:sectPr>
      </w:pPr>
    </w:p>
    <w:p w14:paraId="077E0C6D" w14:textId="77777777" w:rsidR="000F5040" w:rsidRDefault="000F5040" w:rsidP="000F5040">
      <w:pPr>
        <w:pStyle w:val="Ttulo1"/>
        <w:sectPr w:rsidR="000F5040" w:rsidSect="000F5040">
          <w:headerReference w:type="default" r:id="rId11"/>
          <w:footerReference w:type="default" r:id="rId12"/>
          <w:pgSz w:w="15840" w:h="12240" w:orient="landscape"/>
          <w:pgMar w:top="1440" w:right="1440" w:bottom="1440" w:left="1440" w:header="708" w:footer="708" w:gutter="0"/>
          <w:cols w:space="708"/>
          <w:docGrid w:linePitch="360"/>
        </w:sectPr>
      </w:pPr>
      <w:bookmarkStart w:id="9" w:name="_Toc212640230"/>
      <w:r>
        <w:rPr>
          <w:noProof/>
        </w:rPr>
        <w:lastRenderedPageBreak/>
        <w:drawing>
          <wp:anchor distT="0" distB="0" distL="114300" distR="114300" simplePos="0" relativeHeight="251658240" behindDoc="0" locked="0" layoutInCell="1" allowOverlap="1" wp14:anchorId="5DC0C67F" wp14:editId="5A223E9C">
            <wp:simplePos x="0" y="0"/>
            <wp:positionH relativeFrom="column">
              <wp:posOffset>-638175</wp:posOffset>
            </wp:positionH>
            <wp:positionV relativeFrom="paragraph">
              <wp:posOffset>1533525</wp:posOffset>
            </wp:positionV>
            <wp:extent cx="9425940" cy="2828925"/>
            <wp:effectExtent l="0" t="0" r="3810" b="9525"/>
            <wp:wrapSquare wrapText="bothSides"/>
            <wp:docPr id="1080165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425940" cy="2828925"/>
                    </a:xfrm>
                    <a:prstGeom prst="rect">
                      <a:avLst/>
                    </a:prstGeom>
                    <a:noFill/>
                    <a:ln>
                      <a:noFill/>
                    </a:ln>
                  </pic:spPr>
                </pic:pic>
              </a:graphicData>
            </a:graphic>
            <wp14:sizeRelH relativeFrom="page">
              <wp14:pctWidth>0</wp14:pctWidth>
            </wp14:sizeRelH>
            <wp14:sizeRelV relativeFrom="page">
              <wp14:pctHeight>0</wp14:pctHeight>
            </wp14:sizeRelV>
          </wp:anchor>
        </w:drawing>
      </w:r>
      <w:r>
        <w:t>Diagrama de infraestructura</w:t>
      </w:r>
      <w:bookmarkEnd w:id="9"/>
    </w:p>
    <w:p w14:paraId="24388AF0" w14:textId="77777777" w:rsidR="000F5040" w:rsidRPr="000F5040" w:rsidRDefault="000F5040" w:rsidP="000F5040">
      <w:pPr>
        <w:jc w:val="both"/>
      </w:pPr>
      <w:r w:rsidRPr="000F5040">
        <w:lastRenderedPageBreak/>
        <w:t>Este diagrama ilustra la infraestructura del sistema LogisticsRoute. La arquitectura se centra en una aplicación móvil cliente (desarrollada en React Native/Expo) que interactúa con varios servicios en la nube. El usuario final interactúa directamente con esta aplicación móvil.</w:t>
      </w:r>
    </w:p>
    <w:p w14:paraId="2836CF8D" w14:textId="77777777" w:rsidR="000F5040" w:rsidRPr="000F5040" w:rsidRDefault="000F5040" w:rsidP="000F5040">
      <w:pPr>
        <w:jc w:val="both"/>
      </w:pPr>
      <w:r w:rsidRPr="000F5040">
        <w:t xml:space="preserve">La aplicación se comunica con un </w:t>
      </w:r>
      <w:proofErr w:type="spellStart"/>
      <w:r w:rsidRPr="000F5040">
        <w:t>backend</w:t>
      </w:r>
      <w:proofErr w:type="spellEnd"/>
      <w:r w:rsidRPr="000F5040">
        <w:t xml:space="preserve"> principal alojado en Supabase (que a su vez corre sobre AWS). Esta comunicación, realizada a través de una API REST y conexiones en tiempo real, maneja la lógica de negocio central, como la gestión de datos de usuarios, entregas y la recepción de solicitudes de optimización. El </w:t>
      </w:r>
      <w:proofErr w:type="spellStart"/>
      <w:r w:rsidRPr="000F5040">
        <w:t>backend</w:t>
      </w:r>
      <w:proofErr w:type="spellEnd"/>
      <w:r w:rsidRPr="000F5040">
        <w:t xml:space="preserve"> también envía respuestas y notificaciones a la aplicación móvil.</w:t>
      </w:r>
    </w:p>
    <w:p w14:paraId="59C51273" w14:textId="77777777" w:rsidR="000F5040" w:rsidRPr="000F5040" w:rsidRDefault="000F5040" w:rsidP="000F5040">
      <w:pPr>
        <w:jc w:val="both"/>
      </w:pPr>
      <w:r w:rsidRPr="000F5040">
        <w:t>Además, la aplicación móvil interactúa directamente con servicios de Google Cloud Platform. Utiliza OAuth Gmail para la autenticación de usuarios, obteniendo un token, y Google Maps para renderizar los mapas directamente en la interfaz del cliente.</w:t>
      </w:r>
    </w:p>
    <w:p w14:paraId="7861AD23" w14:textId="77777777" w:rsidR="000F5040" w:rsidRPr="000F5040" w:rsidRDefault="000F5040" w:rsidP="000F5040">
      <w:pPr>
        <w:jc w:val="both"/>
      </w:pPr>
      <w:r w:rsidRPr="000F5040">
        <w:t xml:space="preserve">Por su parte, el </w:t>
      </w:r>
      <w:proofErr w:type="spellStart"/>
      <w:r w:rsidRPr="000F5040">
        <w:t>backend</w:t>
      </w:r>
      <w:proofErr w:type="spellEnd"/>
      <w:r w:rsidRPr="000F5040">
        <w:t xml:space="preserve"> de Supabase también se conecta a Google Cloud Platform para realizar tareas específicas: consulta las APIs de Google Maps (como Directions o Distance Matrix) para obtener distancias y calcular la optimización de rutas solicitada por el cliente, y se comunica con la API de Gemini AI para potenciar las funcionalidades del asistente inteligente. Esta arquitectura distribuida aprovecha servicios especializados en la nube para ofrecer una solución completa y escalable.</w:t>
      </w:r>
    </w:p>
    <w:p w14:paraId="593CAC20" w14:textId="4B0390D0" w:rsidR="00623DDA" w:rsidRDefault="00623DDA" w:rsidP="000F5040"/>
    <w:sectPr w:rsidR="00623DDA" w:rsidSect="000F5040">
      <w:headerReference w:type="default"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25CBC" w14:textId="77777777" w:rsidR="001678DF" w:rsidRDefault="001678DF" w:rsidP="000C4E2D">
      <w:pPr>
        <w:spacing w:after="0" w:line="240" w:lineRule="auto"/>
      </w:pPr>
      <w:r>
        <w:separator/>
      </w:r>
    </w:p>
  </w:endnote>
  <w:endnote w:type="continuationSeparator" w:id="0">
    <w:p w14:paraId="55B9EC6B" w14:textId="77777777" w:rsidR="001678DF" w:rsidRDefault="001678DF" w:rsidP="000C4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11400"/>
      <w:docPartObj>
        <w:docPartGallery w:val="Page Numbers (Bottom of Page)"/>
        <w:docPartUnique/>
      </w:docPartObj>
    </w:sdtPr>
    <w:sdtContent>
      <w:p w14:paraId="6D79748C" w14:textId="0FBE3AE5" w:rsidR="000C4E2D" w:rsidRDefault="000C4E2D">
        <w:pPr>
          <w:pStyle w:val="Piedepgina"/>
          <w:jc w:val="right"/>
        </w:pPr>
        <w:r>
          <w:fldChar w:fldCharType="begin"/>
        </w:r>
        <w:r>
          <w:instrText>PAGE   \* MERGEFORMAT</w:instrText>
        </w:r>
        <w:r>
          <w:fldChar w:fldCharType="separate"/>
        </w:r>
        <w:r>
          <w:rPr>
            <w:lang w:val="es-ES"/>
          </w:rPr>
          <w:t>2</w:t>
        </w:r>
        <w:r>
          <w:fldChar w:fldCharType="end"/>
        </w:r>
      </w:p>
    </w:sdtContent>
  </w:sdt>
  <w:p w14:paraId="072BFDAC" w14:textId="77777777" w:rsidR="000C4E2D" w:rsidRDefault="000C4E2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839299"/>
      <w:docPartObj>
        <w:docPartGallery w:val="Page Numbers (Bottom of Page)"/>
        <w:docPartUnique/>
      </w:docPartObj>
    </w:sdtPr>
    <w:sdtContent>
      <w:p w14:paraId="73C7E1BA" w14:textId="77777777" w:rsidR="000F5040" w:rsidRDefault="000F5040">
        <w:pPr>
          <w:pStyle w:val="Piedepgina"/>
          <w:jc w:val="right"/>
        </w:pPr>
        <w:r>
          <w:fldChar w:fldCharType="begin"/>
        </w:r>
        <w:r>
          <w:instrText>PAGE   \* MERGEFORMAT</w:instrText>
        </w:r>
        <w:r>
          <w:fldChar w:fldCharType="separate"/>
        </w:r>
        <w:r>
          <w:rPr>
            <w:lang w:val="es-ES"/>
          </w:rPr>
          <w:t>2</w:t>
        </w:r>
        <w:r>
          <w:fldChar w:fldCharType="end"/>
        </w:r>
      </w:p>
    </w:sdtContent>
  </w:sdt>
  <w:p w14:paraId="562B8398" w14:textId="77777777" w:rsidR="000F5040" w:rsidRDefault="000F504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914435"/>
      <w:docPartObj>
        <w:docPartGallery w:val="Page Numbers (Bottom of Page)"/>
        <w:docPartUnique/>
      </w:docPartObj>
    </w:sdtPr>
    <w:sdtContent>
      <w:p w14:paraId="7F94E7BB" w14:textId="77777777" w:rsidR="000F5040" w:rsidRDefault="000F5040">
        <w:pPr>
          <w:pStyle w:val="Piedepgina"/>
          <w:jc w:val="right"/>
        </w:pPr>
        <w:r>
          <w:fldChar w:fldCharType="begin"/>
        </w:r>
        <w:r>
          <w:instrText>PAGE   \* MERGEFORMAT</w:instrText>
        </w:r>
        <w:r>
          <w:fldChar w:fldCharType="separate"/>
        </w:r>
        <w:r>
          <w:rPr>
            <w:lang w:val="es-ES"/>
          </w:rPr>
          <w:t>2</w:t>
        </w:r>
        <w:r>
          <w:fldChar w:fldCharType="end"/>
        </w:r>
      </w:p>
    </w:sdtContent>
  </w:sdt>
  <w:p w14:paraId="0E8AF1F7" w14:textId="77777777" w:rsidR="000F5040" w:rsidRDefault="000F50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0EEAF" w14:textId="77777777" w:rsidR="001678DF" w:rsidRDefault="001678DF" w:rsidP="000C4E2D">
      <w:pPr>
        <w:spacing w:after="0" w:line="240" w:lineRule="auto"/>
      </w:pPr>
      <w:r>
        <w:separator/>
      </w:r>
    </w:p>
  </w:footnote>
  <w:footnote w:type="continuationSeparator" w:id="0">
    <w:p w14:paraId="44C46374" w14:textId="77777777" w:rsidR="001678DF" w:rsidRDefault="001678DF" w:rsidP="000C4E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C519" w14:textId="77777777" w:rsidR="000C4E2D" w:rsidRDefault="000C4E2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1A50" w14:textId="77777777" w:rsidR="000F5040" w:rsidRDefault="000F504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22095" w14:textId="77777777" w:rsidR="000F5040" w:rsidRDefault="000F50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D7A"/>
    <w:multiLevelType w:val="multilevel"/>
    <w:tmpl w:val="7B9E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E5F95"/>
    <w:multiLevelType w:val="multilevel"/>
    <w:tmpl w:val="3A0C6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B10DF"/>
    <w:multiLevelType w:val="multilevel"/>
    <w:tmpl w:val="E7FC7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C0D71"/>
    <w:multiLevelType w:val="multilevel"/>
    <w:tmpl w:val="BE92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480480">
    <w:abstractNumId w:val="3"/>
  </w:num>
  <w:num w:numId="2" w16cid:durableId="557594667">
    <w:abstractNumId w:val="2"/>
  </w:num>
  <w:num w:numId="3" w16cid:durableId="197280816">
    <w:abstractNumId w:val="0"/>
  </w:num>
  <w:num w:numId="4" w16cid:durableId="2014070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0D9"/>
    <w:rsid w:val="000C4E2D"/>
    <w:rsid w:val="000F5040"/>
    <w:rsid w:val="001678DF"/>
    <w:rsid w:val="00483BA1"/>
    <w:rsid w:val="004902BB"/>
    <w:rsid w:val="00545171"/>
    <w:rsid w:val="00560D48"/>
    <w:rsid w:val="005E0437"/>
    <w:rsid w:val="00623DDA"/>
    <w:rsid w:val="006320D9"/>
    <w:rsid w:val="00CA6BBE"/>
    <w:rsid w:val="00D642FF"/>
    <w:rsid w:val="00E35A8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14D6E"/>
  <w15:chartTrackingRefBased/>
  <w15:docId w15:val="{CF2F4C65-E418-42B4-9BC3-34A966549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BBE"/>
    <w:rPr>
      <w:rFonts w:ascii="Arial" w:hAnsi="Arial"/>
    </w:rPr>
  </w:style>
  <w:style w:type="paragraph" w:styleId="Ttulo1">
    <w:name w:val="heading 1"/>
    <w:basedOn w:val="Normal"/>
    <w:next w:val="Normal"/>
    <w:link w:val="Ttulo1Car"/>
    <w:uiPriority w:val="9"/>
    <w:qFormat/>
    <w:rsid w:val="006320D9"/>
    <w:pPr>
      <w:keepNext/>
      <w:keepLines/>
      <w:spacing w:before="360" w:after="80"/>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CA6BBE"/>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6320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20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20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20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20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20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20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20D9"/>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rsid w:val="00CA6BBE"/>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semiHidden/>
    <w:rsid w:val="006320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20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20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20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20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20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20D9"/>
    <w:rPr>
      <w:rFonts w:eastAsiaTheme="majorEastAsia" w:cstheme="majorBidi"/>
      <w:color w:val="272727" w:themeColor="text1" w:themeTint="D8"/>
    </w:rPr>
  </w:style>
  <w:style w:type="paragraph" w:styleId="Ttulo">
    <w:name w:val="Title"/>
    <w:basedOn w:val="Normal"/>
    <w:next w:val="Normal"/>
    <w:link w:val="TtuloCar"/>
    <w:uiPriority w:val="10"/>
    <w:qFormat/>
    <w:rsid w:val="0063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20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20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20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20D9"/>
    <w:pPr>
      <w:spacing w:before="160"/>
      <w:jc w:val="center"/>
    </w:pPr>
    <w:rPr>
      <w:i/>
      <w:iCs/>
      <w:color w:val="404040" w:themeColor="text1" w:themeTint="BF"/>
    </w:rPr>
  </w:style>
  <w:style w:type="character" w:customStyle="1" w:styleId="CitaCar">
    <w:name w:val="Cita Car"/>
    <w:basedOn w:val="Fuentedeprrafopredeter"/>
    <w:link w:val="Cita"/>
    <w:uiPriority w:val="29"/>
    <w:rsid w:val="006320D9"/>
    <w:rPr>
      <w:i/>
      <w:iCs/>
      <w:color w:val="404040" w:themeColor="text1" w:themeTint="BF"/>
    </w:rPr>
  </w:style>
  <w:style w:type="paragraph" w:styleId="Prrafodelista">
    <w:name w:val="List Paragraph"/>
    <w:basedOn w:val="Normal"/>
    <w:uiPriority w:val="34"/>
    <w:qFormat/>
    <w:rsid w:val="006320D9"/>
    <w:pPr>
      <w:ind w:left="720"/>
      <w:contextualSpacing/>
    </w:pPr>
  </w:style>
  <w:style w:type="character" w:styleId="nfasisintenso">
    <w:name w:val="Intense Emphasis"/>
    <w:basedOn w:val="Fuentedeprrafopredeter"/>
    <w:uiPriority w:val="21"/>
    <w:qFormat/>
    <w:rsid w:val="006320D9"/>
    <w:rPr>
      <w:i/>
      <w:iCs/>
      <w:color w:val="0F4761" w:themeColor="accent1" w:themeShade="BF"/>
    </w:rPr>
  </w:style>
  <w:style w:type="paragraph" w:styleId="Citadestacada">
    <w:name w:val="Intense Quote"/>
    <w:basedOn w:val="Normal"/>
    <w:next w:val="Normal"/>
    <w:link w:val="CitadestacadaCar"/>
    <w:uiPriority w:val="30"/>
    <w:qFormat/>
    <w:rsid w:val="00632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20D9"/>
    <w:rPr>
      <w:i/>
      <w:iCs/>
      <w:color w:val="0F4761" w:themeColor="accent1" w:themeShade="BF"/>
    </w:rPr>
  </w:style>
  <w:style w:type="character" w:styleId="Referenciaintensa">
    <w:name w:val="Intense Reference"/>
    <w:basedOn w:val="Fuentedeprrafopredeter"/>
    <w:uiPriority w:val="32"/>
    <w:qFormat/>
    <w:rsid w:val="006320D9"/>
    <w:rPr>
      <w:b/>
      <w:bCs/>
      <w:smallCaps/>
      <w:color w:val="0F4761" w:themeColor="accent1" w:themeShade="BF"/>
      <w:spacing w:val="5"/>
    </w:rPr>
  </w:style>
  <w:style w:type="paragraph" w:customStyle="1" w:styleId="paragraph">
    <w:name w:val="paragraph"/>
    <w:basedOn w:val="Normal"/>
    <w:rsid w:val="00E35A84"/>
    <w:pPr>
      <w:spacing w:before="100" w:beforeAutospacing="1" w:after="100" w:afterAutospacing="1" w:line="240" w:lineRule="auto"/>
      <w:jc w:val="both"/>
    </w:pPr>
    <w:rPr>
      <w:rFonts w:ascii="Times New Roman" w:eastAsia="Times New Roman" w:hAnsi="Times New Roman" w:cs="Times New Roman"/>
      <w:color w:val="000000" w:themeColor="text1"/>
      <w:kern w:val="0"/>
      <w:lang w:eastAsia="es-SV"/>
      <w14:ligatures w14:val="none"/>
    </w:rPr>
  </w:style>
  <w:style w:type="character" w:customStyle="1" w:styleId="normaltextrun">
    <w:name w:val="normaltextrun"/>
    <w:basedOn w:val="Fuentedeprrafopredeter"/>
    <w:rsid w:val="00E35A84"/>
  </w:style>
  <w:style w:type="character" w:customStyle="1" w:styleId="eop">
    <w:name w:val="eop"/>
    <w:basedOn w:val="Fuentedeprrafopredeter"/>
    <w:rsid w:val="00E35A84"/>
  </w:style>
  <w:style w:type="paragraph" w:styleId="Encabezado">
    <w:name w:val="header"/>
    <w:basedOn w:val="Normal"/>
    <w:link w:val="EncabezadoCar"/>
    <w:uiPriority w:val="99"/>
    <w:unhideWhenUsed/>
    <w:rsid w:val="000C4E2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C4E2D"/>
    <w:rPr>
      <w:rFonts w:ascii="Arial" w:hAnsi="Arial"/>
    </w:rPr>
  </w:style>
  <w:style w:type="paragraph" w:styleId="Piedepgina">
    <w:name w:val="footer"/>
    <w:basedOn w:val="Normal"/>
    <w:link w:val="PiedepginaCar"/>
    <w:uiPriority w:val="99"/>
    <w:unhideWhenUsed/>
    <w:rsid w:val="000C4E2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C4E2D"/>
    <w:rPr>
      <w:rFonts w:ascii="Arial" w:hAnsi="Arial"/>
    </w:rPr>
  </w:style>
  <w:style w:type="paragraph" w:styleId="TtuloTDC">
    <w:name w:val="TOC Heading"/>
    <w:basedOn w:val="Ttulo1"/>
    <w:next w:val="Normal"/>
    <w:uiPriority w:val="39"/>
    <w:unhideWhenUsed/>
    <w:qFormat/>
    <w:rsid w:val="000C4E2D"/>
    <w:pPr>
      <w:spacing w:before="240" w:after="0" w:line="259" w:lineRule="auto"/>
      <w:outlineLvl w:val="9"/>
    </w:pPr>
    <w:rPr>
      <w:rFonts w:asciiTheme="majorHAnsi" w:hAnsiTheme="majorHAnsi"/>
      <w:b w:val="0"/>
      <w:color w:val="0F4761" w:themeColor="accent1" w:themeShade="BF"/>
      <w:kern w:val="0"/>
      <w:sz w:val="32"/>
      <w:szCs w:val="32"/>
      <w:lang w:eastAsia="es-SV"/>
      <w14:ligatures w14:val="none"/>
    </w:rPr>
  </w:style>
  <w:style w:type="paragraph" w:styleId="TDC1">
    <w:name w:val="toc 1"/>
    <w:basedOn w:val="Normal"/>
    <w:next w:val="Normal"/>
    <w:autoRedefine/>
    <w:uiPriority w:val="39"/>
    <w:unhideWhenUsed/>
    <w:rsid w:val="000C4E2D"/>
    <w:pPr>
      <w:spacing w:after="100"/>
    </w:pPr>
  </w:style>
  <w:style w:type="character" w:styleId="Hipervnculo">
    <w:name w:val="Hyperlink"/>
    <w:basedOn w:val="Fuentedeprrafopredeter"/>
    <w:uiPriority w:val="99"/>
    <w:unhideWhenUsed/>
    <w:rsid w:val="000C4E2D"/>
    <w:rPr>
      <w:color w:val="467886" w:themeColor="hyperlink"/>
      <w:u w:val="single"/>
    </w:rPr>
  </w:style>
  <w:style w:type="paragraph" w:styleId="TDC2">
    <w:name w:val="toc 2"/>
    <w:basedOn w:val="Normal"/>
    <w:next w:val="Normal"/>
    <w:autoRedefine/>
    <w:uiPriority w:val="39"/>
    <w:unhideWhenUsed/>
    <w:rsid w:val="0054517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A1241-4854-42FD-B3D2-9305AD6A2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11</Pages>
  <Words>2109</Words>
  <Characters>12132</Characters>
  <Application>Microsoft Office Word</Application>
  <DocSecurity>0</DocSecurity>
  <Lines>263</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Alexander Portillo Marroquin</dc:creator>
  <cp:keywords/>
  <dc:description/>
  <cp:lastModifiedBy>Wilson Alexander Portillo Marroquin</cp:lastModifiedBy>
  <cp:revision>5</cp:revision>
  <dcterms:created xsi:type="dcterms:W3CDTF">2025-10-29T17:30:00Z</dcterms:created>
  <dcterms:modified xsi:type="dcterms:W3CDTF">2025-10-29T20:23:00Z</dcterms:modified>
</cp:coreProperties>
</file>