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2A44"/>
          <w:sz w:val="40"/>
        </w:rPr>
        <w:t>The Schoeman Clinic</w:t>
      </w:r>
    </w:p>
    <w:p>
      <w:pPr>
        <w:spacing w:after="40" w:before="0"/>
      </w:pPr>
      <w:r>
        <w:rPr>
          <w:b/>
          <w:i w:val="0"/>
          <w:color w:val="2E5C8A"/>
          <w:sz w:val="25"/>
        </w:rPr>
        <w:t>GoHighLevel Team Training — WhatsApp Shared Inbox Go-Live</w:t>
      </w:r>
    </w:p>
    <w:p>
      <w:pPr>
        <w:spacing w:after="40" w:before="0"/>
      </w:pPr>
      <w:r>
        <w:rPr>
          <w:color w:val="555555"/>
          <w:sz w:val="19"/>
        </w:rPr>
        <w:t>Led by Jess (WILBA)   ·   ~11am UK / evening Bali   ·   Attendees: Lisa, Zoey, Isabell + new admin (Gina optional)</w:t>
      </w:r>
    </w:p>
    <w:tbl>
      <w:tblPr>
        <w:tblStyle w:val="TableGrid"/>
        <w:tblW w:type="auto" w:w="0"/>
        <w:tblLook w:firstColumn="1" w:firstRow="1" w:lastColumn="0" w:lastRow="0" w:noHBand="0" w:noVBand="1" w:val="04A0"/>
      </w:tblPr>
      <w:tblGrid>
        <w:gridCol w:w="8640"/>
      </w:tblGrid>
      <w:tr>
        <w:tc>
          <w:tcPr>
            <w:tcW w:type="dxa" w:w="8640"/>
            <w:shd w:val="clear" w:fill="EAF1FA"/>
          </w:tcPr>
          <w:p>
            <w:pPr>
              <w:spacing w:after="40"/>
            </w:pPr>
            <w:r>
              <w:rPr>
                <w:b/>
                <w:color w:val="2E5C8A"/>
                <w:sz w:val="20"/>
              </w:rPr>
              <w:t xml:space="preserve">TONIGHT COVERS: </w:t>
            </w:r>
            <w:r>
              <w:rPr>
                <w:sz w:val="20"/>
              </w:rPr>
              <w:t>One shared WhatsApp inbox inside GHL — find messages, reply, leave internal notes, work as a team, escalate clinical questions.</w:t>
            </w:r>
          </w:p>
          <w:p>
            <w:pPr>
              <w:spacing w:after="0"/>
            </w:pPr>
            <w:r>
              <w:rPr>
                <w:b/>
                <w:color w:val="B02A2A"/>
                <w:sz w:val="20"/>
              </w:rPr>
              <w:t xml:space="preserve">NOT TONIGHT: </w:t>
            </w:r>
            <w:r>
              <w:rPr>
                <w:sz w:val="20"/>
              </w:rPr>
              <w:t>No AI auto-replies · no knowledge-base answers · no phone/voice agent · no appointment booking (that stays in Semble).</w:t>
            </w:r>
          </w:p>
        </w:tc>
      </w:tr>
    </w:tbl>
    <w:p>
      <w:pPr>
        <w:spacing w:after="40" w:before="0"/>
      </w:pPr>
    </w:p>
    <w:p>
      <w:pPr>
        <w:spacing w:before="200" w:after="80"/>
      </w:pPr>
      <w:r>
        <w:rPr>
          <w:b/>
          <w:color w:val="1F2A44"/>
          <w:sz w:val="26"/>
        </w:rPr>
        <w:t>Agenda (≈40 minutes)</w:t>
      </w:r>
    </w:p>
    <w:tbl>
      <w:tblPr>
        <w:tblStyle w:val="TableGrid"/>
        <w:tblW w:type="auto" w:w="0"/>
        <w:jc w:val="left"/>
        <w:tblLook w:firstColumn="1" w:firstRow="1" w:lastColumn="0" w:lastRow="0" w:noHBand="0" w:noVBand="1" w:val="04A0"/>
      </w:tblPr>
      <w:tblGrid>
        <w:gridCol w:w="2880"/>
        <w:gridCol w:w="2880"/>
        <w:gridCol w:w="2880"/>
      </w:tblGrid>
      <w:tr>
        <w:tc>
          <w:tcPr>
            <w:tcW w:type="dxa" w:w="1152"/>
            <w:shd w:val="clear" w:fill="1F2A44"/>
          </w:tcPr>
          <w:p>
            <w:r>
              <w:rPr>
                <w:b/>
                <w:color w:val="FFFFFF"/>
                <w:sz w:val="20"/>
              </w:rPr>
              <w:t>Time</w:t>
            </w:r>
          </w:p>
        </w:tc>
        <w:tc>
          <w:tcPr>
            <w:tcW w:type="dxa" w:w="3456"/>
            <w:shd w:val="clear" w:fill="1F2A44"/>
          </w:tcPr>
          <w:p>
            <w:r>
              <w:rPr>
                <w:b/>
                <w:color w:val="FFFFFF"/>
                <w:sz w:val="20"/>
              </w:rPr>
              <w:t>Item</w:t>
            </w:r>
          </w:p>
        </w:tc>
        <w:tc>
          <w:tcPr>
            <w:tcW w:type="dxa" w:w="4608"/>
            <w:shd w:val="clear" w:fill="1F2A44"/>
          </w:tcPr>
          <w:p>
            <w:r>
              <w:rPr>
                <w:b/>
                <w:color w:val="FFFFFF"/>
                <w:sz w:val="20"/>
              </w:rPr>
              <w:t>Goal</w:t>
            </w:r>
          </w:p>
        </w:tc>
      </w:tr>
      <w:tr>
        <w:tc>
          <w:tcPr>
            <w:tcW w:type="dxa" w:w="1152"/>
          </w:tcPr>
          <w:p>
            <w:pPr>
              <w:spacing w:after="20"/>
            </w:pPr>
            <w:r>
              <w:rPr>
                <w:b/>
                <w:color w:val="2E5C8A"/>
                <w:sz w:val="19"/>
              </w:rPr>
              <w:t>2 min</w:t>
            </w:r>
          </w:p>
        </w:tc>
        <w:tc>
          <w:tcPr>
            <w:tcW w:type="dxa" w:w="3456"/>
          </w:tcPr>
          <w:p>
            <w:pPr>
              <w:spacing w:after="20"/>
            </w:pPr>
            <w:r>
              <w:rPr>
                <w:b/>
                <w:sz w:val="19"/>
              </w:rPr>
              <w:t>Frame it</w:t>
            </w:r>
          </w:p>
        </w:tc>
        <w:tc>
          <w:tcPr>
            <w:tcW w:type="dxa" w:w="4608"/>
          </w:tcPr>
          <w:p>
            <w:pPr>
              <w:spacing w:after="20"/>
            </w:pPr>
            <w:r>
              <w:rPr>
                <w:sz w:val="19"/>
              </w:rPr>
              <w:t>Why we’re moving to one shared inbox</w:t>
            </w:r>
          </w:p>
        </w:tc>
      </w:tr>
      <w:tr>
        <w:tc>
          <w:tcPr>
            <w:tcW w:type="dxa" w:w="1152"/>
          </w:tcPr>
          <w:p>
            <w:pPr>
              <w:spacing w:after="20"/>
            </w:pPr>
            <w:r>
              <w:rPr>
                <w:b/>
                <w:color w:val="2E5C8A"/>
                <w:sz w:val="19"/>
              </w:rPr>
              <w:t>5 min</w:t>
            </w:r>
          </w:p>
        </w:tc>
        <w:tc>
          <w:tcPr>
            <w:tcW w:type="dxa" w:w="3456"/>
          </w:tcPr>
          <w:p>
            <w:pPr>
              <w:spacing w:after="20"/>
            </w:pPr>
            <w:r>
              <w:rPr>
                <w:b/>
                <w:sz w:val="19"/>
              </w:rPr>
              <w:t>Tour the Conversations tab</w:t>
            </w:r>
          </w:p>
        </w:tc>
        <w:tc>
          <w:tcPr>
            <w:tcW w:type="dxa" w:w="4608"/>
          </w:tcPr>
          <w:p>
            <w:pPr>
              <w:spacing w:after="20"/>
            </w:pPr>
            <w:r>
              <w:rPr>
                <w:sz w:val="19"/>
              </w:rPr>
              <w:t>Know the layout: list / thread / patient panel</w:t>
            </w:r>
          </w:p>
        </w:tc>
      </w:tr>
      <w:tr>
        <w:tc>
          <w:tcPr>
            <w:tcW w:type="dxa" w:w="1152"/>
          </w:tcPr>
          <w:p>
            <w:pPr>
              <w:spacing w:after="20"/>
            </w:pPr>
            <w:r>
              <w:rPr>
                <w:b/>
                <w:color w:val="2E5C8A"/>
                <w:sz w:val="19"/>
              </w:rPr>
              <w:t>8 min</w:t>
            </w:r>
          </w:p>
        </w:tc>
        <w:tc>
          <w:tcPr>
            <w:tcW w:type="dxa" w:w="3456"/>
          </w:tcPr>
          <w:p>
            <w:pPr>
              <w:spacing w:after="20"/>
            </w:pPr>
            <w:r>
              <w:rPr>
                <w:b/>
                <w:sz w:val="19"/>
              </w:rPr>
              <w:t>Reply to a patient</w:t>
            </w:r>
          </w:p>
        </w:tc>
        <w:tc>
          <w:tcPr>
            <w:tcW w:type="dxa" w:w="4608"/>
          </w:tcPr>
          <w:p>
            <w:pPr>
              <w:spacing w:after="20"/>
            </w:pPr>
            <w:r>
              <w:rPr>
                <w:sz w:val="19"/>
              </w:rPr>
              <w:t>Send a reply + understand the 24-hour window</w:t>
            </w:r>
          </w:p>
        </w:tc>
      </w:tr>
      <w:tr>
        <w:tc>
          <w:tcPr>
            <w:tcW w:type="dxa" w:w="1152"/>
          </w:tcPr>
          <w:p>
            <w:pPr>
              <w:spacing w:after="20"/>
            </w:pPr>
            <w:r>
              <w:rPr>
                <w:b/>
                <w:color w:val="2E5C8A"/>
                <w:sz w:val="19"/>
              </w:rPr>
              <w:t>6 min</w:t>
            </w:r>
          </w:p>
        </w:tc>
        <w:tc>
          <w:tcPr>
            <w:tcW w:type="dxa" w:w="3456"/>
          </w:tcPr>
          <w:p>
            <w:pPr>
              <w:spacing w:after="20"/>
            </w:pPr>
            <w:r>
              <w:rPr>
                <w:b/>
                <w:sz w:val="19"/>
              </w:rPr>
              <w:t>Internal notes (SAFETY)</w:t>
            </w:r>
          </w:p>
        </w:tc>
        <w:tc>
          <w:tcPr>
            <w:tcW w:type="dxa" w:w="4608"/>
          </w:tcPr>
          <w:p>
            <w:pPr>
              <w:spacing w:after="20"/>
            </w:pPr>
            <w:r>
              <w:rPr>
                <w:sz w:val="19"/>
              </w:rPr>
              <w:t>Team-only notes vs patient replies — never mix them</w:t>
            </w:r>
          </w:p>
        </w:tc>
      </w:tr>
      <w:tr>
        <w:tc>
          <w:tcPr>
            <w:tcW w:type="dxa" w:w="1152"/>
          </w:tcPr>
          <w:p>
            <w:pPr>
              <w:spacing w:after="20"/>
            </w:pPr>
            <w:r>
              <w:rPr>
                <w:b/>
                <w:color w:val="2E5C8A"/>
                <w:sz w:val="19"/>
              </w:rPr>
              <w:t>6 min</w:t>
            </w:r>
          </w:p>
        </w:tc>
        <w:tc>
          <w:tcPr>
            <w:tcW w:type="dxa" w:w="3456"/>
          </w:tcPr>
          <w:p>
            <w:pPr>
              <w:spacing w:after="20"/>
            </w:pPr>
            <w:r>
              <w:rPr>
                <w:b/>
                <w:sz w:val="19"/>
              </w:rPr>
              <w:t>Work as a team</w:t>
            </w:r>
          </w:p>
        </w:tc>
        <w:tc>
          <w:tcPr>
            <w:tcW w:type="dxa" w:w="4608"/>
          </w:tcPr>
          <w:p>
            <w:pPr>
              <w:spacing w:after="20"/>
            </w:pPr>
            <w:r>
              <w:rPr>
                <w:sz w:val="19"/>
              </w:rPr>
              <w:t>Assign, mark unread, hand off across days</w:t>
            </w:r>
          </w:p>
        </w:tc>
      </w:tr>
      <w:tr>
        <w:tc>
          <w:tcPr>
            <w:tcW w:type="dxa" w:w="1152"/>
          </w:tcPr>
          <w:p>
            <w:pPr>
              <w:spacing w:after="20"/>
            </w:pPr>
            <w:r>
              <w:rPr>
                <w:b/>
                <w:color w:val="2E5C8A"/>
                <w:sz w:val="19"/>
              </w:rPr>
              <w:t>5 min</w:t>
            </w:r>
          </w:p>
        </w:tc>
        <w:tc>
          <w:tcPr>
            <w:tcW w:type="dxa" w:w="3456"/>
          </w:tcPr>
          <w:p>
            <w:pPr>
              <w:spacing w:after="20"/>
            </w:pPr>
            <w:r>
              <w:rPr>
                <w:b/>
                <w:sz w:val="19"/>
              </w:rPr>
              <w:t>Escalation basics</w:t>
            </w:r>
          </w:p>
        </w:tc>
        <w:tc>
          <w:tcPr>
            <w:tcW w:type="dxa" w:w="4608"/>
          </w:tcPr>
          <w:p>
            <w:pPr>
              <w:spacing w:after="20"/>
            </w:pPr>
            <w:r>
              <w:rPr>
                <w:sz w:val="19"/>
              </w:rPr>
              <w:t>Clinical → human. Email Gina + paste to Semble</w:t>
            </w:r>
          </w:p>
        </w:tc>
      </w:tr>
      <w:tr>
        <w:tc>
          <w:tcPr>
            <w:tcW w:type="dxa" w:w="1152"/>
          </w:tcPr>
          <w:p>
            <w:pPr>
              <w:spacing w:after="20"/>
            </w:pPr>
            <w:r>
              <w:rPr>
                <w:b/>
                <w:color w:val="2E5C8A"/>
                <w:sz w:val="19"/>
              </w:rPr>
              <w:t>3 min</w:t>
            </w:r>
          </w:p>
        </w:tc>
        <w:tc>
          <w:tcPr>
            <w:tcW w:type="dxa" w:w="3456"/>
          </w:tcPr>
          <w:p>
            <w:pPr>
              <w:spacing w:after="20"/>
            </w:pPr>
            <w:r>
              <w:rPr>
                <w:b/>
                <w:sz w:val="19"/>
              </w:rPr>
              <w:t>What is NOT changing</w:t>
            </w:r>
          </w:p>
        </w:tc>
        <w:tc>
          <w:tcPr>
            <w:tcW w:type="dxa" w:w="4608"/>
          </w:tcPr>
          <w:p>
            <w:pPr>
              <w:spacing w:after="20"/>
            </w:pPr>
            <w:r>
              <w:rPr>
                <w:sz w:val="19"/>
              </w:rPr>
              <w:t>Appointments/reminders stay in Semble</w:t>
            </w:r>
          </w:p>
        </w:tc>
      </w:tr>
      <w:tr>
        <w:tc>
          <w:tcPr>
            <w:tcW w:type="dxa" w:w="1152"/>
          </w:tcPr>
          <w:p>
            <w:pPr>
              <w:spacing w:after="20"/>
            </w:pPr>
            <w:r>
              <w:rPr>
                <w:b/>
                <w:color w:val="2E5C8A"/>
                <w:sz w:val="19"/>
              </w:rPr>
              <w:t>5 min</w:t>
            </w:r>
          </w:p>
        </w:tc>
        <w:tc>
          <w:tcPr>
            <w:tcW w:type="dxa" w:w="3456"/>
          </w:tcPr>
          <w:p>
            <w:pPr>
              <w:spacing w:after="20"/>
            </w:pPr>
            <w:r>
              <w:rPr>
                <w:b/>
                <w:sz w:val="19"/>
              </w:rPr>
              <w:t>Q&amp;A + wrap</w:t>
            </w:r>
          </w:p>
        </w:tc>
        <w:tc>
          <w:tcPr>
            <w:tcW w:type="dxa" w:w="4608"/>
          </w:tcPr>
          <w:p>
            <w:pPr>
              <w:spacing w:after="20"/>
            </w:pPr>
            <w:r>
              <w:rPr>
                <w:sz w:val="19"/>
              </w:rPr>
              <w:t>Answer questions, promise the Loom recording</w:t>
            </w:r>
          </w:p>
        </w:tc>
      </w:tr>
    </w:tbl>
    <w:p>
      <w:pPr>
        <w:spacing w:before="200" w:after="80"/>
      </w:pPr>
      <w:r>
        <w:rPr>
          <w:b/>
          <w:color w:val="1F2A44"/>
          <w:sz w:val="26"/>
        </w:rPr>
        <w:t>Before you start (do this solo, 10 min before)</w:t>
      </w:r>
    </w:p>
    <w:p>
      <w:pPr>
        <w:pStyle w:val="ListBullet"/>
        <w:spacing w:after="60"/>
      </w:pPr>
      <w:r>
        <w:rPr>
          <w:b/>
        </w:rPr>
        <w:t xml:space="preserve">Log in → open Conversations </w:t>
      </w:r>
      <w:r>
        <w:t>and reply on a test WhatsApp thread so you’ve done every click once.</w:t>
      </w:r>
    </w:p>
    <w:p>
      <w:pPr>
        <w:pStyle w:val="ListBullet"/>
        <w:spacing w:after="60"/>
      </w:pPr>
      <w:r>
        <w:rPr>
          <w:b/>
        </w:rPr>
        <w:t xml:space="preserve">Confirm </w:t>
      </w:r>
      <w:r>
        <w:t>the exact internal-note button in this sub-account (ask Griffin) so you don’t guess live.</w:t>
      </w:r>
    </w:p>
    <w:p>
      <w:pPr>
        <w:pStyle w:val="ListBullet"/>
        <w:spacing w:after="60"/>
      </w:pPr>
      <w:r>
        <w:rPr>
          <w:b/>
        </w:rPr>
        <w:t xml:space="preserve">The number </w:t>
      </w:r>
      <w:r>
        <w:t>is confirmed: +44 7426 494321. No team action — just know the website still shows an old number (+44 7426 292 321); flag Mati/Gina to fix the site.</w:t>
      </w:r>
    </w:p>
    <w:p>
      <w:pPr>
        <w:pStyle w:val="ListBullet"/>
        <w:spacing w:after="60"/>
      </w:pPr>
      <w:r>
        <w:rPr>
          <w:b/>
        </w:rPr>
        <w:t xml:space="preserve">Check </w:t>
      </w:r>
      <w:r>
        <w:t>everyone’s logins work.</w:t>
      </w:r>
    </w:p>
    <w:p>
      <w:pPr>
        <w:spacing w:before="200" w:after="80"/>
      </w:pPr>
      <w:r>
        <w:rPr>
          <w:b/>
          <w:color w:val="1F2A44"/>
          <w:sz w:val="26"/>
        </w:rPr>
        <w:t>Running the session</w:t>
      </w:r>
    </w:p>
    <w:p>
      <w:pPr>
        <w:spacing w:after="40" w:before="0"/>
      </w:pPr>
      <w:r>
        <w:rPr>
          <w:b/>
          <w:i w:val="0"/>
          <w:color w:val="2E5C8A"/>
          <w:sz w:val="21"/>
        </w:rPr>
        <w:t>1 · Frame it</w:t>
      </w:r>
    </w:p>
    <w:p>
      <w:pPr>
        <w:spacing w:after="120" w:before="0"/>
      </w:pPr>
      <w:r>
        <w:rPr>
          <w:b w:val="0"/>
          <w:i/>
          <w:sz w:val="21"/>
        </w:rPr>
        <w:t>“From today, every patient WhatsApp lands in one shared inbox inside GoHighLevel. No more forwarding screenshots or one person holding the phone. You all see the same conversation in real time and can hand off to each other across your different days.”</w:t>
      </w:r>
    </w:p>
    <w:p>
      <w:pPr>
        <w:spacing w:after="40" w:before="0"/>
      </w:pPr>
      <w:r>
        <w:rPr>
          <w:b/>
          <w:i w:val="0"/>
          <w:color w:val="2E5C8A"/>
          <w:sz w:val="21"/>
        </w:rPr>
        <w:t>2 · Tour the Conversations tab</w:t>
      </w:r>
    </w:p>
    <w:p>
      <w:pPr>
        <w:pStyle w:val="ListBullet"/>
        <w:spacing w:after="60"/>
      </w:pPr>
      <w:r>
        <w:rPr>
          <w:b/>
        </w:rPr>
        <w:t xml:space="preserve">Left = </w:t>
      </w:r>
      <w:r>
        <w:t>the conversation list (unread at top). Middle = the thread. Right = the patient’s details.</w:t>
      </w:r>
    </w:p>
    <w:p>
      <w:pPr>
        <w:pStyle w:val="ListBullet"/>
        <w:spacing w:after="60"/>
      </w:pPr>
      <w:r>
        <w:rPr>
          <w:b/>
        </w:rPr>
        <w:t xml:space="preserve">Filters: Unread / Assigned to me / All </w:t>
      </w:r>
      <w:r>
        <w:t>at the top — live in Unread and Assigned to me.</w:t>
      </w:r>
    </w:p>
    <w:p>
      <w:pPr>
        <w:pStyle w:val="ListBullet"/>
        <w:spacing w:after="60"/>
      </w:pPr>
      <w:r>
        <w:rPr>
          <w:b/>
        </w:rPr>
        <w:t xml:space="preserve">The channel icon </w:t>
      </w:r>
      <w:r>
        <w:t>shows it’s WhatsApp vs SMS/email — all channels, one place.</w:t>
      </w:r>
    </w:p>
    <w:p>
      <w:pPr>
        <w:spacing w:after="40" w:before="0"/>
      </w:pPr>
      <w:r>
        <w:rPr>
          <w:b/>
          <w:i w:val="0"/>
          <w:color w:val="2E5C8A"/>
          <w:sz w:val="21"/>
        </w:rPr>
        <w:t>3 · Reply to a patient</w:t>
      </w:r>
    </w:p>
    <w:p>
      <w:pPr>
        <w:pStyle w:val="ListBullet"/>
        <w:spacing w:after="60"/>
      </w:pPr>
      <w:r>
        <w:t>Open a conversation → type in the box at the bottom → Send.</w:t>
      </w:r>
    </w:p>
    <w:p>
      <w:pPr>
        <w:pStyle w:val="ListBullet"/>
        <w:spacing w:after="60"/>
      </w:pPr>
      <w:r>
        <w:rPr>
          <w:b/>
          <w:color w:val="B02A2A"/>
        </w:rPr>
        <w:t xml:space="preserve">The 24-hour window: </w:t>
      </w:r>
      <w:r>
        <w:t>you can free-text for 24 hours after the patient’s last message. After that, WhatsApp only allows an approved template — the box may block you. If a normal reply won’t send, that’s why: use a template to reconnect.</w:t>
      </w:r>
    </w:p>
    <w:p>
      <w:pPr>
        <w:spacing w:after="40" w:before="0"/>
      </w:pPr>
      <w:r>
        <w:rPr>
          <w:b/>
          <w:i w:val="0"/>
          <w:color w:val="B02A2A"/>
          <w:sz w:val="21"/>
        </w:rPr>
        <w:t>4 · Internal notes — the safety lesson</w:t>
      </w:r>
    </w:p>
    <w:p>
      <w:pPr>
        <w:pStyle w:val="ListBullet"/>
        <w:spacing w:after="60"/>
      </w:pPr>
      <w:r>
        <w:t>Leave a note the team sees but the patient never does (“chased Gina re bloods”, “waiting on payment”, “clinical — escalating”).</w:t>
      </w:r>
    </w:p>
    <w:p>
      <w:pPr>
        <w:pStyle w:val="ListBullet"/>
        <w:spacing w:after="60"/>
      </w:pPr>
      <w:r>
        <w:rPr>
          <w:b/>
          <w:color w:val="B02A2A"/>
        </w:rPr>
        <w:t xml:space="preserve">The visual difference: </w:t>
      </w:r>
      <w:r>
        <w:t>a reply-to-patient looks different from an internal note (colour/label/tab). Every time, ask: “Am I talking to the patient, or my team?”</w:t>
      </w:r>
    </w:p>
    <w:p>
      <w:pPr>
        <w:pStyle w:val="ListBullet"/>
        <w:spacing w:after="60"/>
      </w:pPr>
      <w:r>
        <w:rPr>
          <w:b/>
        </w:rPr>
        <w:t xml:space="preserve">Do a live </w:t>
      </w:r>
      <w:r>
        <w:t>demo both ways — show a note stay internal and a reply go out.</w:t>
      </w:r>
    </w:p>
    <w:p>
      <w:pPr>
        <w:spacing w:after="40" w:before="0"/>
      </w:pPr>
      <w:r>
        <w:rPr>
          <w:b/>
          <w:i w:val="0"/>
          <w:color w:val="2E5C8A"/>
          <w:sz w:val="21"/>
        </w:rPr>
        <w:t>5 · Work as a team</w:t>
      </w:r>
    </w:p>
    <w:p>
      <w:pPr>
        <w:pStyle w:val="ListBullet"/>
        <w:spacing w:after="60"/>
      </w:pPr>
      <w:r>
        <w:rPr>
          <w:b/>
        </w:rPr>
        <w:t xml:space="preserve">Assign </w:t>
      </w:r>
      <w:r>
        <w:t>a conversation to yourself when you pick it up, so two PAs don’t double-reply.</w:t>
      </w:r>
    </w:p>
    <w:p>
      <w:pPr>
        <w:pStyle w:val="ListBullet"/>
        <w:spacing w:after="60"/>
      </w:pPr>
      <w:r>
        <w:rPr>
          <w:b/>
        </w:rPr>
        <w:t xml:space="preserve">Mark unread </w:t>
      </w:r>
      <w:r>
        <w:t>to leave it for someone else; @mention a teammate in a note if available.</w:t>
      </w:r>
    </w:p>
    <w:p>
      <w:pPr>
        <w:pStyle w:val="ListBullet"/>
        <w:spacing w:after="60"/>
      </w:pPr>
      <w:r>
        <w:rPr>
          <w:b/>
        </w:rPr>
        <w:t xml:space="preserve">Agree </w:t>
      </w:r>
      <w:r>
        <w:t>the team norm out loud: assign to yourself → internal-note what you did → mark unread if it needs another pair of hands.</w:t>
      </w:r>
    </w:p>
    <w:p>
      <w:pPr>
        <w:spacing w:after="40" w:before="0"/>
      </w:pPr>
      <w:r>
        <w:rPr>
          <w:b/>
          <w:i w:val="0"/>
          <w:color w:val="2E5C8A"/>
          <w:sz w:val="21"/>
        </w:rPr>
        <w:t>6 · Escalation basics (this matters at a clinic)</w:t>
      </w:r>
    </w:p>
    <w:p>
      <w:pPr>
        <w:pStyle w:val="ListBullet"/>
        <w:spacing w:after="60"/>
      </w:pPr>
      <w:r>
        <w:rPr>
          <w:b/>
          <w:color w:val="B02A2A"/>
        </w:rPr>
        <w:t xml:space="preserve">Never answer anything </w:t>
      </w:r>
      <w:r>
        <w:t>clinical — no results, dosing, symptoms, or “is this safe”. Do not answer.</w:t>
      </w:r>
    </w:p>
    <w:p>
      <w:pPr>
        <w:pStyle w:val="ListBullet"/>
        <w:spacing w:after="60"/>
      </w:pPr>
      <w:r>
        <w:rPr>
          <w:b/>
        </w:rPr>
        <w:t xml:space="preserve">Current process (keep doing it): </w:t>
      </w:r>
      <w:r>
        <w:t>copy the message to Dr Gina by email AND paste it onto the patient’s Semble file, then leave an internal note in GHL.</w:t>
      </w:r>
    </w:p>
    <w:p>
      <w:pPr>
        <w:pStyle w:val="ListBullet"/>
        <w:spacing w:after="60"/>
      </w:pPr>
      <w:r>
        <w:rPr>
          <w:b/>
        </w:rPr>
        <w:t xml:space="preserve">Blood results </w:t>
      </w:r>
      <w:r>
        <w:t>are discussed at an appointment — never sent over WhatsApp.</w:t>
      </w:r>
    </w:p>
    <w:p>
      <w:pPr>
        <w:pStyle w:val="ListBullet"/>
        <w:spacing w:after="60"/>
      </w:pPr>
      <w:r>
        <w:rPr>
          <w:b/>
        </w:rPr>
        <w:t xml:space="preserve">Gina’s rule: </w:t>
      </w:r>
      <w:r>
        <w:t>2 short emails max, then it becomes a paid consult.</w:t>
      </w:r>
    </w:p>
    <w:p>
      <w:pPr>
        <w:spacing w:after="40" w:before="0"/>
      </w:pPr>
      <w:r>
        <w:rPr>
          <w:b/>
          <w:i w:val="0"/>
          <w:color w:val="2E5C8A"/>
          <w:sz w:val="21"/>
        </w:rPr>
        <w:t>7 · What is NOT changing tonight</w:t>
      </w:r>
    </w:p>
    <w:p>
      <w:pPr>
        <w:pStyle w:val="ListBullet"/>
        <w:spacing w:after="60"/>
      </w:pPr>
      <w:r>
        <w:rPr>
          <w:b/>
        </w:rPr>
        <w:t xml:space="preserve">Consultations </w:t>
      </w:r>
      <w:r>
        <w:t>and follow-ups are still booked in Semble, exactly as now. Semble still sends the appointment reminders — GHL does nothing there.</w:t>
      </w:r>
    </w:p>
    <w:p>
      <w:pPr>
        <w:pStyle w:val="ListBullet"/>
        <w:spacing w:after="60"/>
      </w:pPr>
      <w:r>
        <w:t>The GHL discovery-call calendar and AI-suggested replies are coming later, each with its own walkthrough.</w:t>
      </w:r>
    </w:p>
    <w:p>
      <w:pPr>
        <w:spacing w:after="40" w:before="0"/>
      </w:pPr>
      <w:r>
        <w:rPr>
          <w:b/>
          <w:i w:val="0"/>
          <w:color w:val="2E5C8A"/>
          <w:sz w:val="21"/>
        </w:rPr>
        <w:t>8 · Wrap</w:t>
      </w:r>
    </w:p>
    <w:p>
      <w:pPr>
        <w:pStyle w:val="ListBullet"/>
        <w:spacing w:after="60"/>
      </w:pPr>
      <w:r>
        <w:t>“This is deliberately simple for now. As you get comfortable we’ll add AI-suggested replies — a PA still approves every one — and the knowledge base. Not today.”</w:t>
      </w:r>
    </w:p>
    <w:p>
      <w:pPr>
        <w:pStyle w:val="ListBullet"/>
        <w:spacing w:after="60"/>
      </w:pPr>
      <w:r>
        <w:t>Promise a Loom recording to rewatch, and that they can WhatsApp you questions.</w:t>
      </w:r>
    </w:p>
    <w:p>
      <w:r>
        <w:br w:type="page"/>
      </w:r>
    </w:p>
    <w:p>
      <w:pPr>
        <w:spacing w:before="200" w:after="80"/>
      </w:pPr>
      <w:r>
        <w:rPr>
          <w:b/>
          <w:color w:val="1F2A44"/>
          <w:sz w:val="26"/>
        </w:rPr>
        <w:t>Q&amp;A Cheat Table — keep this open during the call</w:t>
      </w:r>
    </w:p>
    <w:tbl>
      <w:tblPr>
        <w:tblStyle w:val="TableGrid"/>
        <w:tblW w:type="auto" w:w="0"/>
        <w:tblLook w:firstColumn="1" w:firstRow="1" w:lastColumn="0" w:lastRow="0" w:noHBand="0" w:noVBand="1" w:val="04A0"/>
      </w:tblPr>
      <w:tblGrid>
        <w:gridCol w:w="4320"/>
        <w:gridCol w:w="4320"/>
      </w:tblGrid>
      <w:tr>
        <w:tc>
          <w:tcPr>
            <w:tcW w:type="dxa" w:w="3456"/>
            <w:shd w:val="clear" w:fill="1F2A44"/>
          </w:tcPr>
          <w:p>
            <w:r>
              <w:rPr>
                <w:b/>
                <w:color w:val="FFFFFF"/>
                <w:sz w:val="20"/>
              </w:rPr>
              <w:t>They’ll ask…</w:t>
            </w:r>
          </w:p>
        </w:tc>
        <w:tc>
          <w:tcPr>
            <w:tcW w:type="dxa" w:w="5760"/>
            <w:shd w:val="clear" w:fill="1F2A44"/>
          </w:tcPr>
          <w:p>
            <w:r>
              <w:rPr>
                <w:b/>
                <w:color w:val="FFFFFF"/>
                <w:sz w:val="20"/>
              </w:rPr>
              <w:t>Your answer</w:t>
            </w:r>
          </w:p>
        </w:tc>
      </w:tr>
      <w:tr>
        <w:tc>
          <w:tcPr>
            <w:tcW w:type="dxa" w:w="3456"/>
          </w:tcPr>
          <w:p>
            <w:r>
              <w:rPr>
                <w:b/>
                <w:sz w:val="19"/>
              </w:rPr>
              <w:t>“Does the patient see my note?”</w:t>
            </w:r>
          </w:p>
        </w:tc>
        <w:tc>
          <w:tcPr>
            <w:tcW w:type="dxa" w:w="5760"/>
          </w:tcPr>
          <w:p>
            <w:r>
              <w:rPr>
                <w:sz w:val="19"/>
              </w:rPr>
              <w:t>No — internal notes are team-only. Replies go to the patient. Always check which one you’re in.</w:t>
            </w:r>
          </w:p>
        </w:tc>
      </w:tr>
      <w:tr>
        <w:tc>
          <w:tcPr>
            <w:tcW w:type="dxa" w:w="3456"/>
          </w:tcPr>
          <w:p>
            <w:r>
              <w:rPr>
                <w:b/>
                <w:sz w:val="19"/>
              </w:rPr>
              <w:t>“Why won’t my message send?”</w:t>
            </w:r>
          </w:p>
        </w:tc>
        <w:tc>
          <w:tcPr>
            <w:tcW w:type="dxa" w:w="5760"/>
          </w:tcPr>
          <w:p>
            <w:r>
              <w:rPr>
                <w:sz w:val="19"/>
              </w:rPr>
              <w:t>The 24-hour WhatsApp window has closed — use an approved template to reconnect.</w:t>
            </w:r>
          </w:p>
        </w:tc>
      </w:tr>
      <w:tr>
        <w:tc>
          <w:tcPr>
            <w:tcW w:type="dxa" w:w="3456"/>
          </w:tcPr>
          <w:p>
            <w:r>
              <w:rPr>
                <w:b/>
                <w:sz w:val="19"/>
              </w:rPr>
              <w:t>“What if two of us reply at once?”</w:t>
            </w:r>
          </w:p>
        </w:tc>
        <w:tc>
          <w:tcPr>
            <w:tcW w:type="dxa" w:w="5760"/>
          </w:tcPr>
          <w:p>
            <w:r>
              <w:rPr>
                <w:sz w:val="19"/>
              </w:rPr>
              <w:t>Assign it to yourself when you pick it up — that’s the whole point of the shared inbox.</w:t>
            </w:r>
          </w:p>
        </w:tc>
      </w:tr>
      <w:tr>
        <w:tc>
          <w:tcPr>
            <w:tcW w:type="dxa" w:w="3456"/>
          </w:tcPr>
          <w:p>
            <w:r>
              <w:rPr>
                <w:b/>
                <w:sz w:val="19"/>
              </w:rPr>
              <w:t>“Can it answer patients automatically?”</w:t>
            </w:r>
          </w:p>
        </w:tc>
        <w:tc>
          <w:tcPr>
            <w:tcW w:type="dxa" w:w="5760"/>
          </w:tcPr>
          <w:p>
            <w:r>
              <w:rPr>
                <w:sz w:val="19"/>
              </w:rPr>
              <w:t>Not yet — that’s a later phase, and a human will always approve every AI reply.</w:t>
            </w:r>
          </w:p>
        </w:tc>
      </w:tr>
      <w:tr>
        <w:tc>
          <w:tcPr>
            <w:tcW w:type="dxa" w:w="3456"/>
          </w:tcPr>
          <w:p>
            <w:r>
              <w:rPr>
                <w:b/>
                <w:sz w:val="19"/>
              </w:rPr>
              <w:t>“Where do I book appointments?”</w:t>
            </w:r>
          </w:p>
        </w:tc>
        <w:tc>
          <w:tcPr>
            <w:tcW w:type="dxa" w:w="5760"/>
          </w:tcPr>
          <w:p>
            <w:r>
              <w:rPr>
                <w:sz w:val="19"/>
              </w:rPr>
              <w:t>In Semble, exactly as now. Nothing about booking changes today — tonight is only the WhatsApp inbox.</w:t>
            </w:r>
          </w:p>
        </w:tc>
      </w:tr>
      <w:tr>
        <w:tc>
          <w:tcPr>
            <w:tcW w:type="dxa" w:w="3456"/>
          </w:tcPr>
          <w:p>
            <w:r>
              <w:rPr>
                <w:b/>
                <w:sz w:val="19"/>
              </w:rPr>
              <w:t>“Which number is this?”</w:t>
            </w:r>
          </w:p>
        </w:tc>
        <w:tc>
          <w:tcPr>
            <w:tcW w:type="dxa" w:w="5760"/>
          </w:tcPr>
          <w:p>
            <w:r>
              <w:rPr>
                <w:sz w:val="19"/>
              </w:rPr>
              <w:t>+44 7426 494321 (confirmed). The website still shows an old one — we’re getting the site fixed.</w:t>
            </w:r>
          </w:p>
        </w:tc>
      </w:tr>
      <w:tr>
        <w:tc>
          <w:tcPr>
            <w:tcW w:type="dxa" w:w="3456"/>
          </w:tcPr>
          <w:p>
            <w:r>
              <w:rPr>
                <w:b/>
                <w:sz w:val="19"/>
              </w:rPr>
              <w:t>“What about phone calls / after-hours?”</w:t>
            </w:r>
          </w:p>
        </w:tc>
        <w:tc>
          <w:tcPr>
            <w:tcW w:type="dxa" w:w="5760"/>
          </w:tcPr>
          <w:p>
            <w:r>
              <w:rPr>
                <w:sz w:val="19"/>
              </w:rPr>
              <w:t>Coming later (voice agent) — needs Gina to top up GHL first. Not part of today.</w:t>
            </w:r>
          </w:p>
        </w:tc>
      </w:tr>
      <w:tr>
        <w:tc>
          <w:tcPr>
            <w:tcW w:type="dxa" w:w="3456"/>
          </w:tcPr>
          <w:p>
            <w:r>
              <w:rPr>
                <w:b/>
                <w:sz w:val="19"/>
              </w:rPr>
              <w:t>“Do we still use WhatsApp on our phones?”</w:t>
            </w:r>
          </w:p>
        </w:tc>
        <w:tc>
          <w:tcPr>
            <w:tcW w:type="dxa" w:w="5760"/>
          </w:tcPr>
          <w:p>
            <w:r>
              <w:rPr>
                <w:sz w:val="19"/>
              </w:rPr>
              <w:t>No — from now the clinic inbox lives in GHL so everyone shares it.</w:t>
            </w:r>
          </w:p>
        </w:tc>
      </w:tr>
      <w:tr>
        <w:tc>
          <w:tcPr>
            <w:tcW w:type="dxa" w:w="3456"/>
          </w:tcPr>
          <w:p>
            <w:r>
              <w:rPr>
                <w:b/>
                <w:sz w:val="19"/>
              </w:rPr>
              <w:t>“A patient sent their blood results — what do I do?”</w:t>
            </w:r>
          </w:p>
        </w:tc>
        <w:tc>
          <w:tcPr>
            <w:tcW w:type="dxa" w:w="5760"/>
          </w:tcPr>
          <w:p>
            <w:r>
              <w:rPr>
                <w:sz w:val="19"/>
              </w:rPr>
              <w:t>Don’t interpret them. Escalate: email Gina, paste to the Semble file, internal-note it. Results are discussed at an appointment.</w:t>
            </w:r>
          </w:p>
        </w:tc>
      </w:tr>
    </w:tbl>
    <w:p>
      <w:pPr>
        <w:spacing w:before="200" w:after="80"/>
      </w:pPr>
      <w:r>
        <w:rPr>
          <w:b/>
          <w:color w:val="1F2A44"/>
          <w:sz w:val="26"/>
        </w:rPr>
        <w:t>After the call</w:t>
      </w:r>
    </w:p>
    <w:p>
      <w:pPr>
        <w:pStyle w:val="ListBullet"/>
        <w:spacing w:after="60"/>
      </w:pPr>
      <w:r>
        <w:rPr>
          <w:b/>
        </w:rPr>
        <w:t xml:space="preserve">Record </w:t>
      </w:r>
      <w:r>
        <w:t>the Loom (screen-share the same flow) and send it to the team.</w:t>
      </w:r>
    </w:p>
    <w:p>
      <w:pPr>
        <w:pStyle w:val="ListBullet"/>
        <w:spacing w:after="60"/>
      </w:pPr>
      <w:r>
        <w:rPr>
          <w:b/>
        </w:rPr>
        <w:t xml:space="preserve">Send </w:t>
      </w:r>
      <w:r>
        <w:t>Griffin/Mati a 2-line note: went live, who attended, any confusion, number-mismatch status.</w:t>
      </w:r>
    </w:p>
    <w:p>
      <w:pPr>
        <w:pStyle w:val="ListBullet"/>
        <w:spacing w:after="60"/>
      </w:pPr>
      <w:r>
        <w:rPr>
          <w:b/>
        </w:rPr>
        <w:t xml:space="preserve">Log </w:t>
      </w:r>
      <w:r>
        <w:t>any “how do I…” gaps to feed the written SOP.</w:t>
      </w:r>
    </w:p>
    <w:p>
      <w:pPr>
        <w:spacing w:after="120" w:before="160"/>
      </w:pPr>
    </w:p>
    <w:p>
      <w:pPr>
        <w:spacing w:after="120" w:before="0"/>
      </w:pPr>
      <w:r>
        <w:rPr>
          <w:b w:val="0"/>
          <w:i/>
          <w:color w:val="555555"/>
          <w:sz w:val="17"/>
        </w:rPr>
        <w:t>Prepared for Jess Morrell · WILBA (wilba.ai) · 13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