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/>
      </w:pPr>
      <w:r>
        <w:rPr>
          <w:b/>
          <w:i w:val="0"/>
          <w:color w:val="142A28"/>
          <w:sz w:val="38"/>
        </w:rPr>
        <w:t>The Schoeman Clinic</w:t>
      </w:r>
    </w:p>
    <w:p>
      <w:pPr>
        <w:spacing w:after="60" w:before="0"/>
      </w:pPr>
      <w:r>
        <w:rPr>
          <w:b/>
          <w:i w:val="0"/>
          <w:color w:val="0E6E68"/>
          <w:sz w:val="26"/>
        </w:rPr>
        <w:t>Dr Gina — Call Prep &amp; Outline</w:t>
      </w:r>
    </w:p>
    <w:p>
      <w:pPr>
        <w:spacing w:after="40" w:before="0"/>
      </w:pPr>
      <w:r>
        <w:rPr>
          <w:color w:val="55605F"/>
          <w:sz w:val="19"/>
        </w:rPr>
        <w:t>Wednesday · 8pm Bali / 2pm SAST · Jess + Dr Gina · ~45 min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AF1FA"/>
          </w:tcPr>
          <w:p>
            <w:r>
              <w:rPr>
                <w:b/>
                <w:color w:val="0B534E"/>
                <w:sz w:val="19"/>
              </w:rPr>
              <w:t>WHAT WE WANT OUT OF THIS CALL</w:t>
            </w:r>
          </w:p>
          <w:p>
            <w:pPr>
              <w:spacing w:after="0"/>
            </w:pPr>
            <w:r>
              <w:rPr>
                <w:sz w:val="20"/>
              </w:rPr>
              <w:t>1. Finish the last few knowledge-base questions</w:t>
            </w:r>
          </w:p>
          <w:p>
            <w:pPr>
              <w:spacing w:after="0"/>
            </w:pPr>
            <w:r>
              <w:rPr>
                <w:sz w:val="20"/>
              </w:rPr>
              <w:t>2. Lock the escalation rules — the big one (what PAs handle vs what is clinical/sensitive)</w:t>
            </w:r>
          </w:p>
          <w:p>
            <w:pPr>
              <w:spacing w:after="0"/>
            </w:pPr>
            <w:r>
              <w:rPr>
                <w:sz w:val="20"/>
              </w:rPr>
              <w:t>3. Walk Gina through the social audit + hear her direction</w:t>
            </w:r>
          </w:p>
          <w:p>
            <w:pPr>
              <w:spacing w:after="0"/>
            </w:pPr>
            <w:r>
              <w:rPr>
                <w:sz w:val="20"/>
              </w:rPr>
              <w:t>4. Request the access / analytics we need to keep going</w:t>
            </w:r>
          </w:p>
        </w:tc>
      </w:tr>
    </w:tbl>
    <w:p>
      <w:pPr>
        <w:spacing w:after="80" w:before="0"/>
      </w:pPr>
    </w:p>
    <w:p>
      <w:pPr>
        <w:spacing w:before="240" w:after="60"/>
      </w:pPr>
      <w:r>
        <w:rPr>
          <w:b/>
          <w:color w:val="142A28"/>
          <w:sz w:val="27"/>
        </w:rPr>
        <w:t>Agenda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40"/>
            <w:shd w:val="clear" w:fill="142A28"/>
          </w:tcPr>
          <w:p>
            <w:r>
              <w:rPr>
                <w:b/>
                <w:color w:val="FFFFFF"/>
                <w:sz w:val="19"/>
              </w:rPr>
              <w:t>Time</w:t>
            </w:r>
          </w:p>
        </w:tc>
        <w:tc>
          <w:tcPr>
            <w:tcW w:type="dxa" w:w="7200"/>
            <w:shd w:val="clear" w:fill="142A28"/>
          </w:tcPr>
          <w:p>
            <w:r>
              <w:rPr>
                <w:b/>
                <w:color w:val="FFFFFF"/>
                <w:sz w:val="19"/>
              </w:rPr>
              <w:t>Item</w:t>
            </w:r>
          </w:p>
        </w:tc>
      </w:tr>
      <w:tr>
        <w:tc>
          <w:tcPr>
            <w:tcW w:type="dxa" w:w="1440"/>
          </w:tcPr>
          <w:p>
            <w:pPr>
              <w:spacing w:after="20"/>
            </w:pPr>
            <w:r>
              <w:rPr>
                <w:b/>
                <w:color w:val="0E6E68"/>
                <w:sz w:val="19"/>
              </w:rPr>
              <w:t>3 min</w:t>
            </w:r>
          </w:p>
        </w:tc>
        <w:tc>
          <w:tcPr>
            <w:tcW w:type="dxa" w:w="7200"/>
          </w:tcPr>
          <w:p>
            <w:pPr>
              <w:spacing w:after="20"/>
            </w:pPr>
            <w:r>
              <w:rPr>
                <w:sz w:val="19"/>
              </w:rPr>
              <w:t>Warm intro + what we’ll cover</w:t>
            </w:r>
          </w:p>
        </w:tc>
      </w:tr>
      <w:tr>
        <w:tc>
          <w:tcPr>
            <w:tcW w:type="dxa" w:w="1440"/>
          </w:tcPr>
          <w:p>
            <w:pPr>
              <w:spacing w:after="20"/>
            </w:pPr>
            <w:r>
              <w:rPr>
                <w:b/>
                <w:color w:val="0E6E68"/>
                <w:sz w:val="19"/>
              </w:rPr>
              <w:t>12 min</w:t>
            </w:r>
          </w:p>
        </w:tc>
        <w:tc>
          <w:tcPr>
            <w:tcW w:type="dxa" w:w="7200"/>
          </w:tcPr>
          <w:p>
            <w:pPr>
              <w:spacing w:after="20"/>
            </w:pPr>
            <w:r>
              <w:rPr>
                <w:sz w:val="19"/>
              </w:rPr>
              <w:t>Finish the knowledge base (quick-fire)</w:t>
            </w:r>
          </w:p>
        </w:tc>
      </w:tr>
      <w:tr>
        <w:tc>
          <w:tcPr>
            <w:tcW w:type="dxa" w:w="1440"/>
          </w:tcPr>
          <w:p>
            <w:pPr>
              <w:spacing w:after="20"/>
            </w:pPr>
            <w:r>
              <w:rPr>
                <w:b/>
                <w:color w:val="0E6E68"/>
                <w:sz w:val="19"/>
              </w:rPr>
              <w:t>18 min</w:t>
            </w:r>
          </w:p>
        </w:tc>
        <w:tc>
          <w:tcPr>
            <w:tcW w:type="dxa" w:w="7200"/>
          </w:tcPr>
          <w:p>
            <w:pPr>
              <w:spacing w:after="20"/>
            </w:pPr>
            <w:r>
              <w:rPr>
                <w:sz w:val="19"/>
              </w:rPr>
              <w:t>Lock the escalation rules</w:t>
            </w:r>
          </w:p>
        </w:tc>
      </w:tr>
      <w:tr>
        <w:tc>
          <w:tcPr>
            <w:tcW w:type="dxa" w:w="1440"/>
          </w:tcPr>
          <w:p>
            <w:pPr>
              <w:spacing w:after="20"/>
            </w:pPr>
            <w:r>
              <w:rPr>
                <w:b/>
                <w:color w:val="0E6E68"/>
                <w:sz w:val="19"/>
              </w:rPr>
              <w:t>8 min</w:t>
            </w:r>
          </w:p>
        </w:tc>
        <w:tc>
          <w:tcPr>
            <w:tcW w:type="dxa" w:w="7200"/>
          </w:tcPr>
          <w:p>
            <w:pPr>
              <w:spacing w:after="20"/>
            </w:pPr>
            <w:r>
              <w:rPr>
                <w:sz w:val="19"/>
              </w:rPr>
              <w:t>Social audit + Gina’s direction</w:t>
            </w:r>
          </w:p>
        </w:tc>
      </w:tr>
      <w:tr>
        <w:tc>
          <w:tcPr>
            <w:tcW w:type="dxa" w:w="1440"/>
          </w:tcPr>
          <w:p>
            <w:pPr>
              <w:spacing w:after="20"/>
            </w:pPr>
            <w:r>
              <w:rPr>
                <w:b/>
                <w:color w:val="0E6E68"/>
                <w:sz w:val="19"/>
              </w:rPr>
              <w:t>4 min</w:t>
            </w:r>
          </w:p>
        </w:tc>
        <w:tc>
          <w:tcPr>
            <w:tcW w:type="dxa" w:w="7200"/>
          </w:tcPr>
          <w:p>
            <w:pPr>
              <w:spacing w:after="20"/>
            </w:pPr>
            <w:r>
              <w:rPr>
                <w:sz w:val="19"/>
              </w:rPr>
              <w:t>Access/permissions + next steps</w:t>
            </w:r>
          </w:p>
        </w:tc>
      </w:tr>
    </w:tbl>
    <w:p>
      <w:pPr>
        <w:spacing w:before="240" w:after="60"/>
      </w:pPr>
      <w:r>
        <w:rPr>
          <w:b/>
          <w:color w:val="142A28"/>
          <w:sz w:val="27"/>
        </w:rPr>
        <w:t>1 · Finish the knowledge base (quick-fire)</w:t>
      </w:r>
    </w:p>
    <w:p>
      <w:pPr>
        <w:spacing w:after="60" w:before="0"/>
      </w:pPr>
      <w:r>
        <w:rPr>
          <w:b w:val="0"/>
          <w:i/>
          <w:color w:val="55605F"/>
          <w:sz w:val="21"/>
        </w:rPr>
        <w:t>Keep this brisk — quick-fire the ones that need her voice; anything that needs thought, she can pop into the doc afterwards.</w:t>
      </w:r>
    </w:p>
    <w:p>
      <w:pPr>
        <w:spacing w:after="20" w:before="0"/>
      </w:pPr>
      <w:r>
        <w:rPr>
          <w:b/>
          <w:i w:val="0"/>
          <w:sz w:val="21"/>
        </w:rPr>
        <w:t>Services &amp; patients</w:t>
      </w:r>
    </w:p>
    <w:p>
      <w:pPr>
        <w:pStyle w:val="ListBullet"/>
        <w:spacing w:after="60"/>
      </w:pPr>
      <w:r>
        <w:rPr>
          <w:b/>
          <w:color w:val="0E6E68"/>
        </w:rPr>
        <w:t xml:space="preserve">Q  </w:t>
      </w:r>
      <w:r>
        <w:t>Top 3–5 reasons people enquire (by volume)? Anything niche?</w:t>
      </w:r>
    </w:p>
    <w:p>
      <w:pPr>
        <w:pStyle w:val="ListBullet"/>
        <w:spacing w:after="60"/>
      </w:pPr>
      <w:r>
        <w:rPr>
          <w:b/>
          <w:color w:val="0E6E68"/>
        </w:rPr>
        <w:t xml:space="preserve">Q  </w:t>
      </w:r>
      <w:r>
        <w:t>Anything people ask for that you DON’T offer — how should we politely decline?</w:t>
      </w:r>
    </w:p>
    <w:p>
      <w:pPr>
        <w:spacing w:after="20" w:before="0"/>
      </w:pPr>
      <w:r>
        <w:rPr>
          <w:b/>
          <w:i w:val="0"/>
          <w:sz w:val="21"/>
        </w:rPr>
        <w:t>Blood tests &amp; pricing</w:t>
      </w:r>
    </w:p>
    <w:p>
      <w:pPr>
        <w:pStyle w:val="ListBullet"/>
        <w:spacing w:after="60"/>
      </w:pPr>
      <w:r>
        <w:rPr>
          <w:b/>
          <w:color w:val="0E6E68"/>
        </w:rPr>
        <w:t xml:space="preserve">Q  </w:t>
      </w:r>
      <w:r>
        <w:t>Rough blood-panel cost + turnaround per path (TDL London / home kit / own results)?</w:t>
      </w:r>
    </w:p>
    <w:p>
      <w:pPr>
        <w:pStyle w:val="ListBullet"/>
        <w:spacing w:after="60"/>
      </w:pPr>
      <w:r>
        <w:rPr>
          <w:b/>
          <w:color w:val="0E6E68"/>
        </w:rPr>
        <w:t xml:space="preserve">Q  </w:t>
      </w:r>
      <w:r>
        <w:t>Home kit — what’s in it, how do they return it?</w:t>
      </w:r>
    </w:p>
    <w:p>
      <w:pPr>
        <w:pStyle w:val="ListBullet"/>
        <w:spacing w:after="60"/>
      </w:pPr>
      <w:r>
        <w:rPr>
          <w:b/>
          <w:color w:val="0E6E68"/>
        </w:rPr>
        <w:t xml:space="preserve">Q  </w:t>
      </w:r>
      <w:r>
        <w:t>Refund/cancellation once a blood test is paid but they don’t proceed?</w:t>
      </w:r>
    </w:p>
    <w:p>
      <w:pPr>
        <w:spacing w:after="20" w:before="0"/>
      </w:pPr>
      <w:r>
        <w:rPr>
          <w:b/>
          <w:i w:val="0"/>
          <w:sz w:val="21"/>
        </w:rPr>
        <w:t>Pharmacies &amp; supplements</w:t>
      </w:r>
    </w:p>
    <w:p>
      <w:pPr>
        <w:pStyle w:val="ListBullet"/>
        <w:spacing w:after="60"/>
      </w:pPr>
      <w:r>
        <w:rPr>
          <w:b/>
          <w:color w:val="0E6E68"/>
        </w:rPr>
        <w:t xml:space="preserve">Q  </w:t>
      </w:r>
      <w:r>
        <w:t>When do you use Zen vs a compounding pharmacy — always the doctor’s call?</w:t>
      </w:r>
    </w:p>
    <w:p>
      <w:pPr>
        <w:pStyle w:val="ListBullet"/>
        <w:spacing w:after="60"/>
      </w:pPr>
      <w:r>
        <w:rPr>
          <w:b/>
          <w:color w:val="0E6E68"/>
        </w:rPr>
        <w:t xml:space="preserve">Q  </w:t>
      </w:r>
      <w:r>
        <w:t>OK for the AI to share the Gut Map code (DRGINA) and the “check your spam” line for Nordic/Vibrant/Natural Dispensary?</w:t>
      </w:r>
    </w:p>
    <w:p>
      <w:pPr>
        <w:spacing w:after="20" w:before="0"/>
      </w:pPr>
      <w:r>
        <w:rPr>
          <w:b/>
          <w:i w:val="0"/>
          <w:sz w:val="21"/>
        </w:rPr>
        <w:t>Future-proofing (§14)</w:t>
      </w:r>
    </w:p>
    <w:p>
      <w:pPr>
        <w:pStyle w:val="ListBullet"/>
        <w:spacing w:after="60"/>
      </w:pPr>
      <w:r>
        <w:rPr>
          <w:b/>
          <w:color w:val="0E6E68"/>
        </w:rPr>
        <w:t xml:space="preserve">Q  </w:t>
      </w:r>
      <w:r>
        <w:t>How often do prices / partners change, and what’s the easiest way to get updates to us?</w:t>
      </w:r>
    </w:p>
    <w:p>
      <w:pPr>
        <w:pStyle w:val="ListBullet"/>
        <w:spacing w:after="60"/>
      </w:pPr>
      <w:r>
        <w:rPr>
          <w:b/>
          <w:color w:val="0E6E68"/>
        </w:rPr>
        <w:t xml:space="preserve">Q  </w:t>
      </w:r>
      <w:r>
        <w:t>Best way for the PAs to flag “the AI got this wrong” once it’s live?</w:t>
      </w:r>
    </w:p>
    <w:p>
      <w:pPr>
        <w:spacing w:before="240" w:after="60"/>
      </w:pPr>
      <w:r>
        <w:rPr>
          <w:b/>
          <w:color w:val="A33A2C"/>
          <w:sz w:val="27"/>
        </w:rPr>
        <w:t>2 · Lock the escalation rules  (THE PRIORITY)</w:t>
      </w:r>
    </w:p>
    <w:p>
      <w:pPr>
        <w:spacing w:after="60" w:before="0"/>
      </w:pPr>
      <w:r>
        <w:rPr>
          <w:b w:val="0"/>
          <w:i/>
          <w:sz w:val="21"/>
        </w:rPr>
        <w:t>Goal: give the PAs ONE clear line so they always know what they can handle vs what must go to a clinician — confident team, nothing sensitive mishandled. This becomes the staff SOP.</w:t>
      </w:r>
    </w:p>
    <w:p>
      <w:pPr>
        <w:pStyle w:val="ListBullet"/>
        <w:spacing w:after="60"/>
      </w:pPr>
      <w:r>
        <w:rPr>
          <w:b/>
          <w:color w:val="0E6E68"/>
        </w:rPr>
        <w:t xml:space="preserve">Q  </w:t>
      </w:r>
      <w:r>
        <w:t>Give me 2–3 examples of questions that SOUND operational but are actually clinical and must escalate.</w:t>
      </w:r>
    </w:p>
    <w:p>
      <w:pPr>
        <w:pStyle w:val="ListBullet"/>
        <w:spacing w:after="60"/>
      </w:pPr>
      <w:r>
        <w:rPr>
          <w:b/>
          <w:color w:val="0E6E68"/>
        </w:rPr>
        <w:t xml:space="preserve">Q  </w:t>
      </w:r>
      <w:r>
        <w:t>Prescriptions: exactly what should the PA check before processing a repeat? (current patient? follow-up due per the treatment plan? what if they’re overdue?)</w:t>
      </w:r>
    </w:p>
    <w:p>
      <w:pPr>
        <w:pStyle w:val="ListBullet"/>
        <w:spacing w:after="60"/>
      </w:pPr>
      <w:r>
        <w:rPr>
          <w:b/>
          <w:color w:val="0E6E68"/>
        </w:rPr>
        <w:t xml:space="preserve">Q  </w:t>
      </w:r>
      <w:r>
        <w:t>Blood results — confirm: always to the clinician, never sent to the patient?</w:t>
      </w:r>
    </w:p>
    <w:p>
      <w:pPr>
        <w:pStyle w:val="ListBullet"/>
        <w:spacing w:after="60"/>
      </w:pPr>
      <w:r>
        <w:rPr>
          <w:b/>
          <w:color w:val="0E6E68"/>
        </w:rPr>
        <w:t xml:space="preserve">Q  </w:t>
      </w:r>
      <w:r>
        <w:t>Sensitive categories (mental health, safeguarding, self-harm): what should trigger an URGENT human flag, who is alerted instantly, and what holding line does the patient get?</w:t>
      </w:r>
    </w:p>
    <w:p>
      <w:pPr>
        <w:pStyle w:val="ListBullet"/>
        <w:spacing w:after="60"/>
      </w:pPr>
      <w:r>
        <w:rPr>
          <w:b/>
          <w:color w:val="0E6E68"/>
        </w:rPr>
        <w:t xml:space="preserve">Q  </w:t>
      </w:r>
      <w:r>
        <w:t>Doctor oversight: how would you like to see each doctor’s open queries — a daily digest, a shared view, or an alert if something’s unanswered for X hours?</w:t>
      </w:r>
    </w:p>
    <w:p>
      <w:pPr>
        <w:pStyle w:val="ListBullet"/>
        <w:spacing w:after="60"/>
      </w:pPr>
      <w:r>
        <w:rPr>
          <w:b/>
          <w:color w:val="0E6E68"/>
        </w:rPr>
        <w:t xml:space="preserve">Q  </w:t>
      </w:r>
      <w:r>
        <w:t>The “2 short emails then it becomes a consultation” rule — confirm the trigger + wording.</w:t>
      </w:r>
    </w:p>
    <w:p>
      <w:pPr>
        <w:pStyle w:val="ListBullet"/>
        <w:spacing w:after="60"/>
      </w:pPr>
      <w:r>
        <w:rPr>
          <w:b/>
          <w:color w:val="0E6E68"/>
        </w:rPr>
        <w:t xml:space="preserve">Q  </w:t>
      </w:r>
      <w:r>
        <w:t>The hard list: what must the AI NEVER answer, full stop?</w:t>
      </w:r>
    </w:p>
    <w:p>
      <w:pPr>
        <w:spacing w:after="120" w:before="40"/>
      </w:pPr>
      <w:r>
        <w:rPr>
          <w:b w:val="0"/>
          <w:i/>
          <w:color w:val="55605F"/>
          <w:sz w:val="21"/>
        </w:rPr>
        <w:t>Capture the answers live — these go straight into the SOP + the AI guardrails.</w:t>
      </w:r>
    </w:p>
    <w:p>
      <w:pPr>
        <w:spacing w:before="240" w:after="60"/>
      </w:pPr>
      <w:r>
        <w:rPr>
          <w:b/>
          <w:color w:val="142A28"/>
          <w:sz w:val="27"/>
        </w:rPr>
        <w:t>3 · Social audit + direction</w:t>
      </w:r>
    </w:p>
    <w:p>
      <w:pPr>
        <w:spacing w:after="40" w:before="0"/>
      </w:pPr>
      <w:r>
        <w:rPr>
          <w:b w:val="0"/>
          <w:i w:val="0"/>
          <w:sz w:val="21"/>
        </w:rPr>
        <w:t>Walk Gina through your audit, then listen. Cover:</w:t>
      </w:r>
    </w:p>
    <w:p>
      <w:pPr>
        <w:pStyle w:val="ListBullet"/>
        <w:spacing w:after="40"/>
      </w:pPr>
      <w:r>
        <w:rPr>
          <w:b/>
        </w:rPr>
        <w:t xml:space="preserve">Snapshot: </w:t>
      </w:r>
      <w:r>
        <w:t>where things stand now (Instagram / Facebook / followers / consistency / what the site says)</w:t>
      </w:r>
    </w:p>
    <w:p>
      <w:pPr>
        <w:pStyle w:val="ListBullet"/>
        <w:spacing w:after="40"/>
      </w:pPr>
      <w:r>
        <w:rPr>
          <w:b/>
        </w:rPr>
        <w:t xml:space="preserve">Findings: </w:t>
      </w:r>
      <w:r>
        <w:t>what’s working, the gaps, and 2–3 quick wins</w:t>
      </w:r>
    </w:p>
    <w:p>
      <w:pPr>
        <w:pStyle w:val="ListBullet"/>
        <w:spacing w:after="40"/>
      </w:pPr>
      <w:r>
        <w:rPr>
          <w:b/>
          <w:color w:val="0E6E68"/>
        </w:rPr>
        <w:t xml:space="preserve">Your line: </w:t>
      </w:r>
      <w:r>
        <w:t>foundation first — get ops + the new doctors solid and the brand polished, THEN scale marketing. Be honest that followers ≠ revenue; branding before ad-spend until capacity’s there.</w:t>
      </w:r>
    </w:p>
    <w:p>
      <w:pPr>
        <w:pStyle w:val="ListBullet"/>
        <w:spacing w:after="40"/>
      </w:pPr>
      <w:r>
        <w:rPr>
          <w:b/>
        </w:rPr>
        <w:t xml:space="preserve">Land on: </w:t>
      </w:r>
      <w:r>
        <w:t>hear where SHE wants to take it, then agree ONE next step — don’t overcommit.</w:t>
      </w:r>
    </w:p>
    <w:p>
      <w:pPr>
        <w:spacing w:after="120" w:before="20"/>
      </w:pPr>
      <w:r>
        <w:rPr>
          <w:b w:val="0"/>
          <w:i/>
          <w:color w:val="55605F"/>
          <w:sz w:val="21"/>
        </w:rPr>
        <w:t>(Drop your actual audit findings in here before the call.)</w:t>
      </w:r>
    </w:p>
    <w:p>
      <w:pPr>
        <w:spacing w:before="240" w:after="60"/>
      </w:pPr>
      <w:r>
        <w:rPr>
          <w:b/>
          <w:color w:val="142A28"/>
          <w:sz w:val="27"/>
        </w:rPr>
        <w:t>4 · Access &amp; permissions to request</w:t>
      </w:r>
    </w:p>
    <w:p>
      <w:pPr>
        <w:spacing w:after="40" w:before="0"/>
      </w:pPr>
      <w:r>
        <w:rPr>
          <w:b w:val="0"/>
          <w:i/>
          <w:color w:val="55605F"/>
          <w:sz w:val="21"/>
        </w:rPr>
        <w:t>Frame as view / analytics access so you can do the audit properly and report on it — scoped, nothing more than needed.</w:t>
      </w:r>
    </w:p>
    <w:p>
      <w:pPr>
        <w:pStyle w:val="ListBullet"/>
        <w:spacing w:after="40"/>
      </w:pPr>
      <w:r>
        <w:rPr>
          <w:b/>
        </w:rPr>
        <w:t xml:space="preserve">Meta Business Manager access </w:t>
      </w:r>
      <w:r>
        <w:t>(Instagram + Facebook) — for analytics, and it’s needed for the WhatsApp verification anyway</w:t>
      </w:r>
    </w:p>
    <w:p>
      <w:pPr>
        <w:pStyle w:val="ListBullet"/>
        <w:spacing w:after="40"/>
      </w:pPr>
      <w:r>
        <w:rPr>
          <w:b/>
        </w:rPr>
        <w:t xml:space="preserve">Website analytics </w:t>
      </w:r>
      <w:r>
        <w:t>(Google Analytics) so we can see traffic + where enquiries come from</w:t>
      </w:r>
    </w:p>
    <w:p>
      <w:pPr>
        <w:pStyle w:val="ListBullet"/>
        <w:spacing w:after="40"/>
      </w:pPr>
      <w:r>
        <w:rPr>
          <w:b/>
        </w:rPr>
        <w:t xml:space="preserve">Google Business Profile </w:t>
      </w:r>
      <w:r>
        <w:t>for local search visibility</w:t>
      </w:r>
    </w:p>
    <w:p>
      <w:pPr>
        <w:pStyle w:val="ListBullet"/>
        <w:spacing w:after="40"/>
      </w:pPr>
      <w:r>
        <w:rPr>
          <w:b/>
        </w:rPr>
        <w:t xml:space="preserve">Current social scheduling tool </w:t>
      </w:r>
      <w:r>
        <w:t>if any — plus a quick sense of the scope of the Marianne arrangement</w:t>
      </w:r>
    </w:p>
    <w:p>
      <w:pPr>
        <w:pStyle w:val="ListBullet"/>
        <w:spacing w:after="40"/>
      </w:pPr>
      <w:r>
        <w:rPr>
          <w:b/>
        </w:rPr>
        <w:t xml:space="preserve">Brand assets: </w:t>
      </w:r>
      <w:r>
        <w:t>logo, fonts, approved photos, any tone/brand guide</w:t>
      </w:r>
    </w:p>
    <w:p>
      <w:pPr>
        <w:spacing w:before="240" w:after="60"/>
      </w:pPr>
      <w:r>
        <w:rPr>
          <w:b/>
          <w:color w:val="142A28"/>
          <w:sz w:val="27"/>
        </w:rPr>
        <w:t>Close &amp; next steps</w:t>
      </w:r>
    </w:p>
    <w:p>
      <w:pPr>
        <w:pStyle w:val="ListBullet"/>
        <w:spacing w:after="40"/>
      </w:pPr>
      <w:r>
        <w:t>Recap the escalation rules agreed → into the SOP</w:t>
      </w:r>
    </w:p>
    <w:p>
      <w:pPr>
        <w:pStyle w:val="ListBullet"/>
        <w:spacing w:after="40"/>
      </w:pPr>
      <w:r>
        <w:t>Confirm which KB items Gina will finish in the doc</w:t>
      </w:r>
    </w:p>
    <w:p>
      <w:pPr>
        <w:pStyle w:val="ListBullet"/>
        <w:spacing w:after="40"/>
      </w:pPr>
      <w:r>
        <w:t>Agree the one social next step</w:t>
      </w:r>
    </w:p>
    <w:p>
      <w:pPr>
        <w:pStyle w:val="ListBullet"/>
        <w:spacing w:after="40"/>
      </w:pPr>
      <w:r>
        <w:t>Send calendar invite / confirm the follow-up</w:t>
      </w:r>
    </w:p>
    <w:p>
      <w:pPr>
        <w:spacing w:after="120" w:before="160"/>
      </w:pPr>
    </w:p>
    <w:p>
      <w:pPr>
        <w:spacing w:after="120" w:before="0"/>
      </w:pPr>
      <w:r>
        <w:rPr>
          <w:b w:val="0"/>
          <w:i/>
          <w:color w:val="55605F"/>
          <w:sz w:val="17"/>
        </w:rPr>
        <w:t>Prepared for Jess Morrell · WILBA (wilba.ai)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