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color w:val="0E6E68"/>
          <w:sz w:val="24"/>
        </w:rPr>
        <w:t>DR GINA CALL — YOUR PREP</w:t>
      </w:r>
    </w:p>
    <w:p>
      <w:pPr>
        <w:spacing w:after="20" w:before="0"/>
      </w:pPr>
      <w:r>
        <w:rPr>
          <w:b/>
          <w:i w:val="0"/>
          <w:color w:val="142A28"/>
          <w:sz w:val="36"/>
        </w:rPr>
        <w:t>Private reference — not for screen-share</w:t>
      </w:r>
    </w:p>
    <w:p>
      <w:pPr>
        <w:spacing w:after="160" w:before="0"/>
      </w:pPr>
      <w:r>
        <w:rPr>
          <w:b w:val="0"/>
          <w:i/>
          <w:color w:val="55605F"/>
          <w:sz w:val="21"/>
        </w:rPr>
        <w:t>Wednesday · 8pm Bali / 2pm SAST · pair this with the clean "Working Session" doc you share with Gina</w:t>
      </w:r>
    </w:p>
    <w:p>
      <w:pPr>
        <w:spacing w:before="260" w:after="60"/>
        <w:pBdr>
          <w:bottom w:val="single" w:sz="6" w:space="2" w:color="C9D2DE"/>
        </w:pBdr>
      </w:pPr>
      <w:r>
        <w:rPr>
          <w:b/>
          <w:color w:val="142A28"/>
          <w:sz w:val="28"/>
        </w:rPr>
        <w:t>1 · Where the whole project is up to</w:t>
      </w:r>
    </w:p>
    <w:p>
      <w:pPr>
        <w:spacing w:before="160" w:after="40"/>
      </w:pPr>
      <w:r>
        <w:rPr>
          <w:b/>
          <w:color w:val="0B534E"/>
          <w:sz w:val="22"/>
        </w:rPr>
        <w:t>Live now</w:t>
      </w:r>
    </w:p>
    <w:p>
      <w:pPr>
        <w:pStyle w:val="ListBullet"/>
        <w:spacing w:after="40"/>
      </w:pPr>
      <w:r>
        <w:rPr>
          <w:b/>
          <w:color w:val="2E6B4F"/>
        </w:rPr>
        <w:t xml:space="preserve">Shared inbox: </w:t>
      </w:r>
      <w:r>
        <w:t>the PA team is trained and working patient WhatsApps in GoHighLevel.</w:t>
      </w:r>
    </w:p>
    <w:p>
      <w:pPr>
        <w:spacing w:before="160" w:after="40"/>
      </w:pPr>
      <w:r>
        <w:rPr>
          <w:b/>
          <w:color w:val="0B534E"/>
          <w:sz w:val="22"/>
        </w:rPr>
        <w:t>In progress</w:t>
      </w:r>
    </w:p>
    <w:p>
      <w:pPr>
        <w:pStyle w:val="ListBullet"/>
        <w:spacing w:after="40"/>
      </w:pPr>
      <w:r>
        <w:rPr>
          <w:b/>
        </w:rPr>
        <w:t xml:space="preserve">Knowledge base: </w:t>
      </w:r>
      <w:r>
        <w:t>sessions 1–2 done, Gina answered a big batch by email; tonight (Session 3) finishes it + locks escalation. You own this.</w:t>
      </w:r>
    </w:p>
    <w:p>
      <w:pPr>
        <w:pStyle w:val="ListBullet"/>
        <w:spacing w:after="40"/>
      </w:pPr>
      <w:r>
        <w:rPr>
          <w:b/>
        </w:rPr>
        <w:t xml:space="preserve">Contact migration (Semble → GHL): </w:t>
      </w:r>
      <w:r>
        <w:t>matching existing patients (email + phone) into GHL; ready to run, waiting on Mati’s go.</w:t>
      </w:r>
    </w:p>
    <w:p>
      <w:pPr>
        <w:pStyle w:val="ListBullet"/>
        <w:spacing w:after="40"/>
      </w:pPr>
      <w:r>
        <w:rPr>
          <w:b/>
        </w:rPr>
        <w:t xml:space="preserve">Letters / newsletter: </w:t>
      </w:r>
      <w:r>
        <w:t>generic letter password removed; personalised clinical summary keeps its protection. Newsletter mobile rendering being tweaked.</w:t>
      </w:r>
    </w:p>
    <w:p>
      <w:pPr>
        <w:spacing w:before="160" w:after="40"/>
      </w:pPr>
      <w:r>
        <w:rPr>
          <w:b/>
          <w:color w:val="0B534E"/>
          <w:sz w:val="22"/>
        </w:rPr>
        <w:t>Paused (deliberately)</w:t>
      </w:r>
    </w:p>
    <w:p>
      <w:pPr>
        <w:pStyle w:val="ListBullet"/>
        <w:spacing w:after="40"/>
      </w:pPr>
      <w:r>
        <w:rPr>
          <w:b/>
          <w:color w:val="8A5A0C"/>
        </w:rPr>
        <w:t xml:space="preserve">Patient journey: </w:t>
      </w:r>
      <w:r>
        <w:t>the new-patient journey automations are switched OFF until the new website + copy + blood-test barcode are ready. Website has moved to a new provider, so this timeline reset.</w:t>
      </w:r>
    </w:p>
    <w:p>
      <w:pPr>
        <w:spacing w:before="160" w:after="40"/>
      </w:pPr>
      <w:r>
        <w:rPr>
          <w:b/>
          <w:color w:val="0B534E"/>
          <w:sz w:val="22"/>
        </w:rPr>
        <w:t>Not built yet (later phase, gated on tonight)</w:t>
      </w:r>
    </w:p>
    <w:p>
      <w:pPr>
        <w:pStyle w:val="ListBullet"/>
        <w:spacing w:after="40"/>
      </w:pPr>
      <w:r>
        <w:t>AI-suggested replies, the voice agent, the daily brief, and the automated GHL → Semble note sync. All wait until the KB + escalation are locked.</w:t>
      </w:r>
    </w:p>
    <w:p>
      <w:pPr>
        <w:spacing w:before="160" w:after="40"/>
      </w:pPr>
      <w:r>
        <w:rPr>
          <w:b/>
          <w:color w:val="0B534E"/>
          <w:sz w:val="22"/>
        </w:rPr>
        <w:t>Blocked on the clinic</w:t>
      </w:r>
    </w:p>
    <w:p>
      <w:pPr>
        <w:pStyle w:val="ListBullet"/>
        <w:spacing w:after="40"/>
      </w:pPr>
      <w:r>
        <w:t>Twilio Option 2 (new London number) waiting on Gina to top up the GHL wallet; Meta verification waiting on the clinic’s business docs (Mati handling).</w:t>
      </w:r>
    </w:p>
    <w:p>
      <w:pPr>
        <w:spacing w:after="120" w:before="40"/>
      </w:pPr>
      <w:r>
        <w:rPr>
          <w:b w:val="0"/>
          <w:i/>
          <w:color w:val="55605F"/>
          <w:sz w:val="21"/>
        </w:rPr>
        <w:t>Your near-term focus: tonight’s call, then build the discovery calendar. Everything else sits with Mati and Griffin.</w:t>
      </w:r>
    </w:p>
    <w:p>
      <w:pPr>
        <w:spacing w:before="260" w:after="60"/>
        <w:pBdr>
          <w:bottom w:val="single" w:sz="6" w:space="2" w:color="C9D2DE"/>
        </w:pBdr>
      </w:pPr>
      <w:r>
        <w:rPr>
          <w:b/>
          <w:color w:val="142A28"/>
          <w:sz w:val="28"/>
        </w:rPr>
        <w:t>2 · The sensitive-information flow (understand this cold)</w:t>
      </w:r>
    </w:p>
    <w:p>
      <w:pPr>
        <w:spacing w:after="60" w:before="0"/>
      </w:pPr>
      <w:r>
        <w:rPr>
          <w:b w:val="0"/>
          <w:i w:val="0"/>
          <w:sz w:val="21"/>
        </w:rPr>
        <w:t>One principle: GoHighLevel is the CONVERSATION; Semble is the CLINICAL RECORD. Clinical information never lives in GHL — it must land on the patient’s Semble file, the legal record the doctors work from.</w:t>
      </w:r>
    </w:p>
    <w:p>
      <w:pPr>
        <w:spacing w:after="40" w:before="0"/>
      </w:pPr>
      <w:r>
        <w:rPr>
          <w:b/>
          <w:i w:val="0"/>
          <w:sz w:val="21"/>
        </w:rPr>
        <w:t>Two flows, opposite directions — keep them separate:</w:t>
      </w:r>
    </w:p>
    <w:p>
      <w:pPr>
        <w:pStyle w:val="ListBullet"/>
        <w:spacing w:after="40"/>
      </w:pPr>
      <w:r>
        <w:rPr>
          <w:b/>
        </w:rPr>
        <w:t xml:space="preserve">① Semble → GHL: </w:t>
      </w:r>
      <w:r>
        <w:t>pulling existing patients (email + phone) into GHL so WhatsApps match the right person. Data matching only, no clinical notes. This is the migration Griffin runs.</w:t>
      </w:r>
    </w:p>
    <w:p>
      <w:pPr>
        <w:pStyle w:val="ListBullet"/>
        <w:spacing w:after="40"/>
      </w:pPr>
      <w:r>
        <w:rPr>
          <w:b/>
          <w:color w:val="0E6E68"/>
        </w:rPr>
        <w:t xml:space="preserve">② GHL → Semble: </w:t>
      </w:r>
      <w:r>
        <w:t>the sensitive-information path. When something clinical/sensitive comes in, it must reach the patient’s Semble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6ECD6"/>
          </w:tcPr>
          <w:p>
            <w:pPr>
              <w:spacing w:after="40"/>
            </w:pPr>
            <w:r>
              <w:rPr>
                <w:b/>
                <w:color w:val="8A5A0C"/>
                <w:sz w:val="18"/>
              </w:rPr>
              <w:t>GHL → SEMBLE, HOW IT WORKS TODAY (MANUAL)</w:t>
            </w:r>
          </w:p>
          <w:p>
            <w:pPr>
              <w:spacing w:after="0"/>
            </w:pPr>
            <w:r>
              <w:rPr>
                <w:sz w:val="20"/>
              </w:rPr>
              <w:t>1. Patient message lands in the GHL shared inbox.</w:t>
            </w:r>
          </w:p>
          <w:p>
            <w:pPr>
              <w:spacing w:after="0"/>
            </w:pPr>
            <w:r>
              <w:rPr>
                <w:sz w:val="20"/>
              </w:rPr>
              <w:t>2. PA reads it. Operational → handled in GHL. Clinical/sensitive → PA does NOT answer.</w:t>
            </w:r>
          </w:p>
          <w:p>
            <w:pPr>
              <w:spacing w:after="0"/>
            </w:pPr>
            <w:r>
              <w:rPr>
                <w:sz w:val="20"/>
              </w:rPr>
              <w:t>3. For clinical/sensitive: PA copies the message, sends it to the treating doctor, AND pastes it onto the patient’s Semble file.</w:t>
            </w:r>
          </w:p>
          <w:p>
            <w:pPr>
              <w:spacing w:after="0"/>
            </w:pPr>
            <w:r>
              <w:rPr>
                <w:sz w:val="20"/>
              </w:rPr>
              <w:t>4. Doctor reviews and responds. Any decision is recorded in Semble.</w:t>
            </w:r>
          </w:p>
          <w:p>
            <w:pPr>
              <w:spacing w:after="0"/>
            </w:pPr>
            <w:r>
              <w:rPr>
                <w:sz w:val="20"/>
              </w:rPr>
              <w:t>This manual copy-to-Semble is exactly why the team keeps doing it — the automated version is Phase 2.</w:t>
            </w:r>
          </w:p>
        </w:tc>
      </w:tr>
    </w:tbl>
    <w:p>
      <w:pPr>
        <w:spacing w:after="80" w:before="0"/>
      </w:pPr>
    </w:p>
    <w:p>
      <w:pPr>
        <w:pStyle w:val="ListBullet"/>
        <w:spacing w:after="40"/>
      </w:pPr>
      <w:r>
        <w:rPr>
          <w:b/>
        </w:rPr>
        <w:t xml:space="preserve">What it becomes (Phase 2): </w:t>
      </w:r>
      <w:r>
        <w:t>an automated sync pushes relevant GHL notes onto Semble on their own; Gina gets a daily brief for oversight; PAs stop copying by hand.</w:t>
      </w:r>
    </w:p>
    <w:p>
      <w:pPr>
        <w:pStyle w:val="ListBullet"/>
        <w:spacing w:after="40"/>
      </w:pPr>
      <w:r>
        <w:rPr>
          <w:b/>
        </w:rPr>
        <w:t xml:space="preserve">What never changes: </w:t>
      </w:r>
      <w:r>
        <w:t>clinical records stay IN Semble, never migrated to GHL (CQC Reg 17, Heidi scribe, e-prescribing). GHL stays operational only.</w:t>
      </w:r>
    </w:p>
    <w:p>
      <w:pPr>
        <w:spacing w:before="160" w:after="40"/>
      </w:pPr>
      <w:r>
        <w:rPr>
          <w:b/>
          <w:color w:val="0B534E"/>
          <w:sz w:val="22"/>
        </w:rPr>
        <w:t>The safeguards (this is what reassures Gina)</w:t>
      </w:r>
    </w:p>
    <w:p>
      <w:pPr>
        <w:pStyle w:val="ListBullet"/>
        <w:spacing w:after="40"/>
      </w:pPr>
      <w:r>
        <w:t>anything clinical is never answered by a PA or the AI — always a clinician (human in the loop).</w:t>
      </w:r>
    </w:p>
    <w:p>
      <w:pPr>
        <w:pStyle w:val="ListBullet"/>
        <w:spacing w:after="40"/>
      </w:pPr>
      <w:r>
        <w:t>blood results go to the clinician, never to the patient.</w:t>
      </w:r>
    </w:p>
    <w:p>
      <w:pPr>
        <w:pStyle w:val="ListBullet"/>
        <w:spacing w:after="40"/>
      </w:pPr>
      <w:r>
        <w:t>identity is human-verified before any patient-specific detail is discussed.</w:t>
      </w:r>
    </w:p>
    <w:p>
      <w:pPr>
        <w:pStyle w:val="ListBullet"/>
        <w:spacing w:after="40"/>
      </w:pPr>
      <w:r>
        <w:t>mental-health / safeguarding content hits a human review gate before any reply.</w:t>
      </w:r>
    </w:p>
    <w:p>
      <w:pPr>
        <w:pStyle w:val="ListBullet"/>
        <w:spacing w:after="40"/>
      </w:pPr>
      <w:r>
        <w:t>all messages audit-logged under CQC obligations.</w:t>
      </w:r>
    </w:p>
    <w:p>
      <w:pPr>
        <w:spacing w:after="120" w:before="40"/>
      </w:pPr>
      <w:r>
        <w:rPr>
          <w:b w:val="0"/>
          <w:i/>
          <w:sz w:val="21"/>
        </w:rPr>
        <w:t>In one line: sensitive info comes in through GHL, is escalated to a clinician, and is recorded onto Semble — by hand now, automatically in Phase 2 — while the clinical record always stays in Semble.</w:t>
      </w:r>
    </w:p>
    <w:p>
      <w:pPr>
        <w:spacing w:before="260" w:after="60"/>
        <w:pBdr>
          <w:bottom w:val="single" w:sz="6" w:space="2" w:color="C9D2DE"/>
        </w:pBdr>
      </w:pPr>
      <w:r>
        <w:rPr>
          <w:b/>
          <w:color w:val="142A28"/>
          <w:sz w:val="28"/>
        </w:rPr>
        <w:t>3 · The escalation model (so you can lead it)</w:t>
      </w:r>
    </w:p>
    <w:p>
      <w:pPr>
        <w:pStyle w:val="ListBullet"/>
        <w:spacing w:after="40"/>
      </w:pPr>
      <w:r>
        <w:rPr>
          <w:b/>
          <w:color w:val="2E6B4F"/>
        </w:rPr>
        <w:t xml:space="preserve">LEVEL 1 — Operational (team handles): </w:t>
      </w:r>
      <w:r>
        <w:t>bookings, rescheduling, blood logistics, pricing, locations, pharmacy status, admin.</w:t>
      </w:r>
    </w:p>
    <w:p>
      <w:pPr>
        <w:pStyle w:val="ListBullet"/>
        <w:spacing w:after="40"/>
      </w:pPr>
      <w:r>
        <w:rPr>
          <w:b/>
          <w:color w:val="8A5A0C"/>
        </w:rPr>
        <w:t xml:space="preserve">LEVEL 2 — Clinical/sensitive (to a clinician): </w:t>
      </w:r>
      <w:r>
        <w:t>symptoms, results, medication, "is this safe", anything about a patient’s history. Never answered by team or AI; goes to a clinician + onto Semble.</w:t>
      </w:r>
    </w:p>
    <w:p>
      <w:pPr>
        <w:pStyle w:val="ListBullet"/>
        <w:spacing w:after="40"/>
      </w:pPr>
      <w:r>
        <w:rPr>
          <w:b/>
          <w:color w:val="A33A2C"/>
        </w:rPr>
        <w:t xml:space="preserve">LEVEL 3 — Urgent: </w:t>
      </w:r>
      <w:r>
        <w:t>mental-health crisis, self-harm, emergency. Immediate human + priority alert.</w:t>
      </w:r>
    </w:p>
    <w:p>
      <w:pPr>
        <w:spacing w:after="120" w:before="40"/>
      </w:pPr>
      <w:r>
        <w:rPr>
          <w:b w:val="0"/>
          <w:i w:val="0"/>
          <w:sz w:val="21"/>
        </w:rPr>
        <w:t>The doctor question: as more doctors join, clinical queries should reach the treating doctor, and Gina wants oversight so nothing sits when a doctor is off. Go in with the three options (auto-route vs shared queue · daily digest vs live view vs unanswered-alert · leave cover), land a simple interim, note the fuller build for later.</w:t>
      </w:r>
    </w:p>
    <w:p>
      <w:pPr>
        <w:spacing w:before="260" w:after="60"/>
        <w:pBdr>
          <w:bottom w:val="single" w:sz="6" w:space="2" w:color="C9D2DE"/>
        </w:pBdr>
      </w:pPr>
      <w:r>
        <w:rPr>
          <w:b/>
          <w:color w:val="142A28"/>
          <w:sz w:val="28"/>
        </w:rPr>
        <w:t>4 · Knowledge base — what’s left</w:t>
      </w:r>
    </w:p>
    <w:p>
      <w:pPr>
        <w:spacing w:after="40" w:before="0"/>
      </w:pPr>
      <w:r>
        <w:rPr>
          <w:b w:val="0"/>
          <w:i w:val="0"/>
          <w:sz w:val="21"/>
        </w:rPr>
        <w:t>The clean "Working Session" doc has the full question list. Priorities to actually get answered tonight:</w:t>
      </w:r>
    </w:p>
    <w:p>
      <w:pPr>
        <w:pStyle w:val="ListBullet"/>
        <w:spacing w:after="40"/>
      </w:pPr>
      <w:r>
        <w:t>Escalation precision — the medication holding line, safeguarding protocol (trigger words + who’s alerted), overdue-prescription rule, the never-answer list.</w:t>
      </w:r>
    </w:p>
    <w:p>
      <w:pPr>
        <w:pStyle w:val="ListBullet"/>
        <w:spacing w:after="40"/>
      </w:pPr>
      <w:r>
        <w:t>Services — top enquiry reasons, what you don’t offer, IV therapy logistics.</w:t>
      </w:r>
    </w:p>
    <w:p>
      <w:pPr>
        <w:pStyle w:val="ListBullet"/>
        <w:spacing w:after="40"/>
      </w:pPr>
      <w:r>
        <w:t>Bloods/payments — panel cost + turnaround, home-kit contents, refund on bloods, anti-scam line.</w:t>
      </w:r>
    </w:p>
    <w:p>
      <w:pPr>
        <w:pStyle w:val="ListBullet"/>
        <w:spacing w:after="40"/>
      </w:pPr>
      <w:r>
        <w:t>Pharmacies — Zen vs compounding, chase wording, Gut Map code + spam line.</w:t>
      </w:r>
    </w:p>
    <w:p>
      <w:pPr>
        <w:spacing w:before="260" w:after="60"/>
        <w:pBdr>
          <w:bottom w:val="single" w:sz="6" w:space="2" w:color="C9D2DE"/>
        </w:pBdr>
      </w:pPr>
      <w:r>
        <w:rPr>
          <w:b/>
          <w:color w:val="142A28"/>
          <w:sz w:val="28"/>
        </w:rPr>
        <w:t>5 · Social media audit  (your Part 4)</w:t>
      </w:r>
    </w:p>
    <w:p>
      <w:pPr>
        <w:spacing w:after="60" w:before="0"/>
      </w:pPr>
      <w:r>
        <w:rPr>
          <w:b w:val="0"/>
          <w:i/>
          <w:sz w:val="21"/>
        </w:rPr>
        <w:t>How to frame it to Gina: "I’ve taken a proper look at how the clinic shows up online, and pulled some thoughts together — not to pile on more work, but to make sure the foundations are right before anyone spends on marketing."</w:t>
      </w:r>
    </w:p>
    <w:p>
      <w:pPr>
        <w:spacing w:before="160" w:after="40"/>
      </w:pPr>
      <w:r>
        <w:rPr>
          <w:b/>
          <w:color w:val="0B534E"/>
          <w:sz w:val="22"/>
        </w:rPr>
        <w:t>Assess it through five lenses</w:t>
      </w:r>
    </w:p>
    <w:p>
      <w:pPr>
        <w:pStyle w:val="ListNumber"/>
        <w:spacing w:after="40"/>
      </w:pPr>
      <w:r>
        <w:rPr>
          <w:b/>
        </w:rPr>
        <w:t xml:space="preserve">Discoverability: </w:t>
      </w:r>
      <w:r>
        <w:t>a prospective patient searching — do they find the clinic? (Google, Google Business Profile, the website).</w:t>
      </w:r>
    </w:p>
    <w:p>
      <w:pPr>
        <w:pStyle w:val="ListNumber"/>
        <w:spacing w:after="40"/>
      </w:pPr>
      <w:r>
        <w:rPr>
          <w:b/>
        </w:rPr>
        <w:t xml:space="preserve">Credibility: </w:t>
      </w:r>
      <w:r>
        <w:t>does the presence match a premium, CQC-registered Harley Street clinic? (consistency, professionalism, Dr Gina’s authority, testimonials).</w:t>
      </w:r>
    </w:p>
    <w:p>
      <w:pPr>
        <w:pStyle w:val="ListNumber"/>
        <w:spacing w:after="40"/>
      </w:pPr>
      <w:r>
        <w:rPr>
          <w:b/>
        </w:rPr>
        <w:t xml:space="preserve">Content: </w:t>
      </w:r>
      <w:r>
        <w:t>what’s being posted, how often, quality, and who it speaks to.</w:t>
      </w:r>
    </w:p>
    <w:p>
      <w:pPr>
        <w:pStyle w:val="ListNumber"/>
        <w:spacing w:after="40"/>
      </w:pPr>
      <w:r>
        <w:rPr>
          <w:b/>
        </w:rPr>
        <w:t xml:space="preserve">Conversion: </w:t>
      </w:r>
      <w:r>
        <w:t>does social lead to the website and a clear enquiry / discovery-call path?</w:t>
      </w:r>
    </w:p>
    <w:p>
      <w:pPr>
        <w:pStyle w:val="ListNumber"/>
        <w:spacing w:after="40"/>
      </w:pPr>
      <w:r>
        <w:rPr>
          <w:b/>
        </w:rPr>
        <w:t xml:space="preserve">Foundations: </w:t>
      </w:r>
      <w:r>
        <w:t>are the accounts healthy and the branding consistent across channels?</w:t>
      </w:r>
    </w:p>
    <w:p>
      <w:pPr>
        <w:spacing w:before="160" w:after="40"/>
      </w:pPr>
      <w:r>
        <w:rPr>
          <w:b/>
          <w:color w:val="0B534E"/>
          <w:sz w:val="22"/>
        </w:rPr>
        <w:t>Likely findings (confirm / add your live numbers)</w:t>
      </w:r>
    </w:p>
    <w:p>
      <w:pPr>
        <w:pStyle w:val="ListBullet"/>
        <w:spacing w:after="40"/>
      </w:pPr>
      <w:r>
        <w:t>very small following and a rebuild from near-zero after the account bans — the foundation is genuinely weak right now.</w:t>
      </w:r>
    </w:p>
    <w:p>
      <w:pPr>
        <w:pStyle w:val="ListBullet"/>
        <w:spacing w:after="40"/>
      </w:pPr>
      <w:r>
        <w:t>the website is mid-transition (new provider), so the digital "front door" is unstable at the moment.</w:t>
      </w:r>
    </w:p>
    <w:p>
      <w:pPr>
        <w:pStyle w:val="ListBullet"/>
        <w:spacing w:after="40"/>
      </w:pPr>
      <w:r>
        <w:t>strong underlying assets that most clinics would envy: Dr Gina’s authority and credentials, a compelling niche (hormone / longevity / functional), real patient outcomes, and she comes across well on camera (with Shelly).</w:t>
      </w:r>
    </w:p>
    <w:p>
      <w:pPr>
        <w:pStyle w:val="ListBullet"/>
        <w:spacing w:after="40"/>
      </w:pPr>
      <w:r>
        <w:t>the premium positioning is not yet reflected in a consistent, authoritative online presence — the brand online does not yet match the brand in the room.</w:t>
      </w:r>
    </w:p>
    <w:p>
      <w:pPr>
        <w:pStyle w:val="ListBullet"/>
        <w:spacing w:after="40"/>
      </w:pPr>
      <w:r>
        <w:t>social is currently with Marianne; results/ROI are not yet clear.</w:t>
      </w:r>
    </w:p>
    <w:p>
      <w:pPr>
        <w:spacing w:before="160" w:after="40"/>
      </w:pPr>
      <w:r>
        <w:rPr>
          <w:b/>
          <w:color w:val="0B534E"/>
          <w:sz w:val="22"/>
        </w:rPr>
        <w:t>Your recommendation (foundation first)</w:t>
      </w:r>
    </w:p>
    <w:p>
      <w:pPr>
        <w:pStyle w:val="ListBullet"/>
        <w:spacing w:after="40"/>
      </w:pPr>
      <w:r>
        <w:t>get the fundamentals right FIRST — consistent branding, a working website (the front door), Google Business Profile, and a simple, authoritative content rhythm built around Dr Gina’s expertise — rather than chasing followers or paid ads.</w:t>
      </w:r>
    </w:p>
    <w:p>
      <w:pPr>
        <w:pStyle w:val="ListBullet"/>
        <w:spacing w:after="40"/>
      </w:pPr>
      <w:r>
        <w:t>do not pour into marketing until (a) the ops and new doctors can absorb more patients, and (b) the path from social to enquiry actually converts. Followers do not equal revenue.</w:t>
      </w:r>
    </w:p>
    <w:p>
      <w:pPr>
        <w:pStyle w:val="ListBullet"/>
        <w:spacing w:after="40"/>
      </w:pPr>
      <w:r>
        <w:t>lean into the genuine differentiators: authority, real outcomes, and Dr Gina on camera.</w:t>
      </w:r>
    </w:p>
    <w:p>
      <w:pPr>
        <w:pStyle w:val="ListBullet"/>
        <w:spacing w:after="40"/>
      </w:pPr>
      <w:r>
        <w:t>agree clearly how WILBA works alongside Marianne so nothing is duplicated.</w:t>
      </w:r>
    </w:p>
    <w:p>
      <w:pPr>
        <w:spacing w:before="160" w:after="40"/>
      </w:pPr>
      <w:r>
        <w:rPr>
          <w:b/>
          <w:color w:val="0B534E"/>
          <w:sz w:val="22"/>
        </w:rPr>
        <w:t>Quick wins to offer</w:t>
      </w:r>
    </w:p>
    <w:p>
      <w:pPr>
        <w:pStyle w:val="ListBullet"/>
        <w:spacing w:after="40"/>
      </w:pPr>
      <w:r>
        <w:t>fix the digital front door (website + Google Business Profile) so enquiries convert.</w:t>
      </w:r>
    </w:p>
    <w:p>
      <w:pPr>
        <w:pStyle w:val="ListBullet"/>
        <w:spacing w:after="40"/>
      </w:pPr>
      <w:r>
        <w:t>one simple, repeatable content format built around Dr Gina’s authority (patient-question-led education).</w:t>
      </w:r>
    </w:p>
    <w:p>
      <w:pPr>
        <w:pStyle w:val="ListBullet"/>
        <w:spacing w:after="40"/>
      </w:pPr>
      <w:r>
        <w:t>consistent branding across every channel; make the discovery-call / enquiry path obvious.</w:t>
      </w:r>
    </w:p>
    <w:p>
      <w:pPr>
        <w:spacing w:before="160" w:after="40"/>
      </w:pPr>
      <w:r>
        <w:rPr>
          <w:b/>
          <w:color w:val="0B534E"/>
          <w:sz w:val="22"/>
        </w:rPr>
        <w:t>Questions for Gina</w:t>
      </w:r>
    </w:p>
    <w:p>
      <w:pPr>
        <w:pStyle w:val="ListBullet"/>
        <w:spacing w:after="40"/>
      </w:pPr>
      <w:r>
        <w:t>what would success look like online over the next 6 to 12 months?</w:t>
      </w:r>
    </w:p>
    <w:p>
      <w:pPr>
        <w:pStyle w:val="ListBullet"/>
        <w:spacing w:after="40"/>
      </w:pPr>
      <w:r>
        <w:t>who is the ideal patient you most want to attract?</w:t>
      </w:r>
    </w:p>
    <w:p>
      <w:pPr>
        <w:pStyle w:val="ListBullet"/>
        <w:spacing w:after="40"/>
      </w:pPr>
      <w:r>
        <w:t>how do you feel on camera, and how much time could you give to content?</w:t>
      </w:r>
    </w:p>
    <w:p>
      <w:pPr>
        <w:pStyle w:val="ListBullet"/>
        <w:spacing w:after="40"/>
      </w:pPr>
      <w:r>
        <w:t>how would you like us to work alongside Marianne?</w:t>
      </w:r>
    </w:p>
    <w:p>
      <w:pPr>
        <w:pStyle w:val="ListBullet"/>
        <w:spacing w:after="40"/>
      </w:pPr>
      <w:r>
        <w:t>what brand assets do you have (logo, fonts, photography, tone guide)?</w:t>
      </w:r>
    </w:p>
    <w:p>
      <w:pPr>
        <w:spacing w:before="160" w:after="40"/>
      </w:pPr>
      <w:r>
        <w:rPr>
          <w:b/>
          <w:color w:val="0B534E"/>
          <w:sz w:val="22"/>
        </w:rPr>
        <w:t>Access to request</w:t>
      </w:r>
    </w:p>
    <w:p>
      <w:pPr>
        <w:pStyle w:val="ListBullet"/>
        <w:spacing w:after="40"/>
      </w:pPr>
      <w:r>
        <w:t>Meta Business Manager (IG + FB, also needed for WhatsApp verification), Google Analytics, Google Business Profile, any scheduling tool, brand assets.</w:t>
      </w:r>
    </w:p>
    <w:p>
      <w:pPr>
        <w:spacing w:before="260" w:after="60"/>
        <w:pBdr>
          <w:bottom w:val="single" w:sz="6" w:space="2" w:color="C9D2DE"/>
        </w:pBdr>
      </w:pPr>
      <w:r>
        <w:rPr>
          <w:b/>
          <w:color w:val="142A28"/>
          <w:sz w:val="28"/>
        </w:rPr>
        <w:t>6 · Watch-outs (keep in your pocket)</w:t>
      </w:r>
    </w:p>
    <w:p>
      <w:pPr>
        <w:pStyle w:val="ListBullet"/>
        <w:spacing w:after="40"/>
      </w:pPr>
      <w:r>
        <w:t>Semble appointment reminders — unconfirmed whether Semble already sends them (Mati checking). Don’t promise GHL does it.</w:t>
      </w:r>
    </w:p>
    <w:p>
      <w:pPr>
        <w:pStyle w:val="ListBullet"/>
        <w:spacing w:after="40"/>
      </w:pPr>
      <w:r>
        <w:t>Blood-test prices went to Mati — you don’t have those numbers.</w:t>
      </w:r>
    </w:p>
    <w:p>
      <w:pPr>
        <w:pStyle w:val="ListBullet"/>
        <w:spacing w:after="40"/>
      </w:pPr>
      <w:r>
        <w:t>Doctors won’t be on a rota — the oversight question is genuinely open; bring options, not an answer.</w:t>
      </w:r>
    </w:p>
    <w:p>
      <w:pPr>
        <w:pStyle w:val="ListBullet"/>
        <w:spacing w:after="40"/>
      </w:pPr>
      <w:r>
        <w:t>Lisa’s departure is confidential and not official — do not mention it.</w:t>
      </w:r>
    </w:p>
    <w:p>
      <w:pPr>
        <w:pStyle w:val="ListBullet"/>
        <w:spacing w:after="40"/>
      </w:pPr>
      <w:r>
        <w:t>No em dashes, no emojis in anything patient-facing. Gina notices detail.</w:t>
      </w:r>
    </w:p>
    <w:p>
      <w:pPr>
        <w:spacing w:after="120" w:before="160"/>
      </w:pPr>
    </w:p>
    <w:p>
      <w:pPr>
        <w:spacing w:after="120" w:before="0"/>
      </w:pPr>
      <w:r>
        <w:rPr>
          <w:b w:val="0"/>
          <w:i/>
          <w:color w:val="55605F"/>
          <w:sz w:val="17"/>
        </w:rPr>
        <w:t>Prepared for Jess Morrell · WILBA (wilba.ai)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