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color w:val="142A28"/>
          <w:sz w:val="40"/>
        </w:rPr>
        <w:t>Your New Shared Inbox</w:t>
      </w:r>
    </w:p>
    <w:p>
      <w:pPr>
        <w:spacing w:after="80" w:before="0"/>
      </w:pPr>
      <w:r>
        <w:rPr>
          <w:b/>
          <w:i w:val="0"/>
          <w:color w:val="0E6E68"/>
          <w:sz w:val="22"/>
        </w:rPr>
        <w:t>The Schoeman Clinic · Team Guide · WhatsApp in GoHighLevel</w:t>
      </w:r>
    </w:p>
    <w:p>
      <w:pPr>
        <w:spacing w:after="120" w:before="0"/>
      </w:pPr>
      <w:r>
        <w:rPr>
          <w:b w:val="0"/>
          <w:i/>
          <w:color w:val="55605F"/>
          <w:sz w:val="21"/>
        </w:rPr>
        <w:t>From today, every patient WhatsApp lands in one place inside GoHighLevel — so you all see the same conversation, pick up from each other, and never forward a screenshot again. Here’s everything you need.</w:t>
      </w:r>
    </w:p>
    <w:p>
      <w:pPr>
        <w:spacing w:before="260" w:after="60"/>
      </w:pPr>
      <w:r>
        <w:rPr>
          <w:b/>
          <w:color w:val="0E6E68"/>
          <w:sz w:val="27"/>
        </w:rPr>
        <w:t xml:space="preserve">1.  </w:t>
      </w:r>
      <w:r>
        <w:rPr>
          <w:b/>
          <w:color w:val="142A28"/>
          <w:sz w:val="27"/>
        </w:rPr>
        <w:t>What’s changing</w:t>
      </w:r>
    </w:p>
    <w:p>
      <w:pPr>
        <w:spacing w:after="120" w:before="0"/>
      </w:pPr>
      <w:r>
        <w:rPr>
          <w:b w:val="0"/>
          <w:i w:val="0"/>
          <w:sz w:val="22"/>
        </w:rPr>
        <w:t>All patient WhatsApp messages now come into one shared inbox in GoHighLevel (GHL), in the Conversations tab. Everyone works from the same place, in real time. No more one person holding the phone, no more forwarding screenshots.</w:t>
      </w:r>
    </w:p>
    <w:p>
      <w:pPr>
        <w:spacing w:before="260" w:after="60"/>
      </w:pPr>
      <w:r>
        <w:rPr>
          <w:b/>
          <w:color w:val="0E6E68"/>
          <w:sz w:val="27"/>
        </w:rPr>
        <w:t xml:space="preserve">2.  </w:t>
      </w:r>
      <w:r>
        <w:rPr>
          <w:b/>
          <w:color w:val="142A28"/>
          <w:sz w:val="27"/>
        </w:rPr>
        <w:t>Finding your messages</w:t>
      </w:r>
    </w:p>
    <w:p>
      <w:pPr>
        <w:spacing w:after="60" w:before="0"/>
      </w:pPr>
      <w:r>
        <w:rPr>
          <w:b w:val="0"/>
          <w:i w:val="0"/>
          <w:sz w:val="22"/>
        </w:rPr>
        <w:t>Open the Conversations tab — that’s where you’ll live.</w:t>
      </w:r>
    </w:p>
    <w:p>
      <w:pPr>
        <w:pStyle w:val="ListBullet"/>
        <w:spacing w:after="60"/>
      </w:pPr>
      <w:r>
        <w:rPr>
          <w:b/>
        </w:rPr>
        <w:t xml:space="preserve">Left — </w:t>
      </w:r>
      <w:r>
        <w:t>the list of conversations, newest and unread at the top.</w:t>
      </w:r>
    </w:p>
    <w:p>
      <w:pPr>
        <w:pStyle w:val="ListBullet"/>
        <w:spacing w:after="60"/>
      </w:pPr>
      <w:r>
        <w:rPr>
          <w:b/>
        </w:rPr>
        <w:t xml:space="preserve">Middle — </w:t>
      </w:r>
      <w:r>
        <w:t>the message thread you’re reading.</w:t>
      </w:r>
    </w:p>
    <w:p>
      <w:pPr>
        <w:pStyle w:val="ListBullet"/>
        <w:spacing w:after="60"/>
      </w:pPr>
      <w:r>
        <w:rPr>
          <w:b/>
        </w:rPr>
        <w:t xml:space="preserve">Right — </w:t>
      </w:r>
      <w:r>
        <w:t>the patient’s details and history.</w:t>
      </w:r>
    </w:p>
    <w:p>
      <w:pPr>
        <w:pStyle w:val="ListBullet"/>
        <w:spacing w:after="60"/>
      </w:pPr>
      <w:r>
        <w:rPr>
          <w:b/>
        </w:rPr>
        <w:t xml:space="preserve">Filters at the top: </w:t>
      </w:r>
      <w:r>
        <w:t>Unread / Assigned to me / All. Spend your time in Unread and Assigned to me.</w:t>
      </w:r>
    </w:p>
    <w:p>
      <w:pPr>
        <w:spacing w:before="260" w:after="60"/>
      </w:pPr>
      <w:r>
        <w:rPr>
          <w:b/>
          <w:color w:val="0E6E68"/>
          <w:sz w:val="27"/>
        </w:rPr>
        <w:t xml:space="preserve">3.  </w:t>
      </w:r>
      <w:r>
        <w:rPr>
          <w:b/>
          <w:color w:val="142A28"/>
          <w:sz w:val="27"/>
        </w:rPr>
        <w:t>Replying to a patient</w:t>
      </w:r>
    </w:p>
    <w:p>
      <w:pPr>
        <w:pStyle w:val="ListNumber"/>
        <w:spacing w:after="60"/>
      </w:pPr>
      <w:r>
        <w:t>Click the conversation to open it.</w:t>
      </w:r>
    </w:p>
    <w:p>
      <w:pPr>
        <w:pStyle w:val="ListNumber"/>
        <w:spacing w:after="60"/>
      </w:pPr>
      <w:r>
        <w:t>Type your reply in the box at the bottom.</w:t>
      </w:r>
    </w:p>
    <w:p>
      <w:pPr>
        <w:pStyle w:val="ListNumber"/>
        <w:spacing w:after="60"/>
      </w:pPr>
      <w:r>
        <w:t>Press Send — it goes straight to the patient on WhatsApp.</w:t>
      </w:r>
    </w:p>
    <w:tbl>
      <w:tblPr>
        <w:tblStyle w:val="TableGrid"/>
        <w:tblW w:type="auto" w:w="0"/>
        <w:tblLook w:firstColumn="1" w:firstRow="1" w:lastColumn="0" w:lastRow="0" w:noHBand="0" w:noVBand="1" w:val="04A0"/>
      </w:tblPr>
      <w:tblGrid>
        <w:gridCol w:w="8640"/>
      </w:tblGrid>
      <w:tr>
        <w:tc>
          <w:tcPr>
            <w:tcW w:type="dxa" w:w="8640"/>
            <w:shd w:val="clear" w:fill="F6ECD6"/>
          </w:tcPr>
          <w:p>
            <w:pPr>
              <w:spacing w:after="40"/>
            </w:pPr>
            <w:r>
              <w:rPr>
                <w:b/>
                <w:color w:val="8A5A0C"/>
                <w:sz w:val="18"/>
              </w:rPr>
              <w:t>IF YOUR MESSAGE WON’T SEND</w:t>
            </w:r>
          </w:p>
          <w:p>
            <w:pPr>
              <w:spacing w:after="0"/>
            </w:pPr>
            <w:r>
              <w:rPr>
                <w:sz w:val="21"/>
              </w:rPr>
              <w:t>WhatsApp only lets us free-type for 24 hours after the patient’s last message. If it’s been longer, your reply may be blocked — you’ll need to send an approved template message to reopen the conversation. That’s normal, not a fault.</w:t>
            </w:r>
          </w:p>
        </w:tc>
      </w:tr>
    </w:tbl>
    <w:p>
      <w:pPr>
        <w:spacing w:after="80" w:before="0"/>
      </w:pPr>
    </w:p>
    <w:p>
      <w:pPr>
        <w:spacing w:before="260" w:after="60"/>
      </w:pPr>
      <w:r>
        <w:rPr>
          <w:b/>
          <w:color w:val="0E6E68"/>
          <w:sz w:val="27"/>
        </w:rPr>
        <w:t xml:space="preserve">4.  </w:t>
      </w:r>
      <w:r>
        <w:rPr>
          <w:b/>
          <w:color w:val="142A28"/>
          <w:sz w:val="27"/>
        </w:rPr>
        <w:t>Leaving internal notes</w:t>
      </w:r>
    </w:p>
    <w:p>
      <w:pPr>
        <w:spacing w:after="120" w:before="0"/>
      </w:pPr>
      <w:r>
        <w:rPr>
          <w:b w:val="0"/>
          <w:i w:val="0"/>
          <w:sz w:val="22"/>
        </w:rPr>
        <w:t>You can leave a note that only the team sees — the patient never does. Use it to say what you’ve done or what’s needed: chased Dr Gina, waiting on payment, escalated a clinical question.</w:t>
      </w:r>
    </w:p>
    <w:tbl>
      <w:tblPr>
        <w:tblStyle w:val="TableGrid"/>
        <w:tblW w:type="auto" w:w="0"/>
        <w:tblLook w:firstColumn="1" w:firstRow="1" w:lastColumn="0" w:lastRow="0" w:noHBand="0" w:noVBand="1" w:val="04A0"/>
      </w:tblPr>
      <w:tblGrid>
        <w:gridCol w:w="8640"/>
      </w:tblGrid>
      <w:tr>
        <w:tc>
          <w:tcPr>
            <w:tcW w:type="dxa" w:w="8640"/>
            <w:shd w:val="clear" w:fill="F6E2DD"/>
          </w:tcPr>
          <w:p>
            <w:pPr>
              <w:spacing w:after="40"/>
            </w:pPr>
            <w:r>
              <w:rPr>
                <w:b/>
                <w:color w:val="A33A2C"/>
                <w:sz w:val="18"/>
              </w:rPr>
              <w:t>THE GOLDEN RULE</w:t>
            </w:r>
          </w:p>
          <w:p>
            <w:pPr>
              <w:spacing w:after="0"/>
            </w:pPr>
            <w:r>
              <w:rPr>
                <w:sz w:val="21"/>
              </w:rPr>
              <w:t>Before you send, always check: am I replying to the patient, or leaving a note for my team? A reply and a note look different on screen — take the half-second to be sure.</w:t>
            </w:r>
          </w:p>
        </w:tc>
      </w:tr>
    </w:tbl>
    <w:p>
      <w:pPr>
        <w:spacing w:after="80" w:before="0"/>
      </w:pPr>
    </w:p>
    <w:p>
      <w:pPr>
        <w:spacing w:before="260" w:after="60"/>
      </w:pPr>
      <w:r>
        <w:rPr>
          <w:b/>
          <w:color w:val="0E6E68"/>
          <w:sz w:val="27"/>
        </w:rPr>
        <w:t xml:space="preserve">5.  </w:t>
      </w:r>
      <w:r>
        <w:rPr>
          <w:b/>
          <w:color w:val="142A28"/>
          <w:sz w:val="27"/>
        </w:rPr>
        <w:t>The best way to write a note</w:t>
      </w:r>
    </w:p>
    <w:p>
      <w:pPr>
        <w:spacing w:after="60" w:before="0"/>
      </w:pPr>
      <w:r>
        <w:rPr>
          <w:b w:val="0"/>
          <w:i w:val="0"/>
          <w:sz w:val="22"/>
        </w:rPr>
        <w:t>A few simple habits keep notes useful instead of noisy.</w:t>
      </w:r>
    </w:p>
    <w:p>
      <w:pPr>
        <w:pStyle w:val="ListBullet"/>
        <w:spacing w:after="60"/>
      </w:pPr>
      <w:r>
        <w:rPr>
          <w:b/>
        </w:rPr>
        <w:t xml:space="preserve">Start with a status tag </w:t>
      </w:r>
      <w:r>
        <w:t>so anyone can scan the thread at a glance — e.g. ESCALATED · WAITING ON PAYMENT · BLOODS · BOOKED · CHASING · DONE</w:t>
      </w:r>
    </w:p>
    <w:p>
      <w:pPr>
        <w:pStyle w:val="ListBullet"/>
        <w:spacing w:after="60"/>
      </w:pPr>
      <w:r>
        <w:rPr>
          <w:b/>
        </w:rPr>
        <w:t xml:space="preserve">@mention a teammate </w:t>
      </w:r>
      <w:r>
        <w:t>when you’re handing it over, so they know it’s theirs.</w:t>
      </w:r>
    </w:p>
    <w:p>
      <w:pPr>
        <w:pStyle w:val="ListBullet"/>
        <w:spacing w:after="60"/>
      </w:pPr>
      <w:r>
        <w:rPr>
          <w:b/>
        </w:rPr>
        <w:t xml:space="preserve">Keep it short and factual </w:t>
      </w:r>
      <w:r>
        <w:t>— GHL already records who wrote it and when, so you don’t need to sign it.</w:t>
      </w:r>
    </w:p>
    <w:p>
      <w:pPr>
        <w:pStyle w:val="ListBullet"/>
        <w:spacing w:after="60"/>
      </w:pPr>
      <w:r>
        <w:rPr>
          <w:b/>
        </w:rPr>
        <w:t xml:space="preserve">Always leave a note before you close a conversation, </w:t>
      </w:r>
      <w:r>
        <w:t>so the next person has the full picture.</w:t>
      </w:r>
    </w:p>
    <w:tbl>
      <w:tblPr>
        <w:tblStyle w:val="TableGrid"/>
        <w:tblW w:type="auto" w:w="0"/>
        <w:tblLook w:firstColumn="1" w:firstRow="1" w:lastColumn="0" w:lastRow="0" w:noHBand="0" w:noVBand="1" w:val="04A0"/>
      </w:tblPr>
      <w:tblGrid>
        <w:gridCol w:w="8640"/>
      </w:tblGrid>
      <w:tr>
        <w:tc>
          <w:tcPr>
            <w:tcW w:type="dxa" w:w="8640"/>
            <w:shd w:val="clear" w:fill="E4F0ED"/>
          </w:tcPr>
          <w:p>
            <w:pPr>
              <w:spacing w:after="40"/>
            </w:pPr>
            <w:r>
              <w:rPr>
                <w:b/>
                <w:color w:val="0B534E"/>
                <w:sz w:val="18"/>
              </w:rPr>
              <w:t>EXAMPLE NOTE</w:t>
            </w:r>
          </w:p>
          <w:p>
            <w:pPr>
              <w:spacing w:after="0"/>
            </w:pPr>
            <w:r>
              <w:rPr>
                <w:sz w:val="21"/>
              </w:rPr>
              <w:t>ESCALATED — patient asked about blood results. Emailed Dr Gina + saved to Semble file. @Zoey to follow up if she books.</w:t>
            </w:r>
          </w:p>
        </w:tc>
      </w:tr>
    </w:tbl>
    <w:p>
      <w:pPr>
        <w:spacing w:after="80" w:before="0"/>
      </w:pPr>
    </w:p>
    <w:p>
      <w:pPr>
        <w:spacing w:before="260" w:after="60"/>
      </w:pPr>
      <w:r>
        <w:rPr>
          <w:b/>
          <w:color w:val="0E6E68"/>
          <w:sz w:val="27"/>
        </w:rPr>
        <w:t xml:space="preserve">6.  </w:t>
      </w:r>
      <w:r>
        <w:rPr>
          <w:b/>
          <w:color w:val="142A28"/>
          <w:sz w:val="27"/>
        </w:rPr>
        <w:t>Working as a team</w:t>
      </w:r>
    </w:p>
    <w:p>
      <w:pPr>
        <w:pStyle w:val="ListBullet"/>
        <w:spacing w:after="60"/>
      </w:pPr>
      <w:r>
        <w:rPr>
          <w:b/>
        </w:rPr>
        <w:t xml:space="preserve">Assign a conversation to yourself </w:t>
      </w:r>
      <w:r>
        <w:t>when you pick it up — so two people don’t reply to the same patient.</w:t>
      </w:r>
    </w:p>
    <w:p>
      <w:pPr>
        <w:pStyle w:val="ListBullet"/>
        <w:spacing w:after="60"/>
      </w:pPr>
      <w:r>
        <w:rPr>
          <w:b/>
        </w:rPr>
        <w:t xml:space="preserve">Mark it unread </w:t>
      </w:r>
      <w:r>
        <w:t>to hand it back to the team.</w:t>
      </w:r>
    </w:p>
    <w:p>
      <w:pPr>
        <w:pStyle w:val="ListBullet"/>
        <w:spacing w:after="60"/>
      </w:pPr>
      <w:r>
        <w:rPr>
          <w:b/>
        </w:rPr>
        <w:t xml:space="preserve">The rhythm: </w:t>
      </w:r>
      <w:r>
        <w:t>assign to yourself → note what you did → mark unread if it needs someone else.</w:t>
      </w:r>
    </w:p>
    <w:p>
      <w:pPr>
        <w:spacing w:before="260" w:after="60"/>
      </w:pPr>
      <w:r>
        <w:rPr>
          <w:b/>
          <w:color w:val="0E6E68"/>
          <w:sz w:val="27"/>
        </w:rPr>
        <w:t xml:space="preserve">7.  </w:t>
      </w:r>
      <w:r>
        <w:rPr>
          <w:b/>
          <w:color w:val="142A28"/>
          <w:sz w:val="27"/>
        </w:rPr>
        <w:t>Keeping your calendar current</w:t>
      </w:r>
    </w:p>
    <w:p>
      <w:pPr>
        <w:spacing w:after="120" w:before="0"/>
      </w:pPr>
      <w:r>
        <w:rPr>
          <w:b w:val="0"/>
          <w:i w:val="0"/>
          <w:sz w:val="22"/>
        </w:rPr>
        <w:t>WILBA sets up the clinic calendars — you don’t need to build or configure anything. Each of you is linked in with your own connected calendar, and when a patient books they simply get whoever’s free.</w:t>
      </w:r>
    </w:p>
    <w:tbl>
      <w:tblPr>
        <w:tblStyle w:val="TableGrid"/>
        <w:tblW w:type="auto" w:w="0"/>
        <w:tblLook w:firstColumn="1" w:firstRow="1" w:lastColumn="0" w:lastRow="0" w:noHBand="0" w:noVBand="1" w:val="04A0"/>
      </w:tblPr>
      <w:tblGrid>
        <w:gridCol w:w="8640"/>
      </w:tblGrid>
      <w:tr>
        <w:tc>
          <w:tcPr>
            <w:tcW w:type="dxa" w:w="8640"/>
            <w:shd w:val="clear" w:fill="F6ECD6"/>
          </w:tcPr>
          <w:p>
            <w:pPr>
              <w:spacing w:after="40"/>
            </w:pPr>
            <w:r>
              <w:rPr>
                <w:b/>
                <w:color w:val="8A5A0C"/>
                <w:sz w:val="18"/>
              </w:rPr>
              <w:t>YOUR ONE JOB</w:t>
            </w:r>
          </w:p>
          <w:p>
            <w:pPr>
              <w:spacing w:after="0"/>
            </w:pPr>
            <w:r>
              <w:rPr>
                <w:sz w:val="21"/>
              </w:rPr>
              <w:t>Keep your own linked calendar up to date — connect it, and block out any time off or when you’re unavailable. As long as it’s current, your availability updates automatically. Nothing to manage by hand.</w:t>
            </w:r>
          </w:p>
        </w:tc>
      </w:tr>
    </w:tbl>
    <w:p>
      <w:pPr>
        <w:spacing w:after="80" w:before="0"/>
      </w:pPr>
    </w:p>
    <w:p>
      <w:pPr>
        <w:spacing w:before="260" w:after="60"/>
      </w:pPr>
      <w:r>
        <w:rPr>
          <w:b/>
          <w:color w:val="0E6E68"/>
          <w:sz w:val="27"/>
        </w:rPr>
        <w:t xml:space="preserve">8.  </w:t>
      </w:r>
      <w:r>
        <w:rPr>
          <w:b/>
          <w:color w:val="142A28"/>
          <w:sz w:val="27"/>
        </w:rPr>
        <w:t>When to escalate</w:t>
      </w:r>
    </w:p>
    <w:tbl>
      <w:tblPr>
        <w:tblStyle w:val="TableGrid"/>
        <w:tblW w:type="auto" w:w="0"/>
        <w:tblLook w:firstColumn="1" w:firstRow="1" w:lastColumn="0" w:lastRow="0" w:noHBand="0" w:noVBand="1" w:val="04A0"/>
      </w:tblPr>
      <w:tblGrid>
        <w:gridCol w:w="8640"/>
      </w:tblGrid>
      <w:tr>
        <w:tc>
          <w:tcPr>
            <w:tcW w:type="dxa" w:w="8640"/>
            <w:shd w:val="clear" w:fill="F6E2DD"/>
          </w:tcPr>
          <w:p>
            <w:pPr>
              <w:spacing w:after="40"/>
            </w:pPr>
            <w:r>
              <w:rPr>
                <w:b/>
                <w:color w:val="A33A2C"/>
                <w:sz w:val="18"/>
              </w:rPr>
              <w:t>NEVER ANSWER ANYTHING CLINICAL</w:t>
            </w:r>
          </w:p>
          <w:p>
            <w:pPr>
              <w:spacing w:after="0"/>
            </w:pPr>
            <w:r>
              <w:rPr>
                <w:sz w:val="21"/>
              </w:rPr>
              <w:t>No results, no medication or dosing, no symptoms, no “is this safe”. These always go to a human.</w:t>
            </w:r>
          </w:p>
        </w:tc>
      </w:tr>
    </w:tbl>
    <w:p>
      <w:pPr>
        <w:spacing w:after="80" w:before="0"/>
      </w:pPr>
    </w:p>
    <w:p>
      <w:pPr>
        <w:pStyle w:val="ListBullet"/>
        <w:spacing w:after="60"/>
      </w:pPr>
      <w:r>
        <w:rPr>
          <w:b/>
        </w:rPr>
        <w:t xml:space="preserve">To escalate: </w:t>
      </w:r>
      <w:r>
        <w:t>copy the message to Dr Gina by email AND paste it onto the patient’s Semble file, then leave an internal note (tag it ESCALATED).</w:t>
      </w:r>
    </w:p>
    <w:p>
      <w:pPr>
        <w:pStyle w:val="ListBullet"/>
        <w:spacing w:after="60"/>
      </w:pPr>
      <w:r>
        <w:rPr>
          <w:b/>
        </w:rPr>
        <w:t xml:space="preserve">Blood results </w:t>
      </w:r>
      <w:r>
        <w:t>are discussed at an appointment — never sent over WhatsApp.</w:t>
      </w:r>
    </w:p>
    <w:p>
      <w:pPr>
        <w:pStyle w:val="ListBullet"/>
        <w:spacing w:after="60"/>
      </w:pPr>
      <w:r>
        <w:rPr>
          <w:b/>
        </w:rPr>
        <w:t xml:space="preserve">The 2-email rule: </w:t>
      </w:r>
      <w:r>
        <w:t>a patient gets two short email replies; anything longer or complex becomes a paid consultation.</w:t>
      </w:r>
    </w:p>
    <w:p>
      <w:pPr>
        <w:spacing w:before="260" w:after="60"/>
      </w:pPr>
      <w:r>
        <w:rPr>
          <w:b/>
          <w:color w:val="0E6E68"/>
          <w:sz w:val="27"/>
        </w:rPr>
        <w:t xml:space="preserve">9.  </w:t>
      </w:r>
      <w:r>
        <w:rPr>
          <w:b/>
          <w:color w:val="142A28"/>
          <w:sz w:val="27"/>
        </w:rPr>
        <w:t>What’s NOT changing</w:t>
      </w:r>
    </w:p>
    <w:p>
      <w:pPr>
        <w:pStyle w:val="ListBullet"/>
        <w:spacing w:after="60"/>
      </w:pPr>
      <w:r>
        <w:rPr>
          <w:b/>
        </w:rPr>
        <w:t xml:space="preserve">Appointments and follow-ups are still booked in Semble, </w:t>
      </w:r>
      <w:r>
        <w:t>exactly as now — and Semble still sends the reminders.</w:t>
      </w:r>
    </w:p>
    <w:p>
      <w:pPr>
        <w:pStyle w:val="ListBullet"/>
        <w:spacing w:after="60"/>
      </w:pPr>
      <w:r>
        <w:rPr>
          <w:b/>
        </w:rPr>
        <w:t xml:space="preserve">AI-suggested replies and the knowledge base come later, with their own training. </w:t>
      </w:r>
      <w:r>
        <w:t>For now, every reply is written by you.</w:t>
      </w:r>
    </w:p>
    <w:p>
      <w:pPr>
        <w:spacing w:before="260" w:after="60"/>
      </w:pPr>
      <w:r>
        <w:rPr>
          <w:b/>
          <w:color w:val="0E6E68"/>
          <w:sz w:val="27"/>
        </w:rPr>
        <w:t xml:space="preserve">10.  </w:t>
      </w:r>
      <w:r>
        <w:rPr>
          <w:b/>
          <w:color w:val="142A28"/>
          <w:sz w:val="27"/>
        </w:rPr>
        <w:t>Common questions</w:t>
      </w:r>
    </w:p>
    <w:tbl>
      <w:tblPr>
        <w:tblStyle w:val="TableGrid"/>
        <w:tblW w:type="auto" w:w="0"/>
        <w:tblLook w:firstColumn="1" w:firstRow="1" w:lastColumn="0" w:lastRow="0" w:noHBand="0" w:noVBand="1" w:val="04A0"/>
      </w:tblPr>
      <w:tblGrid>
        <w:gridCol w:w="4320"/>
        <w:gridCol w:w="4320"/>
      </w:tblGrid>
      <w:tr>
        <w:tc>
          <w:tcPr>
            <w:tcW w:type="dxa" w:w="3456"/>
            <w:shd w:val="clear" w:fill="0E6E68"/>
          </w:tcPr>
          <w:p>
            <w:r>
              <w:rPr>
                <w:b/>
                <w:color w:val="FFFFFF"/>
                <w:sz w:val="20"/>
              </w:rPr>
              <w:t>Question</w:t>
            </w:r>
          </w:p>
        </w:tc>
        <w:tc>
          <w:tcPr>
            <w:tcW w:type="dxa" w:w="5760"/>
            <w:shd w:val="clear" w:fill="0E6E68"/>
          </w:tcPr>
          <w:p>
            <w:r>
              <w:rPr>
                <w:b/>
                <w:color w:val="FFFFFF"/>
                <w:sz w:val="20"/>
              </w:rPr>
              <w:t>Answer</w:t>
            </w:r>
          </w:p>
        </w:tc>
      </w:tr>
      <w:tr>
        <w:tc>
          <w:tcPr>
            <w:tcW w:type="dxa" w:w="3456"/>
          </w:tcPr>
          <w:p>
            <w:r>
              <w:rPr>
                <w:b/>
                <w:sz w:val="20"/>
              </w:rPr>
              <w:t>Does the patient see my note?</w:t>
            </w:r>
          </w:p>
        </w:tc>
        <w:tc>
          <w:tcPr>
            <w:tcW w:type="dxa" w:w="5760"/>
          </w:tcPr>
          <w:p>
            <w:r>
              <w:rPr>
                <w:sz w:val="20"/>
              </w:rPr>
              <w:t>No — internal notes are team-only. Replies go to the patient. Always check which one you’re in.</w:t>
            </w:r>
          </w:p>
        </w:tc>
      </w:tr>
      <w:tr>
        <w:tc>
          <w:tcPr>
            <w:tcW w:type="dxa" w:w="3456"/>
          </w:tcPr>
          <w:p>
            <w:r>
              <w:rPr>
                <w:b/>
                <w:sz w:val="20"/>
              </w:rPr>
              <w:t>Why won’t my message send?</w:t>
            </w:r>
          </w:p>
        </w:tc>
        <w:tc>
          <w:tcPr>
            <w:tcW w:type="dxa" w:w="5760"/>
          </w:tcPr>
          <w:p>
            <w:r>
              <w:rPr>
                <w:sz w:val="20"/>
              </w:rPr>
              <w:t>The 24-hour WhatsApp window has closed — send an approved template to reconnect.</w:t>
            </w:r>
          </w:p>
        </w:tc>
      </w:tr>
      <w:tr>
        <w:tc>
          <w:tcPr>
            <w:tcW w:type="dxa" w:w="3456"/>
          </w:tcPr>
          <w:p>
            <w:r>
              <w:rPr>
                <w:b/>
                <w:sz w:val="20"/>
              </w:rPr>
              <w:t>What if two of us reply at once?</w:t>
            </w:r>
          </w:p>
        </w:tc>
        <w:tc>
          <w:tcPr>
            <w:tcW w:type="dxa" w:w="5760"/>
          </w:tcPr>
          <w:p>
            <w:r>
              <w:rPr>
                <w:sz w:val="20"/>
              </w:rPr>
              <w:t>Assign it to yourself when you pick it up — that’s the whole point of the shared inbox.</w:t>
            </w:r>
          </w:p>
        </w:tc>
      </w:tr>
      <w:tr>
        <w:tc>
          <w:tcPr>
            <w:tcW w:type="dxa" w:w="3456"/>
          </w:tcPr>
          <w:p>
            <w:r>
              <w:rPr>
                <w:b/>
                <w:sz w:val="20"/>
              </w:rPr>
              <w:t>Do I need to manage the calendar?</w:t>
            </w:r>
          </w:p>
        </w:tc>
        <w:tc>
          <w:tcPr>
            <w:tcW w:type="dxa" w:w="5760"/>
          </w:tcPr>
          <w:p>
            <w:r>
              <w:rPr>
                <w:sz w:val="20"/>
              </w:rPr>
              <w:t>No — just keep your own linked calendar up to date and block out time off. Availability updates on its own.</w:t>
            </w:r>
          </w:p>
        </w:tc>
      </w:tr>
      <w:tr>
        <w:tc>
          <w:tcPr>
            <w:tcW w:type="dxa" w:w="3456"/>
          </w:tcPr>
          <w:p>
            <w:r>
              <w:rPr>
                <w:b/>
                <w:sz w:val="20"/>
              </w:rPr>
              <w:t>Where do I book appointments?</w:t>
            </w:r>
          </w:p>
        </w:tc>
        <w:tc>
          <w:tcPr>
            <w:tcW w:type="dxa" w:w="5760"/>
          </w:tcPr>
          <w:p>
            <w:r>
              <w:rPr>
                <w:sz w:val="20"/>
              </w:rPr>
              <w:t>In Semble, exactly as now. Nothing about booking changes today.</w:t>
            </w:r>
          </w:p>
        </w:tc>
      </w:tr>
      <w:tr>
        <w:tc>
          <w:tcPr>
            <w:tcW w:type="dxa" w:w="3456"/>
          </w:tcPr>
          <w:p>
            <w:r>
              <w:rPr>
                <w:b/>
                <w:sz w:val="20"/>
              </w:rPr>
              <w:t>A patient sent blood results — what do I do?</w:t>
            </w:r>
          </w:p>
        </w:tc>
        <w:tc>
          <w:tcPr>
            <w:tcW w:type="dxa" w:w="5760"/>
          </w:tcPr>
          <w:p>
            <w:r>
              <w:rPr>
                <w:sz w:val="20"/>
              </w:rPr>
              <w:t>Don’t interpret them. Escalate: email Dr Gina, save to the Semble file, leave an internal note. Results are discussed at an appointment.</w:t>
            </w:r>
          </w:p>
        </w:tc>
      </w:tr>
      <w:tr>
        <w:tc>
          <w:tcPr>
            <w:tcW w:type="dxa" w:w="3456"/>
          </w:tcPr>
          <w:p>
            <w:r>
              <w:rPr>
                <w:b/>
                <w:sz w:val="20"/>
              </w:rPr>
              <w:t>Which number is this?</w:t>
            </w:r>
          </w:p>
        </w:tc>
        <w:tc>
          <w:tcPr>
            <w:tcW w:type="dxa" w:w="5760"/>
          </w:tcPr>
          <w:p>
            <w:r>
              <w:rPr>
                <w:sz w:val="20"/>
              </w:rPr>
              <w:t>+44 7426 494321 — the clinic’s WhatsApp inbox.</w:t>
            </w:r>
          </w:p>
        </w:tc>
      </w:tr>
      <w:tr>
        <w:tc>
          <w:tcPr>
            <w:tcW w:type="dxa" w:w="3456"/>
          </w:tcPr>
          <w:p>
            <w:r>
              <w:rPr>
                <w:b/>
                <w:sz w:val="20"/>
              </w:rPr>
              <w:t>Do we still use WhatsApp on our phones?</w:t>
            </w:r>
          </w:p>
        </w:tc>
        <w:tc>
          <w:tcPr>
            <w:tcW w:type="dxa" w:w="5760"/>
          </w:tcPr>
          <w:p>
            <w:r>
              <w:rPr>
                <w:sz w:val="20"/>
              </w:rPr>
              <w:t>No — from now the clinic inbox lives in GHL so everyone shares it.</w:t>
            </w:r>
          </w:p>
        </w:tc>
      </w:tr>
    </w:tbl>
    <w:p>
      <w:pPr>
        <w:spacing w:after="120" w:before="160"/>
      </w:pPr>
    </w:p>
    <w:p>
      <w:pPr>
        <w:spacing w:after="40" w:before="0"/>
      </w:pPr>
      <w:r>
        <w:rPr>
          <w:b/>
          <w:i w:val="0"/>
          <w:sz w:val="21"/>
        </w:rPr>
        <w:t>That’s it — you’re ready. Take your time, use internal notes generously, and when in doubt on anything clinical, escalate. Any “how do I…” question, message Jess and we’ll sort it.</w:t>
      </w:r>
    </w:p>
    <w:p>
      <w:pPr>
        <w:spacing w:after="120" w:before="0"/>
      </w:pPr>
      <w:r>
        <w:rPr>
          <w:b w:val="0"/>
          <w:i/>
          <w:color w:val="55605F"/>
          <w:sz w:val="17"/>
        </w:rPr>
        <w:t>The Schoeman Clinic · WhatsApp shared inbox · prepared by WILBA · 13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