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pPr>
      <w:r>
        <w:rPr>
          <w:b/>
          <w:i w:val="0"/>
          <w:color w:val="0E6E68"/>
          <w:sz w:val="24"/>
        </w:rPr>
        <w:t>THE SCHOEMAN CLINIC</w:t>
      </w:r>
    </w:p>
    <w:p>
      <w:pPr>
        <w:spacing w:after="20" w:before="0"/>
      </w:pPr>
      <w:r>
        <w:rPr>
          <w:b/>
          <w:i w:val="0"/>
          <w:color w:val="142A28"/>
          <w:sz w:val="44"/>
        </w:rPr>
        <w:t>Discovery &amp; Knowledge-Base Call</w:t>
      </w:r>
    </w:p>
    <w:p>
      <w:pPr>
        <w:spacing w:after="160" w:before="0"/>
      </w:pPr>
      <w:r>
        <w:rPr>
          <w:b w:val="0"/>
          <w:i/>
          <w:color w:val="55605F"/>
          <w:sz w:val="25"/>
        </w:rPr>
        <w:t>Preparation Pack &amp; Outline — Dr Gina Schoeman</w:t>
      </w:r>
    </w:p>
    <w:tbl>
      <w:tblPr>
        <w:tblStyle w:val="TableGrid"/>
        <w:tblW w:type="auto" w:w="0"/>
        <w:tblLook w:firstColumn="1" w:firstRow="1" w:lastColumn="0" w:lastRow="0" w:noHBand="0" w:noVBand="1" w:val="04A0"/>
      </w:tblPr>
      <w:tblGrid>
        <w:gridCol w:w="9936"/>
      </w:tblGrid>
      <w:tr>
        <w:tc>
          <w:tcPr>
            <w:tcW w:type="dxa" w:w="9936"/>
            <w:shd w:val="clear" w:fill="0E6E68"/>
          </w:tcPr>
          <w:p>
            <w:pPr>
              <w:spacing w:after="20"/>
            </w:pPr>
            <w:r>
              <w:rPr>
                <w:b/>
                <w:color w:val="FFFFFF"/>
                <w:sz w:val="20"/>
              </w:rPr>
              <w:t xml:space="preserve">When:  </w:t>
            </w:r>
            <w:r>
              <w:rPr>
                <w:color w:val="FFFFFF"/>
                <w:sz w:val="20"/>
              </w:rPr>
              <w:t>Wednesday · 8:00pm Bali (WITA) / 2:00pm South Africa (SAST) · ~45 min</w:t>
            </w:r>
          </w:p>
          <w:p>
            <w:pPr>
              <w:spacing w:after="20"/>
            </w:pPr>
            <w:r>
              <w:rPr>
                <w:b/>
                <w:color w:val="FFFFFF"/>
                <w:sz w:val="20"/>
              </w:rPr>
              <w:t xml:space="preserve">With:  </w:t>
            </w:r>
            <w:r>
              <w:rPr>
                <w:color w:val="FFFFFF"/>
                <w:sz w:val="20"/>
              </w:rPr>
              <w:t>Jess Morrell (WILBA) + Dr Gina Schoeman</w:t>
            </w:r>
          </w:p>
          <w:p>
            <w:pPr>
              <w:spacing w:after="20"/>
            </w:pPr>
            <w:r>
              <w:rPr>
                <w:b/>
                <w:color w:val="FFFFFF"/>
                <w:sz w:val="20"/>
              </w:rPr>
              <w:t xml:space="preserve">Purpose:  </w:t>
            </w:r>
            <w:r>
              <w:rPr>
                <w:color w:val="FFFFFF"/>
                <w:sz w:val="20"/>
              </w:rPr>
              <w:t>Finish the knowledge base · lock the escalation rules · walk through the social audit · request access</w:t>
            </w:r>
          </w:p>
        </w:tc>
      </w:tr>
    </w:tbl>
    <w:p>
      <w:pPr>
        <w:spacing w:after="80" w:before="0"/>
      </w:pPr>
    </w:p>
    <w:p>
      <w:pPr>
        <w:spacing w:before="280" w:after="60"/>
        <w:pBdr>
          <w:bottom w:val="single" w:sz="6" w:space="2" w:color="C9D2DE"/>
        </w:pBdr>
      </w:pPr>
      <w:r>
        <w:rPr>
          <w:b/>
          <w:color w:val="142A28"/>
          <w:sz w:val="28"/>
        </w:rPr>
        <w:t>Where we are (30-second context)</w:t>
      </w:r>
    </w:p>
    <w:p>
      <w:pPr>
        <w:pStyle w:val="ListBullet"/>
        <w:spacing w:after="40"/>
      </w:pPr>
      <w:r>
        <w:rPr>
          <w:b/>
          <w:color w:val="2E6B4F"/>
        </w:rPr>
        <w:t xml:space="preserve">Shared inbox: </w:t>
      </w:r>
      <w:r>
        <w:t>live — the PA team is working patient WhatsApps from one shared inbox in GoHighLevel.</w:t>
      </w:r>
    </w:p>
    <w:p>
      <w:pPr>
        <w:pStyle w:val="ListBullet"/>
        <w:spacing w:after="40"/>
      </w:pPr>
      <w:r>
        <w:rPr>
          <w:b/>
          <w:color w:val="8A5A0C"/>
        </w:rPr>
        <w:t xml:space="preserve">Knowledge base: </w:t>
      </w:r>
      <w:r>
        <w:t>she has filled in sections 8–13 by email; sections 1–7 (services, bloods, payments, pharmacies) and the escalation boundary still have gaps — that's what this call closes.</w:t>
      </w:r>
    </w:p>
    <w:p>
      <w:pPr>
        <w:pStyle w:val="ListBullet"/>
        <w:spacing w:after="40"/>
      </w:pPr>
      <w:r>
        <w:rPr>
          <w:b/>
        </w:rPr>
        <w:t xml:space="preserve">Not live yet: </w:t>
      </w:r>
      <w:r>
        <w:t>AI-suggested replies and the voice agent are a later phase; they only switch on once the KB + escalation rules are locked. This call is the gate.</w:t>
      </w:r>
    </w:p>
    <w:p>
      <w:pPr>
        <w:pStyle w:val="ListBullet"/>
        <w:spacing w:after="40"/>
      </w:pPr>
      <w:r>
        <w:rPr>
          <w:b/>
        </w:rPr>
        <w:t xml:space="preserve">Discovery calls: </w:t>
      </w:r>
      <w:r>
        <w:t>all PAs, M–F 10:00–16:30 (rota internal); calendar build pending on our side.</w:t>
      </w:r>
    </w:p>
    <w:p>
      <w:pPr>
        <w:spacing w:before="280" w:after="60"/>
        <w:pBdr>
          <w:bottom w:val="single" w:sz="6" w:space="2" w:color="C9D2DE"/>
        </w:pBdr>
      </w:pPr>
      <w:r>
        <w:rPr>
          <w:b/>
          <w:color w:val="A33A2C"/>
          <w:sz w:val="28"/>
        </w:rPr>
        <w:t>Read first — how escalation actually works</w:t>
      </w:r>
    </w:p>
    <w:p>
      <w:pPr>
        <w:spacing w:after="80" w:before="0"/>
      </w:pPr>
      <w:r>
        <w:rPr>
          <w:b w:val="0"/>
          <w:i w:val="0"/>
          <w:sz w:val="21"/>
        </w:rPr>
        <w:t>This is the heart of the call. Every incoming patient message falls into one of three buckets. The job tonight is to make the line between them crystal clear.</w:t>
      </w:r>
    </w:p>
    <w:tbl>
      <w:tblPr>
        <w:tblStyle w:val="TableGrid"/>
        <w:tblW w:type="auto" w:w="0"/>
        <w:tblLook w:firstColumn="1" w:firstRow="1" w:lastColumn="0" w:lastRow="0" w:noHBand="0" w:noVBand="1" w:val="04A0"/>
      </w:tblPr>
      <w:tblGrid>
        <w:gridCol w:w="9936"/>
      </w:tblGrid>
      <w:tr>
        <w:tc>
          <w:tcPr>
            <w:tcW w:type="dxa" w:w="9936"/>
            <w:shd w:val="clear" w:fill="E1EFE7"/>
          </w:tcPr>
          <w:p>
            <w:pPr>
              <w:spacing w:after="40"/>
            </w:pPr>
            <w:r>
              <w:rPr>
                <w:b/>
                <w:color w:val="2E6B4F"/>
                <w:sz w:val="18"/>
              </w:rPr>
              <w:t>BUCKET 1 — THE TEAM HANDLES IT (operational)</w:t>
            </w:r>
          </w:p>
          <w:p>
            <w:pPr>
              <w:spacing w:after="0"/>
            </w:pPr>
            <w:r>
              <w:rPr>
                <w:sz w:val="20"/>
              </w:rPr>
              <w:t>Bookings, rescheduling, blood-test logistics, pricing, addresses/parking, pharmacy status, general admin. PAs answer directly. Later the AI drafts these and a PA approves before sending — a human always hits send.</w:t>
            </w:r>
          </w:p>
        </w:tc>
      </w:tr>
    </w:tbl>
    <w:p>
      <w:pPr>
        <w:spacing w:after="80" w:before="0"/>
      </w:pPr>
    </w:p>
    <w:tbl>
      <w:tblPr>
        <w:tblStyle w:val="TableGrid"/>
        <w:tblW w:type="auto" w:w="0"/>
        <w:tblLook w:firstColumn="1" w:firstRow="1" w:lastColumn="0" w:lastRow="0" w:noHBand="0" w:noVBand="1" w:val="04A0"/>
      </w:tblPr>
      <w:tblGrid>
        <w:gridCol w:w="9936"/>
      </w:tblGrid>
      <w:tr>
        <w:tc>
          <w:tcPr>
            <w:tcW w:type="dxa" w:w="9936"/>
            <w:shd w:val="clear" w:fill="F6ECD6"/>
          </w:tcPr>
          <w:p>
            <w:pPr>
              <w:spacing w:after="40"/>
            </w:pPr>
            <w:r>
              <w:rPr>
                <w:b/>
                <w:color w:val="8A5A0C"/>
                <w:sz w:val="18"/>
              </w:rPr>
              <w:t>BUCKET 2 — ESCALATE TO A CLINICIAN (clinical / sensitive)</w:t>
            </w:r>
          </w:p>
          <w:p>
            <w:pPr>
              <w:spacing w:after="0"/>
            </w:pPr>
            <w:r>
              <w:rPr>
                <w:sz w:val="20"/>
              </w:rPr>
              <w:t>Anything medical: symptoms, results, medication ("should I change my dose?"), "is this safe?", or anything about a specific patient’s clinical history. The PA does NOT answer.</w:t>
            </w:r>
          </w:p>
          <w:p>
            <w:pPr>
              <w:spacing w:after="0"/>
            </w:pPr>
            <w:r>
              <w:rPr>
                <w:sz w:val="20"/>
              </w:rPr>
              <w:t>Today this is manual: the PA copies the message into an email to the doctor AND pastes it onto the patient’s Semble record; the doctor reviews and responds. Blood results always go to the doctor, never to the patient. Complaints too.</w:t>
            </w:r>
          </w:p>
        </w:tc>
      </w:tr>
    </w:tbl>
    <w:p>
      <w:pPr>
        <w:spacing w:after="80" w:before="0"/>
      </w:pPr>
    </w:p>
    <w:tbl>
      <w:tblPr>
        <w:tblStyle w:val="TableGrid"/>
        <w:tblW w:type="auto" w:w="0"/>
        <w:tblLook w:firstColumn="1" w:firstRow="1" w:lastColumn="0" w:lastRow="0" w:noHBand="0" w:noVBand="1" w:val="04A0"/>
      </w:tblPr>
      <w:tblGrid>
        <w:gridCol w:w="9936"/>
      </w:tblGrid>
      <w:tr>
        <w:tc>
          <w:tcPr>
            <w:tcW w:type="dxa" w:w="9936"/>
            <w:shd w:val="clear" w:fill="F6E2DD"/>
          </w:tcPr>
          <w:p>
            <w:pPr>
              <w:spacing w:after="40"/>
            </w:pPr>
            <w:r>
              <w:rPr>
                <w:b/>
                <w:color w:val="A33A2C"/>
                <w:sz w:val="18"/>
              </w:rPr>
              <w:t>BUCKET 3 — URGENT (safeguarding / crisis)</w:t>
            </w:r>
          </w:p>
          <w:p>
            <w:pPr>
              <w:spacing w:after="0"/>
            </w:pPr>
            <w:r>
              <w:rPr>
                <w:sz w:val="20"/>
              </w:rPr>
              <w:t>Mental-health crisis, self-harm, medical emergency. Needs an immediate human plus an urgent alert to a named person. Who is alerted, and the holding line the patient sees, is still undefined — we lock it tonight.</w:t>
            </w:r>
          </w:p>
        </w:tc>
      </w:tr>
    </w:tbl>
    <w:p>
      <w:pPr>
        <w:spacing w:after="80" w:before="0"/>
      </w:pPr>
    </w:p>
    <w:p>
      <w:pPr>
        <w:spacing w:after="120" w:before="40"/>
      </w:pPr>
      <w:r>
        <w:rPr>
          <w:b w:val="0"/>
          <w:i/>
          <w:color w:val="55605F"/>
          <w:sz w:val="21"/>
        </w:rPr>
        <w:t>Why it matters: once Bucket 1 vs Bucket 2 is crystal clear, the PAs never have to guess — and when the AI comes in, it only ever drafts Bucket 1. Everything in Buckets 2 and 3 always goes to a human.</w:t>
      </w:r>
    </w:p>
    <w:p>
      <w:pPr>
        <w:spacing w:before="280" w:after="60"/>
        <w:pBdr>
          <w:bottom w:val="single" w:sz="6" w:space="2" w:color="C9D2DE"/>
        </w:pBdr>
      </w:pPr>
      <w:r>
        <w:rPr>
          <w:b/>
          <w:color w:val="142A28"/>
          <w:sz w:val="28"/>
        </w:rPr>
        <w:t>Agenda (~45 min)</w:t>
      </w:r>
    </w:p>
    <w:tbl>
      <w:tblPr>
        <w:tblStyle w:val="TableGrid"/>
        <w:tblW w:type="auto" w:w="0"/>
        <w:tblLook w:firstColumn="1" w:firstRow="1" w:lastColumn="0" w:lastRow="0" w:noHBand="0" w:noVBand="1" w:val="04A0"/>
      </w:tblPr>
      <w:tblGrid>
        <w:gridCol w:w="3312"/>
        <w:gridCol w:w="3312"/>
        <w:gridCol w:w="3312"/>
      </w:tblGrid>
      <w:tr>
        <w:tc>
          <w:tcPr>
            <w:tcW w:type="dxa" w:w="1296"/>
            <w:shd w:val="clear" w:fill="142A28"/>
          </w:tcPr>
          <w:p>
            <w:r>
              <w:rPr>
                <w:b/>
                <w:color w:val="FFFFFF"/>
                <w:sz w:val="19"/>
              </w:rPr>
              <w:t>Time</w:t>
            </w:r>
          </w:p>
        </w:tc>
        <w:tc>
          <w:tcPr>
            <w:tcW w:type="dxa" w:w="4464"/>
            <w:shd w:val="clear" w:fill="142A28"/>
          </w:tcPr>
          <w:p>
            <w:r>
              <w:rPr>
                <w:b/>
                <w:color w:val="FFFFFF"/>
                <w:sz w:val="19"/>
              </w:rPr>
              <w:t>Item</w:t>
            </w:r>
          </w:p>
        </w:tc>
        <w:tc>
          <w:tcPr>
            <w:tcW w:type="dxa" w:w="3456"/>
            <w:shd w:val="clear" w:fill="142A28"/>
          </w:tcPr>
          <w:p>
            <w:r>
              <w:rPr>
                <w:b/>
                <w:color w:val="FFFFFF"/>
                <w:sz w:val="19"/>
              </w:rPr>
              <w:t>Outcome</w:t>
            </w:r>
          </w:p>
        </w:tc>
      </w:tr>
      <w:tr>
        <w:tc>
          <w:tcPr>
            <w:tcW w:type="dxa" w:w="1296"/>
          </w:tcPr>
          <w:p>
            <w:pPr>
              <w:spacing w:after="20"/>
            </w:pPr>
            <w:r>
              <w:rPr>
                <w:b/>
                <w:color w:val="0E6E68"/>
                <w:sz w:val="19"/>
              </w:rPr>
              <w:t>3 min</w:t>
            </w:r>
          </w:p>
        </w:tc>
        <w:tc>
          <w:tcPr>
            <w:tcW w:type="dxa" w:w="4464"/>
          </w:tcPr>
          <w:p>
            <w:pPr>
              <w:spacing w:after="20"/>
            </w:pPr>
            <w:r>
              <w:rPr>
                <w:sz w:val="19"/>
              </w:rPr>
              <w:t>Warm intro + what we’ll cover</w:t>
            </w:r>
          </w:p>
        </w:tc>
        <w:tc>
          <w:tcPr>
            <w:tcW w:type="dxa" w:w="3456"/>
          </w:tcPr>
          <w:p>
            <w:pPr>
              <w:spacing w:after="20"/>
            </w:pPr>
            <w:r>
              <w:rPr>
                <w:sz w:val="19"/>
              </w:rPr>
              <w:t>Set the frame</w:t>
            </w:r>
          </w:p>
        </w:tc>
      </w:tr>
      <w:tr>
        <w:tc>
          <w:tcPr>
            <w:tcW w:type="dxa" w:w="1296"/>
          </w:tcPr>
          <w:p>
            <w:pPr>
              <w:spacing w:after="20"/>
            </w:pPr>
            <w:r>
              <w:rPr>
                <w:b/>
                <w:color w:val="0E6E68"/>
                <w:sz w:val="19"/>
              </w:rPr>
              <w:t>10 min</w:t>
            </w:r>
          </w:p>
        </w:tc>
        <w:tc>
          <w:tcPr>
            <w:tcW w:type="dxa" w:w="4464"/>
          </w:tcPr>
          <w:p>
            <w:pPr>
              <w:spacing w:after="20"/>
            </w:pPr>
            <w:r>
              <w:rPr>
                <w:sz w:val="19"/>
              </w:rPr>
              <w:t>Finish the knowledge base (quick-fire)</w:t>
            </w:r>
          </w:p>
        </w:tc>
        <w:tc>
          <w:tcPr>
            <w:tcW w:type="dxa" w:w="3456"/>
          </w:tcPr>
          <w:p>
            <w:pPr>
              <w:spacing w:after="20"/>
            </w:pPr>
            <w:r>
              <w:rPr>
                <w:sz w:val="19"/>
              </w:rPr>
              <w:t>Fill the last gaps</w:t>
            </w:r>
          </w:p>
        </w:tc>
      </w:tr>
      <w:tr>
        <w:tc>
          <w:tcPr>
            <w:tcW w:type="dxa" w:w="1296"/>
          </w:tcPr>
          <w:p>
            <w:pPr>
              <w:spacing w:after="20"/>
            </w:pPr>
            <w:r>
              <w:rPr>
                <w:b/>
                <w:color w:val="0E6E68"/>
                <w:sz w:val="19"/>
              </w:rPr>
              <w:t>15 min</w:t>
            </w:r>
          </w:p>
        </w:tc>
        <w:tc>
          <w:tcPr>
            <w:tcW w:type="dxa" w:w="4464"/>
          </w:tcPr>
          <w:p>
            <w:pPr>
              <w:spacing w:after="20"/>
            </w:pPr>
            <w:r>
              <w:rPr>
                <w:sz w:val="19"/>
              </w:rPr>
              <w:t>Lock the escalation rules</w:t>
            </w:r>
          </w:p>
        </w:tc>
        <w:tc>
          <w:tcPr>
            <w:tcW w:type="dxa" w:w="3456"/>
          </w:tcPr>
          <w:p>
            <w:pPr>
              <w:spacing w:after="20"/>
            </w:pPr>
            <w:r>
              <w:rPr>
                <w:sz w:val="19"/>
              </w:rPr>
              <w:t>One clear line for the PAs</w:t>
            </w:r>
          </w:p>
        </w:tc>
      </w:tr>
      <w:tr>
        <w:tc>
          <w:tcPr>
            <w:tcW w:type="dxa" w:w="1296"/>
          </w:tcPr>
          <w:p>
            <w:pPr>
              <w:spacing w:after="20"/>
            </w:pPr>
            <w:r>
              <w:rPr>
                <w:b/>
                <w:color w:val="0E6E68"/>
                <w:sz w:val="19"/>
              </w:rPr>
              <w:t>7 min</w:t>
            </w:r>
          </w:p>
        </w:tc>
        <w:tc>
          <w:tcPr>
            <w:tcW w:type="dxa" w:w="4464"/>
          </w:tcPr>
          <w:p>
            <w:pPr>
              <w:spacing w:after="20"/>
            </w:pPr>
            <w:r>
              <w:rPr>
                <w:sz w:val="19"/>
              </w:rPr>
              <w:t>Doctor routing &amp; oversight</w:t>
            </w:r>
          </w:p>
        </w:tc>
        <w:tc>
          <w:tcPr>
            <w:tcW w:type="dxa" w:w="3456"/>
          </w:tcPr>
          <w:p>
            <w:pPr>
              <w:spacing w:after="20"/>
            </w:pPr>
            <w:r>
              <w:rPr>
                <w:sz w:val="19"/>
              </w:rPr>
              <w:t>Agreed model as clinic scales</w:t>
            </w:r>
          </w:p>
        </w:tc>
      </w:tr>
      <w:tr>
        <w:tc>
          <w:tcPr>
            <w:tcW w:type="dxa" w:w="1296"/>
          </w:tcPr>
          <w:p>
            <w:pPr>
              <w:spacing w:after="20"/>
            </w:pPr>
            <w:r>
              <w:rPr>
                <w:b/>
                <w:color w:val="0E6E68"/>
                <w:sz w:val="19"/>
              </w:rPr>
              <w:t>7 min</w:t>
            </w:r>
          </w:p>
        </w:tc>
        <w:tc>
          <w:tcPr>
            <w:tcW w:type="dxa" w:w="4464"/>
          </w:tcPr>
          <w:p>
            <w:pPr>
              <w:spacing w:after="20"/>
            </w:pPr>
            <w:r>
              <w:rPr>
                <w:sz w:val="19"/>
              </w:rPr>
              <w:t>Social audit + direction</w:t>
            </w:r>
          </w:p>
        </w:tc>
        <w:tc>
          <w:tcPr>
            <w:tcW w:type="dxa" w:w="3456"/>
          </w:tcPr>
          <w:p>
            <w:pPr>
              <w:spacing w:after="20"/>
            </w:pPr>
            <w:r>
              <w:rPr>
                <w:sz w:val="19"/>
              </w:rPr>
              <w:t>One agreed next step</w:t>
            </w:r>
          </w:p>
        </w:tc>
      </w:tr>
      <w:tr>
        <w:tc>
          <w:tcPr>
            <w:tcW w:type="dxa" w:w="1296"/>
          </w:tcPr>
          <w:p>
            <w:pPr>
              <w:spacing w:after="20"/>
            </w:pPr>
            <w:r>
              <w:rPr>
                <w:b/>
                <w:color w:val="0E6E68"/>
                <w:sz w:val="19"/>
              </w:rPr>
              <w:t>3 min</w:t>
            </w:r>
          </w:p>
        </w:tc>
        <w:tc>
          <w:tcPr>
            <w:tcW w:type="dxa" w:w="4464"/>
          </w:tcPr>
          <w:p>
            <w:pPr>
              <w:spacing w:after="20"/>
            </w:pPr>
            <w:r>
              <w:rPr>
                <w:sz w:val="19"/>
              </w:rPr>
              <w:t>Access/permissions + next steps</w:t>
            </w:r>
          </w:p>
        </w:tc>
        <w:tc>
          <w:tcPr>
            <w:tcW w:type="dxa" w:w="3456"/>
          </w:tcPr>
          <w:p>
            <w:pPr>
              <w:spacing w:after="20"/>
            </w:pPr>
            <w:r>
              <w:rPr>
                <w:sz w:val="19"/>
              </w:rPr>
              <w:t>Access requested, actions clear</w:t>
            </w:r>
          </w:p>
        </w:tc>
      </w:tr>
    </w:tbl>
    <w:p>
      <w:pPr>
        <w:spacing w:before="280" w:after="60"/>
        <w:pBdr>
          <w:bottom w:val="single" w:sz="6" w:space="2" w:color="C9D2DE"/>
        </w:pBdr>
      </w:pPr>
      <w:r>
        <w:rPr>
          <w:b/>
          <w:color w:val="142A28"/>
          <w:sz w:val="28"/>
        </w:rPr>
        <w:t>1 · Finish the knowledge base (quick-fire)</w:t>
      </w:r>
    </w:p>
    <w:p>
      <w:pPr>
        <w:spacing w:after="60" w:before="0"/>
      </w:pPr>
      <w:r>
        <w:rPr>
          <w:b w:val="0"/>
          <w:i/>
          <w:color w:val="55605F"/>
          <w:sz w:val="21"/>
        </w:rPr>
        <w:t>Brisk — quick-fire the ones that need her voice; anything needing thought she can add to the doc afterwards.</w:t>
      </w:r>
    </w:p>
    <w:p>
      <w:pPr>
        <w:spacing w:before="160" w:after="40"/>
      </w:pPr>
      <w:r>
        <w:rPr>
          <w:b/>
          <w:color w:val="0B534E"/>
          <w:sz w:val="22"/>
        </w:rPr>
        <w:t>Services &amp; patients (Section 3)</w:t>
      </w:r>
    </w:p>
    <w:p>
      <w:pPr>
        <w:pStyle w:val="ListBullet"/>
        <w:spacing w:after="60"/>
      </w:pPr>
      <w:r>
        <w:rPr>
          <w:b/>
          <w:color w:val="0E6E68"/>
          <w:sz w:val="18"/>
        </w:rPr>
        <w:t xml:space="preserve">ASK  </w:t>
      </w:r>
      <w:r>
        <w:t>Top 3–5 reasons people enquire (by volume)? Which are niche?</w:t>
      </w:r>
    </w:p>
    <w:p>
      <w:pPr>
        <w:pStyle w:val="ListBullet"/>
        <w:spacing w:after="60"/>
      </w:pPr>
      <w:r>
        <w:rPr>
          <w:b/>
          <w:color w:val="0E6E68"/>
          <w:sz w:val="18"/>
        </w:rPr>
        <w:t xml:space="preserve">ASK  </w:t>
      </w:r>
      <w:r>
        <w:t>Anything people ask for that you DON’T offer — how should we politely decline / where do you refer?</w:t>
      </w:r>
    </w:p>
    <w:p>
      <w:pPr>
        <w:pStyle w:val="ListBullet"/>
        <w:spacing w:after="60"/>
      </w:pPr>
      <w:r>
        <w:rPr>
          <w:b/>
          <w:color w:val="0E6E68"/>
          <w:sz w:val="18"/>
        </w:rPr>
        <w:t xml:space="preserve">ASK  </w:t>
      </w:r>
      <w:r>
        <w:t>IV therapy &amp; injectables — walk-in or appointment, and which location(s)?</w:t>
      </w:r>
    </w:p>
    <w:p>
      <w:pPr>
        <w:pStyle w:val="ListBullet"/>
        <w:spacing w:after="60"/>
      </w:pPr>
      <w:r>
        <w:rPr>
          <w:b/>
          <w:color w:val="0E6E68"/>
          <w:sz w:val="18"/>
        </w:rPr>
        <w:t xml:space="preserve">ASK  </w:t>
      </w:r>
      <w:r>
        <w:t>One-off screenings (cardiac / cancer / biological age) — standalone, or only after a consult?</w:t>
      </w:r>
    </w:p>
    <w:p>
      <w:pPr>
        <w:spacing w:before="160" w:after="40"/>
      </w:pPr>
      <w:r>
        <w:rPr>
          <w:b/>
          <w:color w:val="0B534E"/>
          <w:sz w:val="22"/>
        </w:rPr>
        <w:t>Consultations &amp; bloods (Sections 4–5)</w:t>
      </w:r>
    </w:p>
    <w:p>
      <w:pPr>
        <w:pStyle w:val="ListBullet"/>
        <w:spacing w:after="60"/>
      </w:pPr>
      <w:r>
        <w:rPr>
          <w:b/>
          <w:color w:val="0E6E68"/>
          <w:sz w:val="18"/>
        </w:rPr>
        <w:t xml:space="preserve">ASK  </w:t>
      </w:r>
      <w:r>
        <w:t>Rough blood-panel cost + turnaround per path (TDL London / home kit / own results)? (Mati has the new blood prices — confirm we’re aligned.)</w:t>
      </w:r>
    </w:p>
    <w:p>
      <w:pPr>
        <w:pStyle w:val="ListBullet"/>
        <w:spacing w:after="60"/>
      </w:pPr>
      <w:r>
        <w:rPr>
          <w:b/>
          <w:color w:val="0E6E68"/>
          <w:sz w:val="18"/>
        </w:rPr>
        <w:t xml:space="preserve">ASK  </w:t>
      </w:r>
      <w:r>
        <w:t>Home kit — what’s in it and how do they return it?</w:t>
      </w:r>
    </w:p>
    <w:p>
      <w:pPr>
        <w:pStyle w:val="ListBullet"/>
        <w:spacing w:after="60"/>
      </w:pPr>
      <w:r>
        <w:rPr>
          <w:b/>
          <w:color w:val="0E6E68"/>
          <w:sz w:val="18"/>
        </w:rPr>
        <w:t xml:space="preserve">ASK  </w:t>
      </w:r>
      <w:r>
        <w:t>Simple patient-facing reason for the ~1-month gap between bloods and the consult?</w:t>
      </w:r>
    </w:p>
    <w:p>
      <w:pPr>
        <w:pStyle w:val="ListBullet"/>
        <w:spacing w:after="60"/>
      </w:pPr>
      <w:r>
        <w:rPr>
          <w:b/>
          <w:color w:val="0E6E68"/>
          <w:sz w:val="18"/>
        </w:rPr>
        <w:t xml:space="preserve">ASK  </w:t>
      </w:r>
      <w:r>
        <w:t>Anything a patient should bring/prepare before a consult (beyond photo ID)?</w:t>
      </w:r>
    </w:p>
    <w:p>
      <w:pPr>
        <w:spacing w:before="160" w:after="40"/>
      </w:pPr>
      <w:r>
        <w:rPr>
          <w:b/>
          <w:color w:val="0B534E"/>
          <w:sz w:val="22"/>
        </w:rPr>
        <w:t>Payments (Section 6)</w:t>
      </w:r>
    </w:p>
    <w:p>
      <w:pPr>
        <w:pStyle w:val="ListBullet"/>
        <w:spacing w:after="60"/>
      </w:pPr>
      <w:r>
        <w:rPr>
          <w:b/>
          <w:color w:val="0E6E68"/>
          <w:sz w:val="18"/>
        </w:rPr>
        <w:t xml:space="preserve">ASK  </w:t>
      </w:r>
      <w:r>
        <w:t>Payment methods + how quickly they need to pay the blood-test link?</w:t>
      </w:r>
    </w:p>
    <w:p>
      <w:pPr>
        <w:pStyle w:val="ListBullet"/>
        <w:spacing w:after="60"/>
      </w:pPr>
      <w:r>
        <w:rPr>
          <w:b/>
          <w:color w:val="0E6E68"/>
          <w:sz w:val="18"/>
        </w:rPr>
        <w:t xml:space="preserve">ASK  </w:t>
      </w:r>
      <w:r>
        <w:t>Refund/cancellation once a blood test is paid but they don’t proceed?</w:t>
      </w:r>
    </w:p>
    <w:p>
      <w:pPr>
        <w:pStyle w:val="ListBullet"/>
        <w:spacing w:after="60"/>
      </w:pPr>
      <w:r>
        <w:rPr>
          <w:b/>
          <w:color w:val="0E6E68"/>
          <w:sz w:val="18"/>
        </w:rPr>
        <w:t xml:space="preserve">ASK  </w:t>
      </w:r>
      <w:r>
        <w:t>What does a legitimate clinic payment link/sender look like, so the AI can reassure "is this a scam?"</w:t>
      </w:r>
    </w:p>
    <w:p>
      <w:pPr>
        <w:spacing w:before="160" w:after="40"/>
      </w:pPr>
      <w:r>
        <w:rPr>
          <w:b/>
          <w:color w:val="0B534E"/>
          <w:sz w:val="22"/>
        </w:rPr>
        <w:t>Pharmacies &amp; supplements (Section 7)</w:t>
      </w:r>
    </w:p>
    <w:p>
      <w:pPr>
        <w:pStyle w:val="ListBullet"/>
        <w:spacing w:after="60"/>
      </w:pPr>
      <w:r>
        <w:rPr>
          <w:b/>
          <w:color w:val="0E6E68"/>
          <w:sz w:val="18"/>
        </w:rPr>
        <w:t xml:space="preserve">ASK  </w:t>
      </w:r>
      <w:r>
        <w:t>When Zen vs a compounding pharmacy — always the doctor’s call?</w:t>
      </w:r>
    </w:p>
    <w:p>
      <w:pPr>
        <w:pStyle w:val="ListBullet"/>
        <w:spacing w:after="60"/>
      </w:pPr>
      <w:r>
        <w:rPr>
          <w:b/>
          <w:color w:val="0E6E68"/>
          <w:sz w:val="18"/>
        </w:rPr>
        <w:t xml:space="preserve">ASK  </w:t>
      </w:r>
      <w:r>
        <w:t>"I haven’t received my pharmacy link" — the standard chase you’d want?</w:t>
      </w:r>
    </w:p>
    <w:p>
      <w:pPr>
        <w:pStyle w:val="ListBullet"/>
        <w:spacing w:after="60"/>
      </w:pPr>
      <w:r>
        <w:rPr>
          <w:b/>
          <w:color w:val="0E6E68"/>
          <w:sz w:val="18"/>
        </w:rPr>
        <w:t xml:space="preserve">ASK  </w:t>
      </w:r>
      <w:r>
        <w:t>OK for the AI to share the Gut Map code (DRGINA) and a "check your spam" line for Nordic / Vibrant / Natural Dispensary?</w:t>
      </w:r>
    </w:p>
    <w:p>
      <w:pPr>
        <w:spacing w:before="160" w:after="40"/>
      </w:pPr>
      <w:r>
        <w:rPr>
          <w:b/>
          <w:color w:val="0B534E"/>
          <w:sz w:val="22"/>
        </w:rPr>
        <w:t>Future-proofing (Section 15)</w:t>
      </w:r>
    </w:p>
    <w:p>
      <w:pPr>
        <w:pStyle w:val="ListBullet"/>
        <w:spacing w:after="60"/>
      </w:pPr>
      <w:r>
        <w:rPr>
          <w:b/>
          <w:color w:val="0E6E68"/>
          <w:sz w:val="18"/>
        </w:rPr>
        <w:t xml:space="preserve">ASK  </w:t>
      </w:r>
      <w:r>
        <w:t>How often do prices / partners change, and the easiest way to get updates to us?</w:t>
      </w:r>
    </w:p>
    <w:p>
      <w:pPr>
        <w:pStyle w:val="ListBullet"/>
        <w:spacing w:after="60"/>
      </w:pPr>
      <w:r>
        <w:rPr>
          <w:b/>
          <w:color w:val="0E6E68"/>
          <w:sz w:val="18"/>
        </w:rPr>
        <w:t xml:space="preserve">ASK  </w:t>
      </w:r>
      <w:r>
        <w:t>Once live, how should the PAs flag "the AI got this wrong"?</w:t>
      </w:r>
    </w:p>
    <w:p>
      <w:pPr>
        <w:spacing w:before="280" w:after="60"/>
        <w:pBdr>
          <w:bottom w:val="single" w:sz="6" w:space="2" w:color="C9D2DE"/>
        </w:pBdr>
      </w:pPr>
      <w:r>
        <w:rPr>
          <w:b/>
          <w:color w:val="A33A2C"/>
          <w:sz w:val="28"/>
        </w:rPr>
        <w:t>2 · Lock the escalation rules  (THE PRIORITY)</w:t>
      </w:r>
    </w:p>
    <w:p>
      <w:pPr>
        <w:spacing w:after="60" w:before="0"/>
      </w:pPr>
      <w:r>
        <w:rPr>
          <w:b w:val="0"/>
          <w:i/>
          <w:sz w:val="21"/>
        </w:rPr>
        <w:t>Goal: convert the three buckets above into explicit rules the PAs can follow every time, and the AI can be built against. These answers go straight into the staff SOP and the AI guardrails.</w:t>
      </w:r>
    </w:p>
    <w:p>
      <w:pPr>
        <w:spacing w:before="160" w:after="40"/>
      </w:pPr>
      <w:r>
        <w:rPr>
          <w:b/>
          <w:color w:val="0B534E"/>
          <w:sz w:val="22"/>
        </w:rPr>
        <w:t>The clinical line (Bucket 2)</w:t>
      </w:r>
    </w:p>
    <w:p>
      <w:pPr>
        <w:pStyle w:val="ListBullet"/>
        <w:spacing w:after="60"/>
      </w:pPr>
      <w:r>
        <w:rPr>
          <w:b/>
          <w:color w:val="0E6E68"/>
          <w:sz w:val="18"/>
        </w:rPr>
        <w:t xml:space="preserve">ASK  </w:t>
      </w:r>
      <w:r>
        <w:t>Give me 2–3 real examples of questions that SOUND operational but are actually clinical and must escalate.</w:t>
      </w:r>
    </w:p>
    <w:p>
      <w:pPr>
        <w:pStyle w:val="ListBullet"/>
        <w:spacing w:after="60"/>
      </w:pPr>
      <w:r>
        <w:rPr>
          <w:b/>
          <w:color w:val="0E6E68"/>
          <w:sz w:val="18"/>
        </w:rPr>
        <w:t xml:space="preserve">ASK  </w:t>
      </w:r>
      <w:r>
        <w:t>Medication questions ("should I increase / stop my dose, is this side effect normal?") — the exact holding line the patient gets while a human takes over?</w:t>
      </w:r>
    </w:p>
    <w:p>
      <w:pPr>
        <w:pStyle w:val="ListBullet"/>
        <w:spacing w:after="60"/>
      </w:pPr>
      <w:r>
        <w:rPr>
          <w:b/>
          <w:color w:val="0E6E68"/>
          <w:sz w:val="18"/>
        </w:rPr>
        <w:t xml:space="preserve">ASK  </w:t>
      </w:r>
      <w:r>
        <w:t>Blood results — confirm: always to the clinician, never to the patient (unless they send their own)?</w:t>
      </w:r>
    </w:p>
    <w:p>
      <w:pPr>
        <w:pStyle w:val="ListBullet"/>
        <w:spacing w:after="60"/>
      </w:pPr>
      <w:r>
        <w:rPr>
          <w:b/>
          <w:color w:val="0E6E68"/>
          <w:sz w:val="18"/>
        </w:rPr>
        <w:t xml:space="preserve">ASK  </w:t>
      </w:r>
      <w:r>
        <w:t>Prescriptions: exactly what should the PA check before processing a repeat? (current patient? follow-up due per the treatment plan? what if they’re overdue?)</w:t>
      </w:r>
    </w:p>
    <w:p>
      <w:pPr>
        <w:pStyle w:val="ListBullet"/>
        <w:spacing w:after="60"/>
      </w:pPr>
      <w:r>
        <w:rPr>
          <w:b/>
          <w:color w:val="0E6E68"/>
          <w:sz w:val="18"/>
        </w:rPr>
        <w:t xml:space="preserve">ASK  </w:t>
      </w:r>
      <w:r>
        <w:t>The "2 short emails, then it becomes a consultation" rule — confirm the trigger and wording.</w:t>
      </w:r>
    </w:p>
    <w:p>
      <w:pPr>
        <w:spacing w:before="160" w:after="40"/>
      </w:pPr>
      <w:r>
        <w:rPr>
          <w:b/>
          <w:color w:val="0B534E"/>
          <w:sz w:val="22"/>
        </w:rPr>
        <w:t>The urgent line (Bucket 3)</w:t>
      </w:r>
    </w:p>
    <w:p>
      <w:pPr>
        <w:pStyle w:val="ListBullet"/>
        <w:spacing w:after="60"/>
      </w:pPr>
      <w:r>
        <w:rPr>
          <w:b/>
          <w:color w:val="0E6E68"/>
          <w:sz w:val="18"/>
        </w:rPr>
        <w:t xml:space="preserve">ASK  </w:t>
      </w:r>
      <w:r>
        <w:t>A mental-health crisis / self-harm / emergency message — what should the patient be told IMMEDIATELY?</w:t>
      </w:r>
    </w:p>
    <w:p>
      <w:pPr>
        <w:pStyle w:val="ListBullet"/>
        <w:spacing w:after="60"/>
      </w:pPr>
      <w:r>
        <w:rPr>
          <w:b/>
          <w:color w:val="0E6E68"/>
          <w:sz w:val="18"/>
        </w:rPr>
        <w:t xml:space="preserve">ASK  </w:t>
      </w:r>
      <w:r>
        <w:t>Which words or phrases must ALWAYS trigger an urgent human flag, regardless of context?</w:t>
      </w:r>
    </w:p>
    <w:p>
      <w:pPr>
        <w:pStyle w:val="ListBullet"/>
        <w:spacing w:after="60"/>
      </w:pPr>
      <w:r>
        <w:rPr>
          <w:b/>
          <w:color w:val="0E6E68"/>
          <w:sz w:val="18"/>
        </w:rPr>
        <w:t xml:space="preserve">ASK  </w:t>
      </w:r>
      <w:r>
        <w:t>WHO is alerted instantly when a safeguarding message lands, and by what channel?</w:t>
      </w:r>
    </w:p>
    <w:p>
      <w:pPr>
        <w:spacing w:before="160" w:after="40"/>
      </w:pPr>
      <w:r>
        <w:rPr>
          <w:b/>
          <w:color w:val="0B534E"/>
          <w:sz w:val="22"/>
        </w:rPr>
        <w:t>The hard "never" list</w:t>
      </w:r>
    </w:p>
    <w:p>
      <w:pPr>
        <w:pStyle w:val="ListBullet"/>
        <w:spacing w:after="60"/>
      </w:pPr>
      <w:r>
        <w:rPr>
          <w:b/>
          <w:color w:val="0E6E68"/>
          <w:sz w:val="18"/>
        </w:rPr>
        <w:t xml:space="preserve">ASK  </w:t>
      </w:r>
      <w:r>
        <w:t>What must the AI NEVER answer, full stop, no exceptions?</w:t>
      </w:r>
    </w:p>
    <w:p>
      <w:pPr>
        <w:spacing w:before="280" w:after="60"/>
        <w:pBdr>
          <w:bottom w:val="single" w:sz="6" w:space="2" w:color="C9D2DE"/>
        </w:pBdr>
      </w:pPr>
      <w:r>
        <w:rPr>
          <w:b/>
          <w:color w:val="142A28"/>
          <w:sz w:val="28"/>
        </w:rPr>
        <w:t>3 · Doctor routing &amp; oversight  (as the clinic scales)</w:t>
      </w:r>
    </w:p>
    <w:p>
      <w:pPr>
        <w:spacing w:after="60" w:before="0"/>
      </w:pPr>
      <w:r>
        <w:rPr>
          <w:b w:val="0"/>
          <w:i w:val="0"/>
          <w:sz w:val="21"/>
        </w:rPr>
        <w:t>Context to have in mind: right now nearly all clinical escalations go to Gina. As more doctors come on, a clinical query needs to reach THAT patient’s treating doctor. Gina’s concern: doctors answer even on days off, so a query could sit if a doctor is busy or on leave. She wants oversight so nothing slips.</w:t>
      </w:r>
    </w:p>
    <w:p>
      <w:pPr>
        <w:spacing w:after="20" w:before="0"/>
      </w:pPr>
      <w:r>
        <w:rPr>
          <w:b/>
          <w:i w:val="0"/>
          <w:sz w:val="21"/>
        </w:rPr>
        <w:t>Put these three design choices to her:</w:t>
      </w:r>
    </w:p>
    <w:p>
      <w:pPr>
        <w:pStyle w:val="ListBullet"/>
        <w:spacing w:after="60"/>
      </w:pPr>
      <w:r>
        <w:rPr>
          <w:b/>
          <w:color w:val="0E6E68"/>
          <w:sz w:val="18"/>
        </w:rPr>
        <w:t xml:space="preserve">ASK  </w:t>
      </w:r>
      <w:r>
        <w:t>Routing — should a clinical query auto-route to the treating doctor, or land in a shared clinical queue that gets assigned?</w:t>
      </w:r>
    </w:p>
    <w:p>
      <w:pPr>
        <w:pStyle w:val="ListBullet"/>
        <w:spacing w:after="60"/>
      </w:pPr>
      <w:r>
        <w:rPr>
          <w:b/>
          <w:color w:val="0E6E68"/>
          <w:sz w:val="18"/>
        </w:rPr>
        <w:t xml:space="preserve">ASK  </w:t>
      </w:r>
      <w:r>
        <w:t>Oversight — how does she want to stay aware: a daily digest of open queries per doctor, a live shared view she can check anytime, or an alert only when something’s been unanswered for X hours?</w:t>
      </w:r>
    </w:p>
    <w:p>
      <w:pPr>
        <w:pStyle w:val="ListBullet"/>
        <w:spacing w:after="60"/>
      </w:pPr>
      <w:r>
        <w:rPr>
          <w:b/>
          <w:color w:val="0E6E68"/>
          <w:sz w:val="18"/>
        </w:rPr>
        <w:t xml:space="preserve">ASK  </w:t>
      </w:r>
      <w:r>
        <w:t>Leave cover — when a doctor is off, should it reassign automatically or flag to Gina to redirect?</w:t>
      </w:r>
    </w:p>
    <w:tbl>
      <w:tblPr>
        <w:tblStyle w:val="TableGrid"/>
        <w:tblW w:type="auto" w:w="0"/>
        <w:tblLook w:firstColumn="1" w:firstRow="1" w:lastColumn="0" w:lastRow="0" w:noHBand="0" w:noVBand="1" w:val="04A0"/>
      </w:tblPr>
      <w:tblGrid>
        <w:gridCol w:w="9936"/>
      </w:tblGrid>
      <w:tr>
        <w:tc>
          <w:tcPr>
            <w:tcW w:type="dxa" w:w="9936"/>
            <w:shd w:val="clear" w:fill="E4F0ED"/>
          </w:tcPr>
          <w:p>
            <w:pPr>
              <w:spacing w:after="40"/>
            </w:pPr>
            <w:r>
              <w:rPr>
                <w:b/>
                <w:color w:val="0B534E"/>
                <w:sz w:val="18"/>
              </w:rPr>
              <w:t>DON’T OVER-BUILD</w:t>
            </w:r>
          </w:p>
          <w:p>
            <w:pPr>
              <w:spacing w:after="0"/>
            </w:pPr>
            <w:r>
              <w:rPr>
                <w:sz w:val="20"/>
              </w:rPr>
              <w:t>For Phase 1 with one/two doctors, the simplest workable version is: clinical escalations land in the shared inbox flagged for the treating doctor, and Gina gets a short daily digest of anything still open. Note the fuller routing as a Phase-2 build. Agree the interim, capture the vision.</w:t>
            </w:r>
          </w:p>
        </w:tc>
      </w:tr>
    </w:tbl>
    <w:p>
      <w:pPr>
        <w:spacing w:after="80" w:before="0"/>
      </w:pPr>
    </w:p>
    <w:p>
      <w:pPr>
        <w:spacing w:before="280" w:after="60"/>
        <w:pBdr>
          <w:bottom w:val="single" w:sz="6" w:space="2" w:color="C9D2DE"/>
        </w:pBdr>
      </w:pPr>
      <w:r>
        <w:rPr>
          <w:b/>
          <w:color w:val="142A28"/>
          <w:sz w:val="28"/>
        </w:rPr>
        <w:t>4 · Social audit + direction</w:t>
      </w:r>
    </w:p>
    <w:p>
      <w:pPr>
        <w:spacing w:after="40" w:before="0"/>
      </w:pPr>
      <w:r>
        <w:rPr>
          <w:b w:val="0"/>
          <w:i w:val="0"/>
          <w:sz w:val="21"/>
        </w:rPr>
        <w:t>Walk Gina through your audit, then listen. Structure your findings around:</w:t>
      </w:r>
    </w:p>
    <w:p>
      <w:pPr>
        <w:pStyle w:val="ListBullet"/>
        <w:spacing w:after="40"/>
      </w:pPr>
      <w:r>
        <w:rPr>
          <w:b/>
        </w:rPr>
        <w:t xml:space="preserve">Snapshot: </w:t>
      </w:r>
      <w:r>
        <w:t>where things stand now — Instagram &amp; Facebook presence, follower base, posting consistency, what the website conveys, and how a new patient would experience the brand online.</w:t>
      </w:r>
    </w:p>
    <w:p>
      <w:pPr>
        <w:pStyle w:val="ListBullet"/>
        <w:spacing w:after="40"/>
      </w:pPr>
      <w:r>
        <w:rPr>
          <w:b/>
        </w:rPr>
        <w:t xml:space="preserve">Findings: </w:t>
      </w:r>
      <w:r>
        <w:t>what’s working, the clear gaps, and 2–3 realistic quick wins.</w:t>
      </w:r>
    </w:p>
    <w:p>
      <w:pPr>
        <w:pStyle w:val="ListBullet"/>
        <w:spacing w:after="40"/>
      </w:pPr>
      <w:r>
        <w:rPr>
          <w:b/>
          <w:color w:val="0E6E68"/>
        </w:rPr>
        <w:t xml:space="preserve">Recommendation: </w:t>
      </w:r>
      <w:r>
        <w:t>foundation first. Get operations and the incoming doctors solid and the brand polished, THEN scale marketing. Be honest that followers do not equal revenue; branding and consistency come before ad-spend, and marketing only makes sense once there’s capacity to take the patients it brings.</w:t>
      </w:r>
    </w:p>
    <w:p>
      <w:pPr>
        <w:pStyle w:val="ListBullet"/>
        <w:spacing w:after="40"/>
      </w:pPr>
      <w:r>
        <w:rPr>
          <w:b/>
        </w:rPr>
        <w:t xml:space="preserve">Land on: </w:t>
      </w:r>
      <w:r>
        <w:t>hear where SHE wants to take it, then agree ONE next step. Do not over-commit on the call.</w:t>
      </w:r>
    </w:p>
    <w:p>
      <w:pPr>
        <w:spacing w:after="120" w:before="40"/>
      </w:pPr>
      <w:r>
        <w:rPr>
          <w:b/>
          <w:i w:val="0"/>
          <w:color w:val="A33A2C"/>
          <w:sz w:val="21"/>
        </w:rPr>
        <w:t>&gt;&gt; Drop your actual audit findings into this section before the call. &lt;&lt;</w:t>
      </w:r>
    </w:p>
    <w:p>
      <w:pPr>
        <w:spacing w:before="280" w:after="60"/>
        <w:pBdr>
          <w:bottom w:val="single" w:sz="6" w:space="2" w:color="C9D2DE"/>
        </w:pBdr>
      </w:pPr>
      <w:r>
        <w:rPr>
          <w:b/>
          <w:color w:val="142A28"/>
          <w:sz w:val="28"/>
        </w:rPr>
        <w:t>5 · Access &amp; permissions to request</w:t>
      </w:r>
    </w:p>
    <w:p>
      <w:pPr>
        <w:spacing w:after="40" w:before="0"/>
      </w:pPr>
      <w:r>
        <w:rPr>
          <w:b w:val="0"/>
          <w:i/>
          <w:color w:val="55605F"/>
          <w:sz w:val="21"/>
        </w:rPr>
        <w:t>Frame as view / analytics access so we can audit and report properly — scoped, nothing more than needed.</w:t>
      </w:r>
    </w:p>
    <w:p>
      <w:pPr>
        <w:pStyle w:val="ListBullet"/>
        <w:spacing w:after="40"/>
      </w:pPr>
      <w:r>
        <w:rPr>
          <w:b/>
        </w:rPr>
        <w:t xml:space="preserve">Meta Business Manager access </w:t>
      </w:r>
      <w:r>
        <w:t>(Instagram + Facebook) — for analytics and reporting, and it’s needed for the WhatsApp Business verification anyway.</w:t>
      </w:r>
    </w:p>
    <w:p>
      <w:pPr>
        <w:pStyle w:val="ListBullet"/>
        <w:spacing w:after="40"/>
      </w:pPr>
      <w:r>
        <w:rPr>
          <w:b/>
        </w:rPr>
        <w:t xml:space="preserve">Website analytics </w:t>
      </w:r>
      <w:r>
        <w:t>(Google Analytics) — to see traffic and where enquiries actually come from.</w:t>
      </w:r>
    </w:p>
    <w:p>
      <w:pPr>
        <w:pStyle w:val="ListBullet"/>
        <w:spacing w:after="40"/>
      </w:pPr>
      <w:r>
        <w:rPr>
          <w:b/>
        </w:rPr>
        <w:t xml:space="preserve">Google Business Profile </w:t>
      </w:r>
      <w:r>
        <w:t>— for local search visibility.</w:t>
      </w:r>
    </w:p>
    <w:p>
      <w:pPr>
        <w:pStyle w:val="ListBullet"/>
        <w:spacing w:after="40"/>
      </w:pPr>
      <w:r>
        <w:rPr>
          <w:b/>
        </w:rPr>
        <w:t xml:space="preserve">Current social scheduling tool </w:t>
      </w:r>
      <w:r>
        <w:t>— if one exists, plus a quick sense of the scope of the Marianne arrangement so we don’t overlap.</w:t>
      </w:r>
    </w:p>
    <w:p>
      <w:pPr>
        <w:pStyle w:val="ListBullet"/>
        <w:spacing w:after="40"/>
      </w:pPr>
      <w:r>
        <w:rPr>
          <w:b/>
        </w:rPr>
        <w:t xml:space="preserve">Brand assets: </w:t>
      </w:r>
      <w:r>
        <w:t>logo, fonts, approved photography, any existing tone/brand guide.</w:t>
      </w:r>
    </w:p>
    <w:p>
      <w:pPr>
        <w:spacing w:before="280" w:after="60"/>
        <w:pBdr>
          <w:bottom w:val="single" w:sz="6" w:space="2" w:color="C9D2DE"/>
        </w:pBdr>
      </w:pPr>
      <w:r>
        <w:rPr>
          <w:b/>
          <w:color w:val="142A28"/>
          <w:sz w:val="28"/>
        </w:rPr>
        <w:t>Close &amp; next steps</w:t>
      </w:r>
    </w:p>
    <w:p>
      <w:pPr>
        <w:pStyle w:val="ListBullet"/>
        <w:spacing w:after="40"/>
      </w:pPr>
      <w:r>
        <w:t>Recap the escalation rules agreed → straight into the staff SOP.</w:t>
      </w:r>
    </w:p>
    <w:p>
      <w:pPr>
        <w:pStyle w:val="ListBullet"/>
        <w:spacing w:after="40"/>
      </w:pPr>
      <w:r>
        <w:t>Confirm which KB items Gina will finish in the shared doc.</w:t>
      </w:r>
    </w:p>
    <w:p>
      <w:pPr>
        <w:pStyle w:val="ListBullet"/>
        <w:spacing w:after="40"/>
      </w:pPr>
      <w:r>
        <w:t>Confirm the doctor-oversight interim + note the Phase-2 vision.</w:t>
      </w:r>
    </w:p>
    <w:p>
      <w:pPr>
        <w:pStyle w:val="ListBullet"/>
        <w:spacing w:after="40"/>
      </w:pPr>
      <w:r>
        <w:t>Agree the single social next step.</w:t>
      </w:r>
    </w:p>
    <w:p>
      <w:pPr>
        <w:pStyle w:val="ListBullet"/>
        <w:spacing w:after="40"/>
      </w:pPr>
      <w:r>
        <w:t>Send the calendar invite for any follow-up.</w:t>
      </w:r>
    </w:p>
    <w:p>
      <w:pPr>
        <w:spacing w:before="280" w:after="60"/>
        <w:pBdr>
          <w:bottom w:val="single" w:sz="6" w:space="2" w:color="C9D2DE"/>
        </w:pBdr>
      </w:pPr>
      <w:r>
        <w:rPr>
          <w:b/>
          <w:color w:val="142A28"/>
          <w:sz w:val="28"/>
        </w:rPr>
        <w:t>Decisions to capture on the call (tick as you go)</w:t>
      </w:r>
    </w:p>
    <w:p>
      <w:pPr>
        <w:spacing w:after="40"/>
      </w:pPr>
      <w:r>
        <w:rPr>
          <w:sz w:val="22"/>
        </w:rPr>
        <w:t xml:space="preserve">▢  </w:t>
      </w:r>
      <w:r>
        <w:rPr>
          <w:sz w:val="20"/>
        </w:rPr>
        <w:t>Clinical vs operational line — examples locked</w:t>
      </w:r>
    </w:p>
    <w:p>
      <w:pPr>
        <w:spacing w:after="40"/>
      </w:pPr>
      <w:r>
        <w:rPr>
          <w:sz w:val="22"/>
        </w:rPr>
        <w:t xml:space="preserve">▢  </w:t>
      </w:r>
      <w:r>
        <w:rPr>
          <w:sz w:val="20"/>
        </w:rPr>
        <w:t>Medication / results holding lines — worded</w:t>
      </w:r>
    </w:p>
    <w:p>
      <w:pPr>
        <w:spacing w:after="40"/>
      </w:pPr>
      <w:r>
        <w:rPr>
          <w:sz w:val="22"/>
        </w:rPr>
        <w:t xml:space="preserve">▢  </w:t>
      </w:r>
      <w:r>
        <w:rPr>
          <w:sz w:val="20"/>
        </w:rPr>
        <w:t>Prescription check rule — defined</w:t>
      </w:r>
    </w:p>
    <w:p>
      <w:pPr>
        <w:spacing w:after="40"/>
      </w:pPr>
      <w:r>
        <w:rPr>
          <w:sz w:val="22"/>
        </w:rPr>
        <w:t xml:space="preserve">▢  </w:t>
      </w:r>
      <w:r>
        <w:rPr>
          <w:sz w:val="20"/>
        </w:rPr>
        <w:t>Safeguarding: trigger words + who’s alerted + holding line</w:t>
      </w:r>
    </w:p>
    <w:p>
      <w:pPr>
        <w:spacing w:after="40"/>
      </w:pPr>
      <w:r>
        <w:rPr>
          <w:sz w:val="22"/>
        </w:rPr>
        <w:t xml:space="preserve">▢  </w:t>
      </w:r>
      <w:r>
        <w:rPr>
          <w:sz w:val="20"/>
        </w:rPr>
        <w:t>Doctor routing + oversight — interim agreed</w:t>
      </w:r>
    </w:p>
    <w:p>
      <w:pPr>
        <w:spacing w:after="40"/>
      </w:pPr>
      <w:r>
        <w:rPr>
          <w:sz w:val="22"/>
        </w:rPr>
        <w:t xml:space="preserve">▢  </w:t>
      </w:r>
      <w:r>
        <w:rPr>
          <w:sz w:val="20"/>
        </w:rPr>
        <w:t>KB gaps answered (or assigned to the doc)</w:t>
      </w:r>
    </w:p>
    <w:p>
      <w:pPr>
        <w:spacing w:after="40"/>
      </w:pPr>
      <w:r>
        <w:rPr>
          <w:sz w:val="22"/>
        </w:rPr>
        <w:t xml:space="preserve">▢  </w:t>
      </w:r>
      <w:r>
        <w:rPr>
          <w:sz w:val="20"/>
        </w:rPr>
        <w:t>Social — one next step agreed</w:t>
      </w:r>
    </w:p>
    <w:p>
      <w:pPr>
        <w:spacing w:after="40"/>
      </w:pPr>
      <w:r>
        <w:rPr>
          <w:sz w:val="22"/>
        </w:rPr>
        <w:t xml:space="preserve">▢  </w:t>
      </w:r>
      <w:r>
        <w:rPr>
          <w:sz w:val="20"/>
        </w:rPr>
        <w:t>Access granted / requested</w:t>
      </w:r>
    </w:p>
    <w:p>
      <w:pPr>
        <w:spacing w:after="120" w:before="160"/>
      </w:pPr>
    </w:p>
    <w:p>
      <w:pPr>
        <w:spacing w:after="120" w:before="0"/>
      </w:pPr>
      <w:r>
        <w:rPr>
          <w:b w:val="0"/>
          <w:i/>
          <w:color w:val="55605F"/>
          <w:sz w:val="17"/>
        </w:rPr>
        <w:t>Prepared for Jess Morrell · WILBA (wilba.ai) · hello@wilba.ai</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