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4952" w:rsidRDefault="001D38ED">
      <w:pPr>
        <w:spacing w:before="1000" w:after="160"/>
        <w:jc w:val="center"/>
      </w:pPr>
      <w:r>
        <w:rPr>
          <w:b/>
          <w:bCs/>
          <w:color w:val="1B4965"/>
          <w:sz w:val="80"/>
          <w:szCs w:val="80"/>
        </w:rPr>
        <w:br/>
      </w:r>
      <w:r>
        <w:rPr>
          <w:b/>
          <w:bCs/>
          <w:color w:val="1B4965"/>
          <w:sz w:val="80"/>
          <w:szCs w:val="80"/>
        </w:rPr>
        <w:br/>
      </w:r>
      <w:r>
        <w:rPr>
          <w:b/>
          <w:bCs/>
          <w:color w:val="1B4965"/>
          <w:sz w:val="80"/>
          <w:szCs w:val="80"/>
        </w:rPr>
        <w:br/>
      </w:r>
      <w:r>
        <w:rPr>
          <w:b/>
          <w:bCs/>
          <w:color w:val="1B4965"/>
          <w:sz w:val="80"/>
          <w:szCs w:val="80"/>
        </w:rPr>
        <w:br/>
      </w:r>
      <w:r>
        <w:rPr>
          <w:b/>
          <w:bCs/>
          <w:color w:val="1B4965"/>
          <w:sz w:val="80"/>
          <w:szCs w:val="80"/>
        </w:rPr>
        <w:br/>
      </w:r>
      <w:r>
        <w:rPr>
          <w:b/>
          <w:bCs/>
          <w:color w:val="1B4965"/>
          <w:sz w:val="80"/>
          <w:szCs w:val="80"/>
        </w:rPr>
        <w:t>PHASE-XS</w:t>
      </w:r>
    </w:p>
    <w:p w:rsidR="00CD4952" w:rsidRDefault="001D38ED">
      <w:pPr>
        <w:spacing w:after="120"/>
        <w:jc w:val="center"/>
      </w:pPr>
      <w:r>
        <w:rPr>
          <w:i/>
          <w:iCs/>
          <w:color w:val="2A8F9C"/>
          <w:sz w:val="32"/>
          <w:szCs w:val="32"/>
        </w:rPr>
        <w:t>Clinical Trials Intelligence Platform</w:t>
      </w:r>
    </w:p>
    <w:p w:rsidR="00CD4952" w:rsidRDefault="001D38ED">
      <w:pPr>
        <w:spacing w:after="80"/>
        <w:jc w:val="center"/>
      </w:pPr>
      <w:r>
        <w:rPr>
          <w:color w:val="888888"/>
          <w:sz w:val="24"/>
          <w:szCs w:val="24"/>
        </w:rPr>
        <w:t>Project Introduction</w:t>
      </w:r>
    </w:p>
    <w:p w:rsidR="00CD4952" w:rsidRDefault="001D38ED">
      <w:pPr>
        <w:spacing w:after="1200"/>
        <w:jc w:val="center"/>
      </w:pPr>
      <w:r>
        <w:rPr>
          <w:color w:val="AAAAAA"/>
          <w:sz w:val="20"/>
          <w:szCs w:val="20"/>
        </w:rPr>
        <w:t>June 2026</w:t>
      </w:r>
    </w:p>
    <w:p w:rsidR="00CD4952" w:rsidRDefault="001D38ED">
      <w:r>
        <w:br w:type="page"/>
      </w:r>
    </w:p>
    <w:p w:rsidR="00CD4952" w:rsidRDefault="001D38ED" w:rsidP="001D38ED">
      <w:pPr>
        <w:shd w:val="solid" w:color="1B4965" w:fill="1B4965"/>
        <w:spacing w:before="360" w:after="160"/>
        <w:ind w:right="200"/>
      </w:pPr>
      <w:r>
        <w:rPr>
          <w:b/>
          <w:bCs/>
          <w:color w:val="FFFFFF"/>
          <w:sz w:val="28"/>
          <w:szCs w:val="28"/>
        </w:rPr>
        <w:lastRenderedPageBreak/>
        <w:t>Introduction</w:t>
      </w:r>
    </w:p>
    <w:p w:rsidR="00CD4952" w:rsidRDefault="001D38ED" w:rsidP="001C3A30">
      <w:pPr>
        <w:spacing w:after="100"/>
        <w:jc w:val="center"/>
      </w:pPr>
      <w:r>
        <w:t>The global clinical trials landscape is vast, fragmented, and difficult to navigate. Thousands of trials are registered across multiple national and international registries every year, each carrying rich information about drugs, molecules, patient populat</w:t>
      </w:r>
      <w:r>
        <w:t>ions, trial designs, and outcomes — yet this data remains locked in disparate sources with no unified view.</w:t>
      </w:r>
    </w:p>
    <w:p w:rsidR="00CD4952" w:rsidRDefault="00CD4952" w:rsidP="001C3A30">
      <w:pPr>
        <w:spacing w:after="100"/>
        <w:jc w:val="center"/>
      </w:pPr>
    </w:p>
    <w:p w:rsidR="00CD4952" w:rsidRDefault="001D38ED" w:rsidP="001D38ED">
      <w:pPr>
        <w:spacing w:after="100"/>
        <w:jc w:val="center"/>
      </w:pPr>
      <w:r>
        <w:t>PHASE-XS is built to change that. It is a secure, intelligence-driven platform that aggregates, structures, and surfaces clinical trial data from t</w:t>
      </w:r>
      <w:r>
        <w:t>he United States, India, and the United Kingdom into a single interactive dashboard — giving pharmaceutical researchers, biotech teams, and medical professionals the clarity they need to make faster, better-informed decisions.</w:t>
      </w:r>
    </w:p>
    <w:p w:rsidR="00CD4952" w:rsidRDefault="00CD4952">
      <w:pPr>
        <w:spacing w:after="100"/>
      </w:pPr>
    </w:p>
    <w:p w:rsidR="00CD4952" w:rsidRDefault="00CD4952">
      <w:pPr>
        <w:spacing w:after="100"/>
      </w:pPr>
    </w:p>
    <w:p w:rsidR="00CD4952" w:rsidRDefault="001D38ED" w:rsidP="001D38ED">
      <w:pPr>
        <w:shd w:val="solid" w:color="1B4965" w:fill="1B4965"/>
        <w:spacing w:before="360" w:after="160"/>
        <w:ind w:right="200"/>
      </w:pPr>
      <w:r>
        <w:rPr>
          <w:b/>
          <w:bCs/>
          <w:color w:val="FFFFFF"/>
          <w:sz w:val="28"/>
          <w:szCs w:val="28"/>
        </w:rPr>
        <w:t>What Are We Trying to Do?</w:t>
      </w:r>
    </w:p>
    <w:p w:rsidR="00CD4952" w:rsidRDefault="001D38ED" w:rsidP="001D38ED">
      <w:pPr>
        <w:spacing w:after="100"/>
        <w:jc w:val="center"/>
      </w:pPr>
      <w:r>
        <w:t>W</w:t>
      </w:r>
      <w:r>
        <w:t xml:space="preserve">e are building a </w:t>
      </w:r>
      <w:proofErr w:type="spellStart"/>
      <w:r>
        <w:t>centralised</w:t>
      </w:r>
      <w:proofErr w:type="spellEnd"/>
      <w:r>
        <w:t xml:space="preserve"> clinical trials intelligence tool that makes it easy for anyone in the pharmaceutical and biotech ecosystem to explore, filter, compare, and </w:t>
      </w:r>
      <w:r w:rsidR="001C3A30">
        <w:t>analyze</w:t>
      </w:r>
      <w:r>
        <w:t xml:space="preserve"> clinical trial data across geographies — all in one place, with no manual data</w:t>
      </w:r>
      <w:r>
        <w:t xml:space="preserve"> wrangling required.</w:t>
      </w:r>
    </w:p>
    <w:p w:rsidR="00CD4952" w:rsidRDefault="00CD4952">
      <w:pPr>
        <w:spacing w:after="100"/>
      </w:pPr>
    </w:p>
    <w:p w:rsidR="00CD4952" w:rsidRDefault="001D38ED">
      <w:pPr>
        <w:spacing w:after="100"/>
      </w:pPr>
      <w:r>
        <w:rPr>
          <w:b/>
          <w:bCs/>
        </w:rPr>
        <w:t>Specifically, PHASE-XS enables users to:</w:t>
      </w:r>
    </w:p>
    <w:p w:rsidR="00CD4952" w:rsidRDefault="00CD4952">
      <w:pPr>
        <w:spacing w:after="100"/>
      </w:pPr>
    </w:p>
    <w:p w:rsidR="00CD4952" w:rsidRDefault="001D38ED">
      <w:pPr>
        <w:spacing w:after="80"/>
        <w:ind w:left="400"/>
      </w:pPr>
      <w:r>
        <w:rPr>
          <w:color w:val="333333"/>
        </w:rPr>
        <w:t>•  Search trials by molecule, indication, sponsor, trial ID, or free text</w:t>
      </w:r>
    </w:p>
    <w:p w:rsidR="00CD4952" w:rsidRDefault="001D38ED">
      <w:pPr>
        <w:spacing w:after="80"/>
        <w:ind w:left="400"/>
      </w:pPr>
      <w:r>
        <w:rPr>
          <w:color w:val="333333"/>
        </w:rPr>
        <w:t>•  Filter by phase, drug technology, trial design, route of administration, and recruitment status</w:t>
      </w:r>
    </w:p>
    <w:p w:rsidR="00CD4952" w:rsidRDefault="001D38ED">
      <w:pPr>
        <w:spacing w:after="80"/>
        <w:ind w:left="400"/>
      </w:pPr>
      <w:r>
        <w:rPr>
          <w:color w:val="333333"/>
        </w:rPr>
        <w:t>•  View real-time K</w:t>
      </w:r>
      <w:r>
        <w:rPr>
          <w:color w:val="333333"/>
        </w:rPr>
        <w:t>PI metrics — enrollment, duration, adherence, drug pricing</w:t>
      </w:r>
    </w:p>
    <w:p w:rsidR="00CD4952" w:rsidRDefault="001D38ED">
      <w:pPr>
        <w:spacing w:after="80"/>
        <w:ind w:left="400"/>
      </w:pPr>
      <w:r>
        <w:rPr>
          <w:color w:val="333333"/>
        </w:rPr>
        <w:t>•  Explore visual analytics — phase distribution, technology breakdown, timeline trends, top indications</w:t>
      </w:r>
    </w:p>
    <w:p w:rsidR="00CD4952" w:rsidRDefault="001D38ED">
      <w:pPr>
        <w:spacing w:after="80"/>
        <w:ind w:left="400"/>
      </w:pPr>
      <w:r>
        <w:rPr>
          <w:color w:val="333333"/>
        </w:rPr>
        <w:t>•  Drill into individual trials for a full profile and download a PDF report</w:t>
      </w:r>
    </w:p>
    <w:p w:rsidR="00CD4952" w:rsidRDefault="001D38ED">
      <w:pPr>
        <w:spacing w:after="80"/>
        <w:ind w:left="400"/>
      </w:pPr>
      <w:r>
        <w:rPr>
          <w:color w:val="333333"/>
        </w:rPr>
        <w:t>•  Compare spon</w:t>
      </w:r>
      <w:r>
        <w:rPr>
          <w:color w:val="333333"/>
        </w:rPr>
        <w:t>sors, molecules, or indications side by side</w:t>
      </w:r>
    </w:p>
    <w:p w:rsidR="00CD4952" w:rsidRDefault="001D38ED">
      <w:pPr>
        <w:spacing w:after="80"/>
        <w:ind w:left="400"/>
      </w:pPr>
      <w:r>
        <w:rPr>
          <w:color w:val="333333"/>
        </w:rPr>
        <w:t>•  Switch seamlessly between US (NCT), India (CTRI), and UK (ISRCTN) registry data</w:t>
      </w:r>
    </w:p>
    <w:p w:rsidR="00CD4952" w:rsidRDefault="00CD4952">
      <w:pPr>
        <w:spacing w:after="100"/>
      </w:pPr>
    </w:p>
    <w:p w:rsidR="00CD4952" w:rsidRPr="001E0560" w:rsidRDefault="001D38ED" w:rsidP="001D38ED">
      <w:pPr>
        <w:shd w:val="solid" w:color="1B4965" w:fill="1B4965"/>
        <w:spacing w:before="360" w:after="160"/>
        <w:ind w:right="200"/>
        <w:rPr>
          <w:b/>
        </w:rPr>
      </w:pPr>
      <w:r w:rsidRPr="001E0560">
        <w:rPr>
          <w:b/>
          <w:bCs/>
          <w:color w:val="FFFFFF"/>
          <w:sz w:val="28"/>
          <w:szCs w:val="28"/>
        </w:rPr>
        <w:t>The Problem We Are Targeting</w:t>
      </w:r>
    </w:p>
    <w:p w:rsidR="00CD4952" w:rsidRDefault="001D38ED" w:rsidP="001C3A30">
      <w:pPr>
        <w:spacing w:after="100"/>
        <w:jc w:val="center"/>
      </w:pPr>
      <w:r>
        <w:t>Clinical trial data is publicly available — but practically inaccessible. The core problems faced by researchers and pharma teams today are:</w:t>
      </w:r>
    </w:p>
    <w:p w:rsidR="00CD4952" w:rsidRDefault="00CD4952">
      <w:pPr>
        <w:spacing w:after="1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3200"/>
        <w:gridCol w:w="5800"/>
      </w:tblGrid>
      <w:tr w:rsidR="00CD4952">
        <w:tc>
          <w:tcPr>
            <w:tcW w:w="3200" w:type="dxa"/>
            <w:shd w:val="solid" w:color="1B4965" w:fill="1B4965"/>
          </w:tcPr>
          <w:p w:rsidR="00CD4952" w:rsidRDefault="001D38ED">
            <w:r>
              <w:rPr>
                <w:b/>
                <w:bCs/>
                <w:color w:val="FFFFFF"/>
              </w:rPr>
              <w:t>Problem</w:t>
            </w:r>
          </w:p>
        </w:tc>
        <w:tc>
          <w:tcPr>
            <w:tcW w:w="5800" w:type="dxa"/>
            <w:shd w:val="solid" w:color="1B4965" w:fill="1B4965"/>
          </w:tcPr>
          <w:p w:rsidR="00CD4952" w:rsidRDefault="001D38ED">
            <w:r>
              <w:rPr>
                <w:b/>
                <w:bCs/>
                <w:color w:val="FFFFFF"/>
              </w:rPr>
              <w:t>Impact</w:t>
            </w:r>
          </w:p>
        </w:tc>
      </w:tr>
      <w:tr w:rsidR="00CD4952">
        <w:tc>
          <w:tcPr>
            <w:tcW w:w="3200" w:type="dxa"/>
            <w:shd w:val="solid" w:color="FFFFFF" w:fill="FFFFFF"/>
          </w:tcPr>
          <w:p w:rsidR="00CD4952" w:rsidRDefault="001D38ED">
            <w:r>
              <w:rPr>
                <w:b/>
                <w:bCs/>
                <w:color w:val="1B4965"/>
                <w:sz w:val="20"/>
                <w:szCs w:val="20"/>
              </w:rPr>
              <w:t>Fragmented data sources</w:t>
            </w:r>
          </w:p>
        </w:tc>
        <w:tc>
          <w:tcPr>
            <w:tcW w:w="5800" w:type="dxa"/>
            <w:shd w:val="solid" w:color="FFFFFF" w:fill="FFFFFF"/>
          </w:tcPr>
          <w:p w:rsidR="00CD4952" w:rsidRDefault="001D38ED">
            <w:r>
              <w:rPr>
                <w:color w:val="333333"/>
                <w:sz w:val="20"/>
                <w:szCs w:val="20"/>
              </w:rPr>
              <w:t>US, India, and UK registries are separate systems with no cross-registry view, forcing researchers to check multiple databases manually</w:t>
            </w:r>
          </w:p>
        </w:tc>
      </w:tr>
      <w:tr w:rsidR="00CD4952">
        <w:tc>
          <w:tcPr>
            <w:tcW w:w="3200" w:type="dxa"/>
            <w:shd w:val="solid" w:color="F0F4F8" w:fill="F0F4F8"/>
          </w:tcPr>
          <w:p w:rsidR="00CD4952" w:rsidRDefault="001D38ED">
            <w:r>
              <w:rPr>
                <w:b/>
                <w:bCs/>
                <w:color w:val="1B4965"/>
                <w:sz w:val="20"/>
                <w:szCs w:val="20"/>
              </w:rPr>
              <w:t>No analytical layer</w:t>
            </w:r>
          </w:p>
        </w:tc>
        <w:tc>
          <w:tcPr>
            <w:tcW w:w="5800" w:type="dxa"/>
            <w:shd w:val="solid" w:color="F0F4F8" w:fill="F0F4F8"/>
          </w:tcPr>
          <w:p w:rsidR="00CD4952" w:rsidRDefault="001D38ED">
            <w:r>
              <w:rPr>
                <w:color w:val="333333"/>
                <w:sz w:val="20"/>
                <w:szCs w:val="20"/>
              </w:rPr>
              <w:t>Raw registry data offers no KPIs, no charts, no aggregations — users must download CSVs and build their own analysis</w:t>
            </w:r>
          </w:p>
        </w:tc>
      </w:tr>
      <w:tr w:rsidR="00CD4952">
        <w:tc>
          <w:tcPr>
            <w:tcW w:w="3200" w:type="dxa"/>
            <w:shd w:val="solid" w:color="FFFFFF" w:fill="FFFFFF"/>
          </w:tcPr>
          <w:p w:rsidR="00CD4952" w:rsidRDefault="001D38ED">
            <w:r>
              <w:rPr>
                <w:b/>
                <w:bCs/>
                <w:color w:val="1B4965"/>
                <w:sz w:val="20"/>
                <w:szCs w:val="20"/>
              </w:rPr>
              <w:t>Time-intensive research</w:t>
            </w:r>
          </w:p>
        </w:tc>
        <w:tc>
          <w:tcPr>
            <w:tcW w:w="5800" w:type="dxa"/>
            <w:shd w:val="solid" w:color="FFFFFF" w:fill="FFFFFF"/>
          </w:tcPr>
          <w:p w:rsidR="00CD4952" w:rsidRDefault="001D38ED">
            <w:r>
              <w:rPr>
                <w:color w:val="333333"/>
                <w:sz w:val="20"/>
                <w:szCs w:val="20"/>
              </w:rPr>
              <w:t>Identifying competitive landscapes, dominant technologies, or enrollment trends across hundreds of trials can take</w:t>
            </w:r>
            <w:r>
              <w:rPr>
                <w:color w:val="333333"/>
                <w:sz w:val="20"/>
                <w:szCs w:val="20"/>
              </w:rPr>
              <w:t xml:space="preserve"> days</w:t>
            </w:r>
          </w:p>
        </w:tc>
      </w:tr>
      <w:tr w:rsidR="00CD4952">
        <w:tc>
          <w:tcPr>
            <w:tcW w:w="3200" w:type="dxa"/>
            <w:shd w:val="solid" w:color="F0F4F8" w:fill="F0F4F8"/>
          </w:tcPr>
          <w:p w:rsidR="00CD4952" w:rsidRDefault="001D38ED">
            <w:r>
              <w:rPr>
                <w:b/>
                <w:bCs/>
                <w:color w:val="1B4965"/>
                <w:sz w:val="20"/>
                <w:szCs w:val="20"/>
              </w:rPr>
              <w:t>No comparison tool</w:t>
            </w:r>
          </w:p>
        </w:tc>
        <w:tc>
          <w:tcPr>
            <w:tcW w:w="5800" w:type="dxa"/>
            <w:shd w:val="solid" w:color="F0F4F8" w:fill="F0F4F8"/>
          </w:tcPr>
          <w:p w:rsidR="00CD4952" w:rsidRDefault="001D38ED">
            <w:r>
              <w:rPr>
                <w:color w:val="333333"/>
                <w:sz w:val="20"/>
                <w:szCs w:val="20"/>
              </w:rPr>
              <w:t>There is no native way to compare two sponsors, molecules, or indications head to head using registry data</w:t>
            </w:r>
          </w:p>
        </w:tc>
      </w:tr>
      <w:tr w:rsidR="00CD4952">
        <w:tc>
          <w:tcPr>
            <w:tcW w:w="3200" w:type="dxa"/>
            <w:shd w:val="solid" w:color="FFFFFF" w:fill="FFFFFF"/>
          </w:tcPr>
          <w:p w:rsidR="00CD4952" w:rsidRDefault="001D38ED">
            <w:r>
              <w:rPr>
                <w:b/>
                <w:bCs/>
                <w:color w:val="1B4965"/>
                <w:sz w:val="20"/>
                <w:szCs w:val="20"/>
              </w:rPr>
              <w:t>Limited accessibility</w:t>
            </w:r>
          </w:p>
        </w:tc>
        <w:tc>
          <w:tcPr>
            <w:tcW w:w="5800" w:type="dxa"/>
            <w:shd w:val="solid" w:color="FFFFFF" w:fill="FFFFFF"/>
          </w:tcPr>
          <w:p w:rsidR="00CD4952" w:rsidRDefault="001D38ED">
            <w:r>
              <w:rPr>
                <w:color w:val="333333"/>
                <w:sz w:val="20"/>
                <w:szCs w:val="20"/>
              </w:rPr>
              <w:t>Registry interfaces are functional but not built for exploratory research or non-technical users</w:t>
            </w:r>
          </w:p>
        </w:tc>
      </w:tr>
      <w:tr w:rsidR="00CD4952">
        <w:tc>
          <w:tcPr>
            <w:tcW w:w="3200" w:type="dxa"/>
            <w:shd w:val="solid" w:color="F0F4F8" w:fill="F0F4F8"/>
          </w:tcPr>
          <w:p w:rsidR="00CD4952" w:rsidRDefault="001D38ED">
            <w:r>
              <w:rPr>
                <w:b/>
                <w:bCs/>
                <w:color w:val="1B4965"/>
                <w:sz w:val="20"/>
                <w:szCs w:val="20"/>
              </w:rPr>
              <w:lastRenderedPageBreak/>
              <w:t xml:space="preserve">Geography </w:t>
            </w:r>
            <w:proofErr w:type="spellStart"/>
            <w:r>
              <w:rPr>
                <w:b/>
                <w:bCs/>
                <w:color w:val="1B4965"/>
                <w:sz w:val="20"/>
                <w:szCs w:val="20"/>
              </w:rPr>
              <w:t>blindspots</w:t>
            </w:r>
            <w:proofErr w:type="spellEnd"/>
          </w:p>
        </w:tc>
        <w:tc>
          <w:tcPr>
            <w:tcW w:w="5800" w:type="dxa"/>
            <w:shd w:val="solid" w:color="F0F4F8" w:fill="F0F4F8"/>
          </w:tcPr>
          <w:p w:rsidR="00CD4952" w:rsidRDefault="001D38ED">
            <w:r>
              <w:rPr>
                <w:color w:val="333333"/>
                <w:sz w:val="20"/>
                <w:szCs w:val="20"/>
              </w:rPr>
              <w:t>Most teams focus only on US (ClinicalTrials.gov) data, missing significant activity in India and the UK</w:t>
            </w:r>
          </w:p>
        </w:tc>
      </w:tr>
    </w:tbl>
    <w:p w:rsidR="00CD4952" w:rsidRDefault="00CD4952">
      <w:pPr>
        <w:spacing w:after="100"/>
      </w:pPr>
    </w:p>
    <w:p w:rsidR="00CD4952" w:rsidRDefault="001D38ED" w:rsidP="001D38ED">
      <w:pPr>
        <w:shd w:val="solid" w:color="1B4965" w:fill="1B4965"/>
        <w:spacing w:before="360" w:after="160"/>
        <w:ind w:right="200"/>
      </w:pPr>
      <w:r>
        <w:rPr>
          <w:b/>
          <w:bCs/>
          <w:color w:val="FFFFFF"/>
          <w:sz w:val="28"/>
          <w:szCs w:val="28"/>
        </w:rPr>
        <w:t>What Is the Resultant Outcome?</w:t>
      </w:r>
    </w:p>
    <w:p w:rsidR="00CD4952" w:rsidRDefault="001D38ED" w:rsidP="001C3A30">
      <w:pPr>
        <w:spacing w:after="100"/>
        <w:jc w:val="center"/>
      </w:pPr>
      <w:r>
        <w:t>PHASE-XS transforms raw, scattered registry data into actionable intelligence. The outcomes for users are:</w:t>
      </w:r>
    </w:p>
    <w:p w:rsidR="00CD4952" w:rsidRDefault="00CD4952">
      <w:pPr>
        <w:spacing w:after="100"/>
      </w:pPr>
    </w:p>
    <w:p w:rsidR="00CD4952" w:rsidRDefault="001D38ED">
      <w:pPr>
        <w:spacing w:after="100"/>
      </w:pPr>
      <w:r>
        <w:rPr>
          <w:b/>
          <w:bCs/>
          <w:color w:val="1B4965"/>
        </w:rPr>
        <w:t>For Researchers &amp; Scientists:</w:t>
      </w:r>
    </w:p>
    <w:p w:rsidR="00CD4952" w:rsidRDefault="001D38ED">
      <w:pPr>
        <w:spacing w:after="80"/>
        <w:ind w:left="400"/>
      </w:pPr>
      <w:r>
        <w:rPr>
          <w:color w:val="333333"/>
        </w:rPr>
        <w:t>•  Instant access to structured trial data across three registries without any manual lookup</w:t>
      </w:r>
    </w:p>
    <w:p w:rsidR="00CD4952" w:rsidRDefault="001D38ED">
      <w:pPr>
        <w:spacing w:after="80"/>
        <w:ind w:left="400"/>
      </w:pPr>
      <w:r>
        <w:rPr>
          <w:color w:val="333333"/>
        </w:rPr>
        <w:t>•  Ability to identify co</w:t>
      </w:r>
      <w:r>
        <w:rPr>
          <w:color w:val="333333"/>
        </w:rPr>
        <w:t>mpetitive landscape for any molecule or indication in seconds</w:t>
      </w:r>
    </w:p>
    <w:p w:rsidR="00CD4952" w:rsidRDefault="001D38ED">
      <w:pPr>
        <w:spacing w:after="80"/>
        <w:ind w:left="400"/>
      </w:pPr>
      <w:r>
        <w:rPr>
          <w:color w:val="333333"/>
        </w:rPr>
        <w:t>•  Trend visibility — which phases, technologies, and conditions are growing year over year</w:t>
      </w:r>
    </w:p>
    <w:p w:rsidR="00CD4952" w:rsidRDefault="00CD4952">
      <w:pPr>
        <w:spacing w:after="100"/>
      </w:pPr>
    </w:p>
    <w:p w:rsidR="00CD4952" w:rsidRDefault="001D38ED">
      <w:pPr>
        <w:spacing w:after="100"/>
      </w:pPr>
      <w:r>
        <w:rPr>
          <w:b/>
          <w:bCs/>
          <w:color w:val="1B4965"/>
        </w:rPr>
        <w:t>For Pharma &amp; Biotech Teams:</w:t>
      </w:r>
    </w:p>
    <w:p w:rsidR="00CD4952" w:rsidRDefault="001D38ED">
      <w:pPr>
        <w:spacing w:after="80"/>
        <w:ind w:left="400"/>
      </w:pPr>
      <w:r>
        <w:rPr>
          <w:color w:val="333333"/>
        </w:rPr>
        <w:t>•  Benchmarking tool for comparing enrollment sizes, trial durations, and</w:t>
      </w:r>
      <w:r>
        <w:rPr>
          <w:color w:val="333333"/>
        </w:rPr>
        <w:t xml:space="preserve"> adherence across sponsors</w:t>
      </w:r>
    </w:p>
    <w:p w:rsidR="00CD4952" w:rsidRDefault="001D38ED">
      <w:pPr>
        <w:spacing w:after="80"/>
        <w:ind w:left="400"/>
      </w:pPr>
      <w:r>
        <w:rPr>
          <w:color w:val="333333"/>
        </w:rPr>
        <w:t>•  Drug pricing data and adherence rates surfaced alongside trial characteristics</w:t>
      </w:r>
    </w:p>
    <w:p w:rsidR="00CD4952" w:rsidRDefault="001D38ED">
      <w:pPr>
        <w:spacing w:after="80"/>
        <w:ind w:left="400"/>
      </w:pPr>
      <w:r>
        <w:rPr>
          <w:color w:val="333333"/>
        </w:rPr>
        <w:t>•  PDF trial reports for use in presentations, regulatory submissions, and internal reviews</w:t>
      </w:r>
    </w:p>
    <w:p w:rsidR="00CD4952" w:rsidRDefault="00CD4952">
      <w:pPr>
        <w:spacing w:after="100"/>
      </w:pPr>
    </w:p>
    <w:p w:rsidR="00CD4952" w:rsidRDefault="001D38ED">
      <w:pPr>
        <w:spacing w:after="100"/>
      </w:pPr>
      <w:r>
        <w:rPr>
          <w:b/>
          <w:bCs/>
          <w:color w:val="1B4965"/>
        </w:rPr>
        <w:t>For Strategic Decision-Making:</w:t>
      </w:r>
    </w:p>
    <w:p w:rsidR="00CD4952" w:rsidRDefault="001D38ED">
      <w:pPr>
        <w:spacing w:after="80"/>
        <w:ind w:left="400"/>
      </w:pPr>
      <w:r>
        <w:rPr>
          <w:color w:val="333333"/>
        </w:rPr>
        <w:t>•  A single dashboard to assess which geographies are most active for a given indication</w:t>
      </w:r>
    </w:p>
    <w:p w:rsidR="00CD4952" w:rsidRDefault="001D38ED">
      <w:pPr>
        <w:spacing w:after="80"/>
        <w:ind w:left="400"/>
      </w:pPr>
      <w:r>
        <w:rPr>
          <w:color w:val="333333"/>
        </w:rPr>
        <w:t>•  Clear view of technology dominance (</w:t>
      </w:r>
      <w:proofErr w:type="spellStart"/>
      <w:r>
        <w:rPr>
          <w:color w:val="333333"/>
        </w:rPr>
        <w:t>mAb</w:t>
      </w:r>
      <w:proofErr w:type="spellEnd"/>
      <w:r>
        <w:rPr>
          <w:color w:val="333333"/>
        </w:rPr>
        <w:t xml:space="preserve"> vs ADC vs CAR-T </w:t>
      </w:r>
      <w:proofErr w:type="gramStart"/>
      <w:r>
        <w:rPr>
          <w:color w:val="333333"/>
        </w:rPr>
        <w:t>vs</w:t>
      </w:r>
      <w:proofErr w:type="gramEnd"/>
      <w:r>
        <w:rPr>
          <w:color w:val="333333"/>
        </w:rPr>
        <w:t xml:space="preserve"> Bispecific) by phase and market</w:t>
      </w:r>
    </w:p>
    <w:p w:rsidR="00CD4952" w:rsidRDefault="001D38ED" w:rsidP="001C3A30">
      <w:pPr>
        <w:spacing w:after="80"/>
        <w:ind w:left="400"/>
      </w:pPr>
      <w:r>
        <w:rPr>
          <w:color w:val="333333"/>
        </w:rPr>
        <w:t xml:space="preserve">•  Evidence-based insights to </w:t>
      </w:r>
      <w:proofErr w:type="spellStart"/>
      <w:r>
        <w:rPr>
          <w:color w:val="333333"/>
        </w:rPr>
        <w:t>prioritise</w:t>
      </w:r>
      <w:proofErr w:type="spellEnd"/>
      <w:r>
        <w:rPr>
          <w:color w:val="333333"/>
        </w:rPr>
        <w:t xml:space="preserve"> trial design, partnership, or li</w:t>
      </w:r>
      <w:r>
        <w:rPr>
          <w:color w:val="333333"/>
        </w:rPr>
        <w:t>censing decisions</w:t>
      </w:r>
    </w:p>
    <w:p w:rsidR="00CD4952" w:rsidRDefault="001D38ED" w:rsidP="001D38ED">
      <w:pPr>
        <w:shd w:val="solid" w:color="1B4965" w:fill="1B4965"/>
        <w:spacing w:before="360" w:after="160"/>
        <w:ind w:right="200"/>
      </w:pPr>
      <w:bookmarkStart w:id="0" w:name="_GoBack"/>
      <w:bookmarkEnd w:id="0"/>
      <w:r>
        <w:rPr>
          <w:b/>
          <w:bCs/>
          <w:color w:val="FFFFFF"/>
          <w:sz w:val="28"/>
          <w:szCs w:val="28"/>
        </w:rPr>
        <w:t>How It Is Done — Technical Overview</w:t>
      </w:r>
    </w:p>
    <w:p w:rsidR="00CD4952" w:rsidRDefault="001D38ED" w:rsidP="001C3A30">
      <w:pPr>
        <w:spacing w:after="100"/>
        <w:jc w:val="center"/>
      </w:pPr>
      <w:r>
        <w:t>PHASE-XS is a full-stack web application built on modern, production-grade technologies. The system has three layers: data ingestion, backend API, an</w:t>
      </w:r>
      <w:r>
        <w:t>d interactive fron</w:t>
      </w:r>
      <w:r>
        <w:t>t</w:t>
      </w:r>
      <w:r>
        <w:t>e</w:t>
      </w:r>
      <w:r>
        <w:t>n</w:t>
      </w:r>
      <w:r>
        <w:t>d</w:t>
      </w:r>
      <w:r>
        <w:t>.</w:t>
      </w:r>
      <w:r w:rsidR="001C3A30">
        <w:t xml:space="preserve">  </w:t>
      </w:r>
      <w:r w:rsidR="001C3A30">
        <w:br/>
      </w:r>
      <w:r w:rsidR="001C3A30">
        <w:br/>
      </w:r>
      <w:r w:rsidR="001C3A30" w:rsidRPr="001C3A30">
        <w:drawing>
          <wp:inline distT="0" distB="0" distL="0" distR="0" wp14:anchorId="074AD1FB" wp14:editId="5C66302C">
            <wp:extent cx="6290310" cy="31280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290310" cy="3128010"/>
                    </a:xfrm>
                    <a:prstGeom prst="rect">
                      <a:avLst/>
                    </a:prstGeom>
                  </pic:spPr>
                </pic:pic>
              </a:graphicData>
            </a:graphic>
          </wp:inline>
        </w:drawing>
      </w:r>
      <w:r w:rsidR="001C3A30">
        <w:br/>
      </w:r>
      <w:r w:rsidR="001C3A30">
        <w:br/>
      </w:r>
    </w:p>
    <w:p w:rsidR="00CD4952" w:rsidRDefault="001C3A30">
      <w:pPr>
        <w:spacing w:after="100"/>
      </w:pPr>
      <w:r>
        <w:lastRenderedPageBreak/>
        <w:br/>
      </w:r>
      <w:r>
        <w:br/>
      </w:r>
    </w:p>
    <w:p w:rsidR="00CD4952" w:rsidRDefault="001D38ED">
      <w:pPr>
        <w:pBdr>
          <w:bottom w:val="single" w:sz="3" w:space="0" w:color="2A8F9C"/>
        </w:pBdr>
        <w:spacing w:before="200" w:after="100"/>
      </w:pPr>
      <w:r>
        <w:rPr>
          <w:b/>
          <w:bCs/>
          <w:color w:val="2A8F9C"/>
          <w:sz w:val="24"/>
          <w:szCs w:val="24"/>
        </w:rPr>
        <w:t>1.  Data Layer</w:t>
      </w:r>
    </w:p>
    <w:p w:rsidR="00CD4952" w:rsidRDefault="001D38ED">
      <w:pPr>
        <w:spacing w:after="100"/>
      </w:pPr>
      <w:r>
        <w:t xml:space="preserve">Clinical trial data from three registries is imported into a PostgreSQL database using custom </w:t>
      </w:r>
      <w:proofErr w:type="spellStart"/>
      <w:r>
        <w:t>TypeScript</w:t>
      </w:r>
      <w:proofErr w:type="spellEnd"/>
      <w:r>
        <w:t xml:space="preserve"> scripts:</w:t>
      </w:r>
    </w:p>
    <w:p w:rsidR="00CD4952" w:rsidRDefault="001D38ED">
      <w:pPr>
        <w:spacing w:after="80"/>
        <w:ind w:left="400"/>
      </w:pPr>
      <w:r>
        <w:rPr>
          <w:color w:val="333333"/>
        </w:rPr>
        <w:t>•  append-</w:t>
      </w:r>
      <w:proofErr w:type="spellStart"/>
      <w:r>
        <w:rPr>
          <w:color w:val="333333"/>
        </w:rPr>
        <w:t>uk</w:t>
      </w:r>
      <w:proofErr w:type="spellEnd"/>
      <w:r>
        <w:rPr>
          <w:color w:val="333333"/>
        </w:rPr>
        <w:t>-to-</w:t>
      </w:r>
      <w:proofErr w:type="spellStart"/>
      <w:r>
        <w:rPr>
          <w:color w:val="333333"/>
        </w:rPr>
        <w:t>postgres.ts</w:t>
      </w:r>
      <w:proofErr w:type="spellEnd"/>
      <w:r>
        <w:rPr>
          <w:color w:val="333333"/>
        </w:rPr>
        <w:t xml:space="preserve"> — imports UK cancer trials from ISRCTN</w:t>
      </w:r>
      <w:r>
        <w:rPr>
          <w:color w:val="333333"/>
        </w:rPr>
        <w:t xml:space="preserve"> exports</w:t>
      </w:r>
    </w:p>
    <w:p w:rsidR="00CD4952" w:rsidRDefault="001D38ED">
      <w:pPr>
        <w:spacing w:after="80"/>
        <w:ind w:left="400"/>
      </w:pPr>
      <w:r>
        <w:rPr>
          <w:color w:val="333333"/>
        </w:rPr>
        <w:t>•  append-</w:t>
      </w:r>
      <w:proofErr w:type="spellStart"/>
      <w:r>
        <w:rPr>
          <w:color w:val="333333"/>
        </w:rPr>
        <w:t>ctri</w:t>
      </w:r>
      <w:proofErr w:type="spellEnd"/>
      <w:r>
        <w:rPr>
          <w:color w:val="333333"/>
        </w:rPr>
        <w:t>-to-</w:t>
      </w:r>
      <w:proofErr w:type="spellStart"/>
      <w:r>
        <w:rPr>
          <w:color w:val="333333"/>
        </w:rPr>
        <w:t>postgres.ts</w:t>
      </w:r>
      <w:proofErr w:type="spellEnd"/>
      <w:r>
        <w:rPr>
          <w:color w:val="333333"/>
        </w:rPr>
        <w:t xml:space="preserve"> — imports Indian trials from CT</w:t>
      </w:r>
      <w:r>
        <w:rPr>
          <w:color w:val="333333"/>
        </w:rPr>
        <w:t>RI</w:t>
      </w:r>
      <w:r>
        <w:rPr>
          <w:color w:val="333333"/>
        </w:rPr>
        <w:t xml:space="preserve"> files</w:t>
      </w:r>
    </w:p>
    <w:p w:rsidR="00CD4952" w:rsidRDefault="001D38ED">
      <w:pPr>
        <w:spacing w:after="80"/>
        <w:ind w:left="400"/>
      </w:pPr>
      <w:r>
        <w:rPr>
          <w:color w:val="333333"/>
        </w:rPr>
        <w:t>•  sync-trials-from-</w:t>
      </w:r>
      <w:proofErr w:type="spellStart"/>
      <w:r>
        <w:rPr>
          <w:color w:val="333333"/>
        </w:rPr>
        <w:t>xlsx.mjs</w:t>
      </w:r>
      <w:proofErr w:type="spellEnd"/>
      <w:r>
        <w:rPr>
          <w:color w:val="333333"/>
        </w:rPr>
        <w:t xml:space="preserve"> — imports US trials from ClinicalTrials.gov exports</w:t>
      </w:r>
    </w:p>
    <w:p w:rsidR="00CD4952" w:rsidRDefault="001D38ED">
      <w:pPr>
        <w:spacing w:after="100"/>
      </w:pPr>
      <w:r>
        <w:t>Database indexes are created on key fields (trial ID, molecule, phase, indication, sponsor) to ensure fast query performance even across large datasets.</w:t>
      </w:r>
    </w:p>
    <w:p w:rsidR="00CD4952" w:rsidRDefault="001E0560">
      <w:pPr>
        <w:spacing w:after="100"/>
      </w:pPr>
      <w:r w:rsidRPr="001E0560">
        <w:drawing>
          <wp:inline distT="0" distB="0" distL="0" distR="0" wp14:anchorId="0DE4B994" wp14:editId="28967B9A">
            <wp:extent cx="6290310" cy="30105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290310" cy="3010535"/>
                    </a:xfrm>
                    <a:prstGeom prst="rect">
                      <a:avLst/>
                    </a:prstGeom>
                  </pic:spPr>
                </pic:pic>
              </a:graphicData>
            </a:graphic>
          </wp:inline>
        </w:drawing>
      </w:r>
      <w:r>
        <w:br/>
      </w:r>
    </w:p>
    <w:p w:rsidR="00CD4952" w:rsidRDefault="001D38ED">
      <w:pPr>
        <w:pBdr>
          <w:bottom w:val="single" w:sz="3" w:space="0" w:color="2A8F9C"/>
        </w:pBdr>
        <w:spacing w:before="200" w:after="100"/>
      </w:pPr>
      <w:r>
        <w:rPr>
          <w:b/>
          <w:bCs/>
          <w:color w:val="2A8F9C"/>
          <w:sz w:val="24"/>
          <w:szCs w:val="24"/>
        </w:rPr>
        <w:t>2.  Back</w:t>
      </w:r>
      <w:r>
        <w:rPr>
          <w:b/>
          <w:bCs/>
          <w:color w:val="2A8F9C"/>
          <w:sz w:val="24"/>
          <w:szCs w:val="24"/>
        </w:rPr>
        <w:t>end API</w:t>
      </w:r>
    </w:p>
    <w:p w:rsidR="00CD4952" w:rsidRDefault="001D38ED">
      <w:pPr>
        <w:spacing w:after="100"/>
      </w:pPr>
      <w:r>
        <w:t>The backend is built with Next.js 16 App Router, using Server Components and API Routes:</w:t>
      </w:r>
    </w:p>
    <w:p w:rsidR="00CD4952" w:rsidRDefault="001D38ED">
      <w:pPr>
        <w:spacing w:after="80"/>
        <w:ind w:left="400"/>
      </w:pPr>
      <w:r>
        <w:rPr>
          <w:color w:val="333333"/>
        </w:rPr>
        <w:t>•  dashboard-</w:t>
      </w:r>
      <w:proofErr w:type="spellStart"/>
      <w:r>
        <w:rPr>
          <w:color w:val="333333"/>
        </w:rPr>
        <w:t>query.ts</w:t>
      </w:r>
      <w:proofErr w:type="spellEnd"/>
      <w:r>
        <w:rPr>
          <w:color w:val="333333"/>
        </w:rPr>
        <w:t xml:space="preserve"> — builds </w:t>
      </w:r>
      <w:proofErr w:type="spellStart"/>
      <w:r>
        <w:rPr>
          <w:color w:val="333333"/>
        </w:rPr>
        <w:t>parameterised</w:t>
      </w:r>
      <w:proofErr w:type="spellEnd"/>
      <w:r>
        <w:rPr>
          <w:color w:val="333333"/>
        </w:rPr>
        <w:t xml:space="preserve"> SQL queries from active filters and returns KPIs, chart data, and paginated table rows in a single call</w:t>
      </w:r>
    </w:p>
    <w:p w:rsidR="00CD4952" w:rsidRDefault="001D38ED">
      <w:pPr>
        <w:spacing w:after="80"/>
        <w:ind w:left="400"/>
      </w:pPr>
      <w:r>
        <w:rPr>
          <w:color w:val="333333"/>
        </w:rPr>
        <w:t>•  dashboa</w:t>
      </w:r>
      <w:r>
        <w:rPr>
          <w:color w:val="333333"/>
        </w:rPr>
        <w:t>rd-</w:t>
      </w:r>
      <w:proofErr w:type="spellStart"/>
      <w:r>
        <w:rPr>
          <w:color w:val="333333"/>
        </w:rPr>
        <w:t>region.ts</w:t>
      </w:r>
      <w:proofErr w:type="spellEnd"/>
      <w:r>
        <w:rPr>
          <w:color w:val="333333"/>
        </w:rPr>
        <w:t xml:space="preserve"> — defines region profiles (US / India / UK), each specifying its own table, columns, KPI set, and chart configuration</w:t>
      </w:r>
    </w:p>
    <w:p w:rsidR="00CD4952" w:rsidRDefault="001D38ED">
      <w:pPr>
        <w:spacing w:after="80"/>
        <w:ind w:left="400"/>
      </w:pPr>
      <w:r>
        <w:rPr>
          <w:color w:val="333333"/>
        </w:rPr>
        <w:t>•  insights-</w:t>
      </w:r>
      <w:proofErr w:type="spellStart"/>
      <w:r>
        <w:rPr>
          <w:color w:val="333333"/>
        </w:rPr>
        <w:t>query.ts</w:t>
      </w:r>
      <w:proofErr w:type="spellEnd"/>
      <w:r>
        <w:rPr>
          <w:color w:val="333333"/>
        </w:rPr>
        <w:t xml:space="preserve"> — generates contextual insight summaries from aggregate query results</w:t>
      </w:r>
    </w:p>
    <w:p w:rsidR="00CD4952" w:rsidRDefault="001D38ED">
      <w:pPr>
        <w:spacing w:after="80"/>
        <w:ind w:left="400"/>
      </w:pPr>
      <w:r>
        <w:rPr>
          <w:color w:val="333333"/>
        </w:rPr>
        <w:t>•  trial-detail-</w:t>
      </w:r>
      <w:proofErr w:type="spellStart"/>
      <w:r>
        <w:rPr>
          <w:color w:val="333333"/>
        </w:rPr>
        <w:t>db.ts</w:t>
      </w:r>
      <w:proofErr w:type="spellEnd"/>
      <w:r>
        <w:rPr>
          <w:color w:val="333333"/>
        </w:rPr>
        <w:t xml:space="preserve"> — fetches fu</w:t>
      </w:r>
      <w:r>
        <w:rPr>
          <w:color w:val="333333"/>
        </w:rPr>
        <w:t>ll trial detail records for the slide-over panel and PDF export</w:t>
      </w:r>
    </w:p>
    <w:p w:rsidR="00CD4952" w:rsidRDefault="001D38ED">
      <w:pPr>
        <w:spacing w:after="100"/>
      </w:pPr>
      <w:r>
        <w:t>Auth0 middleware protects all dashboard routes, redirecting unauthenticated users to the login flow.</w:t>
      </w:r>
    </w:p>
    <w:p w:rsidR="00CD4952" w:rsidRDefault="00CD4952">
      <w:pPr>
        <w:spacing w:after="100"/>
      </w:pPr>
    </w:p>
    <w:p w:rsidR="00CD4952" w:rsidRDefault="001D38ED">
      <w:pPr>
        <w:pBdr>
          <w:bottom w:val="single" w:sz="3" w:space="0" w:color="2A8F9C"/>
        </w:pBdr>
        <w:spacing w:before="200" w:after="100"/>
      </w:pPr>
      <w:r>
        <w:rPr>
          <w:b/>
          <w:bCs/>
          <w:color w:val="2A8F9C"/>
          <w:sz w:val="24"/>
          <w:szCs w:val="24"/>
        </w:rPr>
        <w:t>3.  Frontend Dashboard</w:t>
      </w:r>
    </w:p>
    <w:p w:rsidR="00CD4952" w:rsidRDefault="001D38ED">
      <w:pPr>
        <w:spacing w:after="100"/>
      </w:pPr>
      <w:r>
        <w:t>Built with React 19 and Tailwind CSS, the dashboard is fully intera</w:t>
      </w:r>
      <w:r>
        <w:t>ctive and server-side rendered for fast initial loads:</w:t>
      </w:r>
    </w:p>
    <w:p w:rsidR="00CD4952" w:rsidRDefault="001D38ED">
      <w:pPr>
        <w:spacing w:after="80"/>
        <w:ind w:left="400"/>
      </w:pPr>
      <w:r>
        <w:rPr>
          <w:color w:val="333333"/>
        </w:rPr>
        <w:t>•  Filters, search, and region tab state are managed client-side and trigger server fetches on change</w:t>
      </w:r>
    </w:p>
    <w:p w:rsidR="00CD4952" w:rsidRDefault="001D38ED">
      <w:pPr>
        <w:spacing w:after="80"/>
        <w:ind w:left="400"/>
      </w:pPr>
      <w:r>
        <w:rPr>
          <w:color w:val="333333"/>
        </w:rPr>
        <w:t xml:space="preserve">•  </w:t>
      </w:r>
      <w:proofErr w:type="spellStart"/>
      <w:r>
        <w:rPr>
          <w:color w:val="333333"/>
        </w:rPr>
        <w:t>Recharts</w:t>
      </w:r>
      <w:proofErr w:type="spellEnd"/>
      <w:r>
        <w:rPr>
          <w:color w:val="333333"/>
        </w:rPr>
        <w:t xml:space="preserve"> renders all analytics charts (pie, bar, area) with live data bound to the current filte</w:t>
      </w:r>
      <w:r>
        <w:rPr>
          <w:color w:val="333333"/>
        </w:rPr>
        <w:t>r state</w:t>
      </w:r>
    </w:p>
    <w:p w:rsidR="00CD4952" w:rsidRDefault="001D38ED">
      <w:pPr>
        <w:spacing w:after="80"/>
        <w:ind w:left="400"/>
      </w:pPr>
      <w:r>
        <w:rPr>
          <w:color w:val="333333"/>
        </w:rPr>
        <w:t xml:space="preserve">•  The trial detail sheet is a Radix UI sheet component loaded on row click, with </w:t>
      </w:r>
      <w:proofErr w:type="spellStart"/>
      <w:r>
        <w:rPr>
          <w:color w:val="333333"/>
        </w:rPr>
        <w:t>jsPDF</w:t>
      </w:r>
      <w:proofErr w:type="spellEnd"/>
      <w:r>
        <w:rPr>
          <w:color w:val="333333"/>
        </w:rPr>
        <w:t xml:space="preserve"> generating downloadable reports</w:t>
      </w:r>
    </w:p>
    <w:p w:rsidR="001E0560" w:rsidRDefault="001D38ED" w:rsidP="001E0560">
      <w:pPr>
        <w:spacing w:after="80"/>
        <w:ind w:left="720"/>
        <w:rPr>
          <w:b/>
          <w:sz w:val="28"/>
          <w:szCs w:val="28"/>
        </w:rPr>
      </w:pPr>
      <w:r>
        <w:rPr>
          <w:color w:val="333333"/>
        </w:rPr>
        <w:t>•  Framer Motion and GSAP power the landing page animations, including the split-flap trial count display</w:t>
      </w:r>
      <w:r w:rsidR="001E0560">
        <w:rPr>
          <w:color w:val="333333"/>
        </w:rPr>
        <w:br/>
      </w:r>
      <w:r w:rsidR="001E0560" w:rsidRPr="001E0560">
        <w:rPr>
          <w:b/>
          <w:color w:val="333333"/>
        </w:rPr>
        <w:br/>
      </w:r>
      <w:r w:rsidR="001E0560" w:rsidRPr="001E0560">
        <w:rPr>
          <w:b/>
          <w:color w:val="333333"/>
          <w:sz w:val="28"/>
          <w:szCs w:val="28"/>
        </w:rPr>
        <w:lastRenderedPageBreak/>
        <w:t>Graphs</w:t>
      </w:r>
      <w:r w:rsidR="001E0560">
        <w:rPr>
          <w:color w:val="333333"/>
        </w:rPr>
        <w:br/>
      </w:r>
      <w:r w:rsidR="001E0560">
        <w:rPr>
          <w:color w:val="333333"/>
        </w:rPr>
        <w:br/>
      </w:r>
      <w:r w:rsidR="001E0560" w:rsidRPr="001E0560">
        <w:drawing>
          <wp:inline distT="0" distB="0" distL="0" distR="0" wp14:anchorId="054DCE97" wp14:editId="05B3735D">
            <wp:extent cx="6290310" cy="2979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90310" cy="2979420"/>
                    </a:xfrm>
                    <a:prstGeom prst="rect">
                      <a:avLst/>
                    </a:prstGeom>
                  </pic:spPr>
                </pic:pic>
              </a:graphicData>
            </a:graphic>
          </wp:inline>
        </w:drawing>
      </w:r>
      <w:r w:rsidR="001E0560">
        <w:rPr>
          <w:color w:val="333333"/>
        </w:rPr>
        <w:br/>
      </w:r>
      <w:r w:rsidR="001E0560">
        <w:rPr>
          <w:color w:val="333333"/>
        </w:rPr>
        <w:br/>
      </w:r>
      <w:r w:rsidR="001E0560">
        <w:rPr>
          <w:color w:val="333333"/>
        </w:rPr>
        <w:br/>
      </w:r>
      <w:r w:rsidR="001E0560" w:rsidRPr="001E0560">
        <w:rPr>
          <w:b/>
          <w:sz w:val="28"/>
          <w:szCs w:val="28"/>
        </w:rPr>
        <w:t>Trial Records</w:t>
      </w:r>
      <w:r w:rsidR="001E0560">
        <w:rPr>
          <w:b/>
          <w:sz w:val="28"/>
          <w:szCs w:val="28"/>
        </w:rPr>
        <w:br/>
      </w:r>
      <w:r w:rsidR="001E0560">
        <w:rPr>
          <w:b/>
          <w:sz w:val="28"/>
          <w:szCs w:val="28"/>
        </w:rPr>
        <w:br/>
      </w:r>
      <w:r w:rsidR="001E0560" w:rsidRPr="001E0560">
        <w:rPr>
          <w:b/>
        </w:rPr>
        <w:drawing>
          <wp:inline distT="0" distB="0" distL="0" distR="0" wp14:anchorId="333EBD50" wp14:editId="3B2824E4">
            <wp:extent cx="6290310" cy="2787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90310" cy="2787650"/>
                    </a:xfrm>
                    <a:prstGeom prst="rect">
                      <a:avLst/>
                    </a:prstGeom>
                  </pic:spPr>
                </pic:pic>
              </a:graphicData>
            </a:graphic>
          </wp:inline>
        </w:drawing>
      </w:r>
      <w:r w:rsidR="001E0560">
        <w:rPr>
          <w:b/>
          <w:sz w:val="28"/>
          <w:szCs w:val="28"/>
        </w:rPr>
        <w:br/>
      </w:r>
    </w:p>
    <w:p w:rsidR="001E0560" w:rsidRDefault="001E0560" w:rsidP="001E0560">
      <w:pPr>
        <w:spacing w:after="80"/>
        <w:ind w:left="720"/>
        <w:rPr>
          <w:b/>
          <w:sz w:val="28"/>
          <w:szCs w:val="28"/>
        </w:rPr>
      </w:pPr>
      <w:r>
        <w:rPr>
          <w:b/>
          <w:sz w:val="28"/>
          <w:szCs w:val="28"/>
        </w:rPr>
        <w:t>Report View</w:t>
      </w:r>
      <w:r>
        <w:rPr>
          <w:b/>
          <w:sz w:val="28"/>
          <w:szCs w:val="28"/>
        </w:rPr>
        <w:br/>
      </w:r>
      <w:r>
        <w:rPr>
          <w:b/>
          <w:sz w:val="28"/>
          <w:szCs w:val="28"/>
        </w:rPr>
        <w:br/>
      </w:r>
      <w:r w:rsidRPr="001E0560">
        <w:rPr>
          <w:b/>
          <w:sz w:val="28"/>
          <w:szCs w:val="28"/>
        </w:rPr>
        <w:lastRenderedPageBreak/>
        <w:drawing>
          <wp:inline distT="0" distB="0" distL="0" distR="0" wp14:anchorId="0E6E2991" wp14:editId="3CAB04D2">
            <wp:extent cx="6290310" cy="29825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90310" cy="2982595"/>
                    </a:xfrm>
                    <a:prstGeom prst="rect">
                      <a:avLst/>
                    </a:prstGeom>
                  </pic:spPr>
                </pic:pic>
              </a:graphicData>
            </a:graphic>
          </wp:inline>
        </w:drawing>
      </w:r>
      <w:r>
        <w:rPr>
          <w:b/>
          <w:sz w:val="28"/>
          <w:szCs w:val="28"/>
        </w:rPr>
        <w:br/>
      </w:r>
      <w:r>
        <w:rPr>
          <w:b/>
          <w:sz w:val="28"/>
          <w:szCs w:val="28"/>
        </w:rPr>
        <w:br/>
        <w:t xml:space="preserve"> </w:t>
      </w:r>
      <w:r>
        <w:rPr>
          <w:b/>
          <w:sz w:val="28"/>
          <w:szCs w:val="28"/>
        </w:rPr>
        <w:br/>
      </w:r>
      <w:r w:rsidRPr="001E0560">
        <w:rPr>
          <w:b/>
          <w:sz w:val="28"/>
          <w:szCs w:val="28"/>
        </w:rPr>
        <w:drawing>
          <wp:inline distT="0" distB="0" distL="0" distR="0" wp14:anchorId="531A8D56" wp14:editId="067B15CE">
            <wp:extent cx="6290310" cy="29533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90310" cy="2953385"/>
                    </a:xfrm>
                    <a:prstGeom prst="rect">
                      <a:avLst/>
                    </a:prstGeom>
                  </pic:spPr>
                </pic:pic>
              </a:graphicData>
            </a:graphic>
          </wp:inline>
        </w:drawing>
      </w:r>
      <w:r>
        <w:rPr>
          <w:b/>
          <w:sz w:val="28"/>
          <w:szCs w:val="28"/>
        </w:rPr>
        <w:br/>
      </w:r>
      <w:r>
        <w:rPr>
          <w:b/>
          <w:sz w:val="28"/>
          <w:szCs w:val="28"/>
        </w:rPr>
        <w:br/>
      </w:r>
      <w:r>
        <w:rPr>
          <w:b/>
          <w:sz w:val="28"/>
          <w:szCs w:val="28"/>
        </w:rPr>
        <w:br/>
      </w:r>
      <w:r>
        <w:rPr>
          <w:b/>
          <w:sz w:val="28"/>
          <w:szCs w:val="28"/>
        </w:rPr>
        <w:br/>
      </w:r>
      <w:r>
        <w:rPr>
          <w:b/>
          <w:sz w:val="28"/>
          <w:szCs w:val="28"/>
        </w:rPr>
        <w:br/>
      </w:r>
      <w:r>
        <w:rPr>
          <w:b/>
          <w:sz w:val="28"/>
          <w:szCs w:val="28"/>
        </w:rPr>
        <w:br/>
      </w:r>
      <w:r>
        <w:rPr>
          <w:b/>
          <w:sz w:val="28"/>
          <w:szCs w:val="28"/>
        </w:rPr>
        <w:br/>
      </w:r>
      <w:r>
        <w:rPr>
          <w:b/>
          <w:sz w:val="28"/>
          <w:szCs w:val="28"/>
        </w:rPr>
        <w:br/>
      </w:r>
      <w:r>
        <w:rPr>
          <w:b/>
          <w:sz w:val="28"/>
          <w:szCs w:val="28"/>
        </w:rPr>
        <w:br/>
      </w:r>
      <w:r>
        <w:rPr>
          <w:b/>
          <w:sz w:val="28"/>
          <w:szCs w:val="28"/>
        </w:rPr>
        <w:br/>
      </w:r>
      <w:r>
        <w:rPr>
          <w:b/>
          <w:sz w:val="28"/>
          <w:szCs w:val="28"/>
        </w:rPr>
        <w:br/>
      </w:r>
    </w:p>
    <w:p w:rsidR="00CD4952" w:rsidRPr="001E0560" w:rsidRDefault="001E0560" w:rsidP="001E0560">
      <w:pPr>
        <w:spacing w:after="80"/>
        <w:ind w:left="720"/>
        <w:rPr>
          <w:b/>
        </w:rPr>
      </w:pPr>
      <w:r w:rsidRPr="001E0560">
        <w:rPr>
          <w:b/>
          <w:sz w:val="28"/>
          <w:szCs w:val="28"/>
        </w:rPr>
        <w:lastRenderedPageBreak/>
        <w:t xml:space="preserve">Insights </w:t>
      </w:r>
      <w:r>
        <w:rPr>
          <w:b/>
          <w:sz w:val="28"/>
          <w:szCs w:val="28"/>
        </w:rPr>
        <w:br/>
      </w:r>
      <w:r>
        <w:rPr>
          <w:b/>
          <w:sz w:val="28"/>
          <w:szCs w:val="28"/>
        </w:rPr>
        <w:br/>
      </w:r>
      <w:r w:rsidRPr="001E0560">
        <w:rPr>
          <w:b/>
        </w:rPr>
        <w:drawing>
          <wp:inline distT="0" distB="0" distL="0" distR="0" wp14:anchorId="25C63588" wp14:editId="78E0FB89">
            <wp:extent cx="6290310" cy="29629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90310" cy="2962910"/>
                    </a:xfrm>
                    <a:prstGeom prst="rect">
                      <a:avLst/>
                    </a:prstGeom>
                  </pic:spPr>
                </pic:pic>
              </a:graphicData>
            </a:graphic>
          </wp:inline>
        </w:drawing>
      </w:r>
    </w:p>
    <w:p w:rsidR="00CD4952" w:rsidRDefault="00CD4952">
      <w:pPr>
        <w:spacing w:after="100"/>
      </w:pPr>
    </w:p>
    <w:p w:rsidR="00CD4952" w:rsidRDefault="001D38ED">
      <w:pPr>
        <w:pBdr>
          <w:bottom w:val="single" w:sz="3" w:space="0" w:color="2A8F9C"/>
        </w:pBdr>
        <w:spacing w:before="200" w:after="100"/>
      </w:pPr>
      <w:r>
        <w:rPr>
          <w:b/>
          <w:bCs/>
          <w:color w:val="2A8F9C"/>
          <w:sz w:val="24"/>
          <w:szCs w:val="24"/>
        </w:rPr>
        <w:t xml:space="preserve">4.  Infrastructure &amp; </w:t>
      </w:r>
      <w:r>
        <w:rPr>
          <w:b/>
          <w:bCs/>
          <w:color w:val="2A8F9C"/>
          <w:sz w:val="24"/>
          <w:szCs w:val="24"/>
        </w:rPr>
        <w:t>Security</w:t>
      </w:r>
    </w:p>
    <w:p w:rsidR="00CD4952" w:rsidRDefault="001D38ED">
      <w:pPr>
        <w:spacing w:after="80"/>
        <w:ind w:left="400"/>
      </w:pPr>
      <w:r>
        <w:rPr>
          <w:color w:val="333333"/>
        </w:rPr>
        <w:t xml:space="preserve">•  Deployed on </w:t>
      </w:r>
      <w:proofErr w:type="spellStart"/>
      <w:r>
        <w:rPr>
          <w:color w:val="333333"/>
        </w:rPr>
        <w:t>Vercel</w:t>
      </w:r>
      <w:proofErr w:type="spellEnd"/>
      <w:r>
        <w:rPr>
          <w:color w:val="333333"/>
        </w:rPr>
        <w:t xml:space="preserve"> with edge-</w:t>
      </w:r>
      <w:proofErr w:type="spellStart"/>
      <w:r>
        <w:rPr>
          <w:color w:val="333333"/>
        </w:rPr>
        <w:t>optimised</w:t>
      </w:r>
      <w:proofErr w:type="spellEnd"/>
      <w:r>
        <w:rPr>
          <w:color w:val="333333"/>
        </w:rPr>
        <w:t xml:space="preserve"> Next.js server functions</w:t>
      </w:r>
    </w:p>
    <w:p w:rsidR="00CD4952" w:rsidRDefault="001D38ED">
      <w:pPr>
        <w:spacing w:after="80"/>
        <w:ind w:left="400"/>
      </w:pPr>
      <w:r>
        <w:rPr>
          <w:color w:val="333333"/>
        </w:rPr>
        <w:t>•  Auth0 Universal Login handles authentication, supporting email/password and social SSO</w:t>
      </w:r>
    </w:p>
    <w:p w:rsidR="00CD4952" w:rsidRDefault="001D38ED">
      <w:pPr>
        <w:spacing w:after="80"/>
        <w:ind w:left="400"/>
      </w:pPr>
      <w:r>
        <w:rPr>
          <w:color w:val="333333"/>
        </w:rPr>
        <w:t xml:space="preserve">•  </w:t>
      </w:r>
      <w:proofErr w:type="spellStart"/>
      <w:r>
        <w:rPr>
          <w:color w:val="333333"/>
        </w:rPr>
        <w:t>Cloudflare</w:t>
      </w:r>
      <w:proofErr w:type="spellEnd"/>
      <w:r>
        <w:rPr>
          <w:color w:val="333333"/>
        </w:rPr>
        <w:t xml:space="preserve"> Turnstile protects the public contact form from bot abuse</w:t>
      </w:r>
    </w:p>
    <w:p w:rsidR="00CD4952" w:rsidRDefault="001D38ED">
      <w:pPr>
        <w:spacing w:after="80"/>
        <w:ind w:left="400"/>
      </w:pPr>
      <w:r>
        <w:rPr>
          <w:color w:val="333333"/>
        </w:rPr>
        <w:t xml:space="preserve">•  </w:t>
      </w:r>
      <w:proofErr w:type="spellStart"/>
      <w:r>
        <w:rPr>
          <w:color w:val="333333"/>
        </w:rPr>
        <w:t>Nodemailer</w:t>
      </w:r>
      <w:proofErr w:type="spellEnd"/>
      <w:r>
        <w:rPr>
          <w:color w:val="333333"/>
        </w:rPr>
        <w:t xml:space="preserve"> handles transactional email notifications</w:t>
      </w:r>
    </w:p>
    <w:p w:rsidR="00CD4952" w:rsidRDefault="00CD4952">
      <w:pPr>
        <w:spacing w:after="100"/>
      </w:pPr>
    </w:p>
    <w:p w:rsidR="00CD4952" w:rsidRDefault="001D38ED">
      <w:pPr>
        <w:spacing w:before="200" w:after="120"/>
      </w:pPr>
      <w:r>
        <w:rPr>
          <w:b/>
          <w:bCs/>
          <w:color w:val="1B4965"/>
          <w:sz w:val="22"/>
          <w:szCs w:val="22"/>
        </w:rPr>
        <w:t>Technology Stack at a Glance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80" w:type="dxa"/>
          <w:bottom w:w="60" w:type="dxa"/>
          <w:right w:w="80" w:type="dxa"/>
        </w:tblCellMar>
        <w:tblLook w:val="0000" w:firstRow="0" w:lastRow="0" w:firstColumn="0" w:lastColumn="0" w:noHBand="0" w:noVBand="0"/>
      </w:tblPr>
      <w:tblGrid>
        <w:gridCol w:w="4500"/>
        <w:gridCol w:w="4500"/>
      </w:tblGrid>
      <w:tr w:rsidR="00CD4952">
        <w:tc>
          <w:tcPr>
            <w:tcW w:w="4500" w:type="dxa"/>
            <w:shd w:val="solid" w:color="1B4965" w:fill="1B4965"/>
          </w:tcPr>
          <w:p w:rsidR="00CD4952" w:rsidRDefault="001D38ED">
            <w:r>
              <w:rPr>
                <w:b/>
                <w:bCs/>
                <w:color w:val="FFFFFF"/>
                <w:sz w:val="20"/>
                <w:szCs w:val="20"/>
              </w:rPr>
              <w:t>Layer</w:t>
            </w:r>
          </w:p>
        </w:tc>
        <w:tc>
          <w:tcPr>
            <w:tcW w:w="4500" w:type="dxa"/>
            <w:shd w:val="solid" w:color="1B4965" w:fill="1B4965"/>
          </w:tcPr>
          <w:p w:rsidR="00CD4952" w:rsidRDefault="001D38ED">
            <w:r>
              <w:rPr>
                <w:b/>
                <w:bCs/>
                <w:color w:val="FFFFFF"/>
                <w:sz w:val="20"/>
                <w:szCs w:val="20"/>
              </w:rPr>
              <w:t>Technology</w:t>
            </w:r>
          </w:p>
        </w:tc>
      </w:tr>
      <w:tr w:rsidR="00CD4952">
        <w:tc>
          <w:tcPr>
            <w:tcW w:w="4500" w:type="dxa"/>
            <w:shd w:val="solid" w:color="FFFFFF" w:fill="FFFFFF"/>
          </w:tcPr>
          <w:p w:rsidR="00CD4952" w:rsidRDefault="001D38ED">
            <w:r>
              <w:rPr>
                <w:sz w:val="20"/>
                <w:szCs w:val="20"/>
              </w:rPr>
              <w:t>Frontend</w:t>
            </w:r>
          </w:p>
        </w:tc>
        <w:tc>
          <w:tcPr>
            <w:tcW w:w="4500" w:type="dxa"/>
            <w:shd w:val="solid" w:color="FFFFFF" w:fill="FFFFFF"/>
          </w:tcPr>
          <w:p w:rsidR="00CD4952" w:rsidRDefault="001D38ED">
            <w:r>
              <w:rPr>
                <w:sz w:val="20"/>
                <w:szCs w:val="20"/>
              </w:rPr>
              <w:t xml:space="preserve">Next.js 16, React 19, </w:t>
            </w:r>
            <w:proofErr w:type="spellStart"/>
            <w:r>
              <w:rPr>
                <w:sz w:val="20"/>
                <w:szCs w:val="20"/>
              </w:rPr>
              <w:t>TypeScript</w:t>
            </w:r>
            <w:proofErr w:type="spellEnd"/>
            <w:r>
              <w:rPr>
                <w:sz w:val="20"/>
                <w:szCs w:val="20"/>
              </w:rPr>
              <w:t>, Tailwind CSS</w:t>
            </w:r>
          </w:p>
        </w:tc>
      </w:tr>
      <w:tr w:rsidR="00CD4952">
        <w:tc>
          <w:tcPr>
            <w:tcW w:w="4500" w:type="dxa"/>
            <w:shd w:val="solid" w:color="F0F4F8" w:fill="F0F4F8"/>
          </w:tcPr>
          <w:p w:rsidR="00CD4952" w:rsidRDefault="001D38ED">
            <w:r>
              <w:rPr>
                <w:sz w:val="20"/>
                <w:szCs w:val="20"/>
              </w:rPr>
              <w:t>Charts</w:t>
            </w:r>
          </w:p>
        </w:tc>
        <w:tc>
          <w:tcPr>
            <w:tcW w:w="4500" w:type="dxa"/>
            <w:shd w:val="solid" w:color="F0F4F8" w:fill="F0F4F8"/>
          </w:tcPr>
          <w:p w:rsidR="00CD4952" w:rsidRDefault="001D38ED">
            <w:proofErr w:type="spellStart"/>
            <w:r>
              <w:rPr>
                <w:sz w:val="20"/>
                <w:szCs w:val="20"/>
              </w:rPr>
              <w:t>Recharts</w:t>
            </w:r>
            <w:proofErr w:type="spellEnd"/>
          </w:p>
        </w:tc>
      </w:tr>
      <w:tr w:rsidR="00CD4952">
        <w:tc>
          <w:tcPr>
            <w:tcW w:w="4500" w:type="dxa"/>
            <w:shd w:val="solid" w:color="FFFFFF" w:fill="FFFFFF"/>
          </w:tcPr>
          <w:p w:rsidR="00CD4952" w:rsidRDefault="001D38ED">
            <w:r>
              <w:rPr>
                <w:sz w:val="20"/>
                <w:szCs w:val="20"/>
              </w:rPr>
              <w:t>Animations</w:t>
            </w:r>
          </w:p>
        </w:tc>
        <w:tc>
          <w:tcPr>
            <w:tcW w:w="4500" w:type="dxa"/>
            <w:shd w:val="solid" w:color="FFFFFF" w:fill="FFFFFF"/>
          </w:tcPr>
          <w:p w:rsidR="00CD4952" w:rsidRDefault="001D38ED">
            <w:r>
              <w:rPr>
                <w:sz w:val="20"/>
                <w:szCs w:val="20"/>
              </w:rPr>
              <w:t>Framer Motion, GSAP</w:t>
            </w:r>
          </w:p>
        </w:tc>
      </w:tr>
      <w:tr w:rsidR="00CD4952">
        <w:tc>
          <w:tcPr>
            <w:tcW w:w="4500" w:type="dxa"/>
            <w:shd w:val="solid" w:color="F0F4F8" w:fill="F0F4F8"/>
          </w:tcPr>
          <w:p w:rsidR="00CD4952" w:rsidRDefault="001D38ED">
            <w:r>
              <w:rPr>
                <w:sz w:val="20"/>
                <w:szCs w:val="20"/>
              </w:rPr>
              <w:t>Database</w:t>
            </w:r>
          </w:p>
        </w:tc>
        <w:tc>
          <w:tcPr>
            <w:tcW w:w="4500" w:type="dxa"/>
            <w:shd w:val="solid" w:color="F0F4F8" w:fill="F0F4F8"/>
          </w:tcPr>
          <w:p w:rsidR="00CD4952" w:rsidRDefault="001D38ED">
            <w:r>
              <w:rPr>
                <w:sz w:val="20"/>
                <w:szCs w:val="20"/>
              </w:rPr>
              <w:t>PostgreSQL</w:t>
            </w:r>
          </w:p>
        </w:tc>
      </w:tr>
      <w:tr w:rsidR="00CD4952">
        <w:tc>
          <w:tcPr>
            <w:tcW w:w="4500" w:type="dxa"/>
            <w:shd w:val="solid" w:color="FFFFFF" w:fill="FFFFFF"/>
          </w:tcPr>
          <w:p w:rsidR="00CD4952" w:rsidRDefault="001D38ED">
            <w:r>
              <w:rPr>
                <w:sz w:val="20"/>
                <w:szCs w:val="20"/>
              </w:rPr>
              <w:t>Authentication</w:t>
            </w:r>
          </w:p>
        </w:tc>
        <w:tc>
          <w:tcPr>
            <w:tcW w:w="4500" w:type="dxa"/>
            <w:shd w:val="solid" w:color="FFFFFF" w:fill="FFFFFF"/>
          </w:tcPr>
          <w:p w:rsidR="00CD4952" w:rsidRDefault="001D38ED">
            <w:r>
              <w:rPr>
                <w:sz w:val="20"/>
                <w:szCs w:val="20"/>
              </w:rPr>
              <w:t>Auth0</w:t>
            </w:r>
          </w:p>
        </w:tc>
      </w:tr>
      <w:tr w:rsidR="00CD4952">
        <w:tc>
          <w:tcPr>
            <w:tcW w:w="4500" w:type="dxa"/>
            <w:shd w:val="solid" w:color="F0F4F8" w:fill="F0F4F8"/>
          </w:tcPr>
          <w:p w:rsidR="00CD4952" w:rsidRDefault="001D38ED">
            <w:r>
              <w:rPr>
                <w:sz w:val="20"/>
                <w:szCs w:val="20"/>
              </w:rPr>
              <w:t>PDF Generation</w:t>
            </w:r>
          </w:p>
        </w:tc>
        <w:tc>
          <w:tcPr>
            <w:tcW w:w="4500" w:type="dxa"/>
            <w:shd w:val="solid" w:color="F0F4F8" w:fill="F0F4F8"/>
          </w:tcPr>
          <w:p w:rsidR="00CD4952" w:rsidRDefault="001D38ED">
            <w:proofErr w:type="spellStart"/>
            <w:r>
              <w:rPr>
                <w:sz w:val="20"/>
                <w:szCs w:val="20"/>
              </w:rPr>
              <w:t>jsPDF</w:t>
            </w:r>
            <w:proofErr w:type="spellEnd"/>
          </w:p>
        </w:tc>
      </w:tr>
      <w:tr w:rsidR="00CD4952">
        <w:tc>
          <w:tcPr>
            <w:tcW w:w="4500" w:type="dxa"/>
            <w:shd w:val="solid" w:color="FFFFFF" w:fill="FFFFFF"/>
          </w:tcPr>
          <w:p w:rsidR="00CD4952" w:rsidRDefault="001D38ED">
            <w:r>
              <w:rPr>
                <w:sz w:val="20"/>
                <w:szCs w:val="20"/>
              </w:rPr>
              <w:t>Deployment</w:t>
            </w:r>
          </w:p>
        </w:tc>
        <w:tc>
          <w:tcPr>
            <w:tcW w:w="4500" w:type="dxa"/>
            <w:shd w:val="solid" w:color="FFFFFF" w:fill="FFFFFF"/>
          </w:tcPr>
          <w:p w:rsidR="00CD4952" w:rsidRDefault="001D38ED">
            <w:proofErr w:type="spellStart"/>
            <w:r>
              <w:rPr>
                <w:sz w:val="20"/>
                <w:szCs w:val="20"/>
              </w:rPr>
              <w:t>Vercel</w:t>
            </w:r>
            <w:proofErr w:type="spellEnd"/>
          </w:p>
        </w:tc>
      </w:tr>
    </w:tbl>
    <w:p w:rsidR="00CD4952" w:rsidRDefault="00CD4952">
      <w:pPr>
        <w:spacing w:after="100"/>
      </w:pPr>
    </w:p>
    <w:p w:rsidR="00CD4952" w:rsidRDefault="00CD4952">
      <w:pPr>
        <w:spacing w:after="100"/>
      </w:pPr>
    </w:p>
    <w:p w:rsidR="00CD4952" w:rsidRDefault="001D38ED">
      <w:pPr>
        <w:pBdr>
          <w:top w:val="single" w:sz="3" w:space="0" w:color="CCCCCC"/>
        </w:pBdr>
        <w:spacing w:before="300"/>
        <w:jc w:val="center"/>
      </w:pPr>
      <w:r>
        <w:rPr>
          <w:i/>
          <w:iCs/>
          <w:color w:val="AAAAAA"/>
          <w:sz w:val="18"/>
          <w:szCs w:val="18"/>
        </w:rPr>
        <w:t>PHASE-</w:t>
      </w:r>
      <w:proofErr w:type="gramStart"/>
      <w:r>
        <w:rPr>
          <w:i/>
          <w:iCs/>
          <w:color w:val="AAAAAA"/>
          <w:sz w:val="18"/>
          <w:szCs w:val="18"/>
        </w:rPr>
        <w:t>XS  ·</w:t>
      </w:r>
      <w:proofErr w:type="gramEnd"/>
      <w:r>
        <w:rPr>
          <w:i/>
          <w:iCs/>
          <w:color w:val="AAAAAA"/>
          <w:sz w:val="18"/>
          <w:szCs w:val="18"/>
        </w:rPr>
        <w:t xml:space="preserve">  Project Introduction  ·  June 2026</w:t>
      </w:r>
    </w:p>
    <w:sectPr w:rsidR="00CD4952">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F373AC1"/>
    <w:multiLevelType w:val="hybridMultilevel"/>
    <w:tmpl w:val="5F8CFE08"/>
    <w:lvl w:ilvl="0" w:tplc="22E6353E">
      <w:start w:val="1"/>
      <w:numFmt w:val="bullet"/>
      <w:lvlText w:val="●"/>
      <w:lvlJc w:val="left"/>
      <w:pPr>
        <w:ind w:left="720" w:hanging="360"/>
      </w:pPr>
    </w:lvl>
    <w:lvl w:ilvl="1" w:tplc="EBA6C0F4">
      <w:start w:val="1"/>
      <w:numFmt w:val="bullet"/>
      <w:lvlText w:val="○"/>
      <w:lvlJc w:val="left"/>
      <w:pPr>
        <w:ind w:left="1440" w:hanging="360"/>
      </w:pPr>
    </w:lvl>
    <w:lvl w:ilvl="2" w:tplc="CC84608A">
      <w:start w:val="1"/>
      <w:numFmt w:val="bullet"/>
      <w:lvlText w:val="■"/>
      <w:lvlJc w:val="left"/>
      <w:pPr>
        <w:ind w:left="2160" w:hanging="360"/>
      </w:pPr>
    </w:lvl>
    <w:lvl w:ilvl="3" w:tplc="0A48C742">
      <w:start w:val="1"/>
      <w:numFmt w:val="bullet"/>
      <w:lvlText w:val="●"/>
      <w:lvlJc w:val="left"/>
      <w:pPr>
        <w:ind w:left="2880" w:hanging="360"/>
      </w:pPr>
    </w:lvl>
    <w:lvl w:ilvl="4" w:tplc="B2482BB2">
      <w:start w:val="1"/>
      <w:numFmt w:val="bullet"/>
      <w:lvlText w:val="○"/>
      <w:lvlJc w:val="left"/>
      <w:pPr>
        <w:ind w:left="3600" w:hanging="360"/>
      </w:pPr>
    </w:lvl>
    <w:lvl w:ilvl="5" w:tplc="B4CEC96E">
      <w:start w:val="1"/>
      <w:numFmt w:val="bullet"/>
      <w:lvlText w:val="■"/>
      <w:lvlJc w:val="left"/>
      <w:pPr>
        <w:ind w:left="4320" w:hanging="360"/>
      </w:pPr>
    </w:lvl>
    <w:lvl w:ilvl="6" w:tplc="FA28909E">
      <w:start w:val="1"/>
      <w:numFmt w:val="bullet"/>
      <w:lvlText w:val="●"/>
      <w:lvlJc w:val="left"/>
      <w:pPr>
        <w:ind w:left="5040" w:hanging="360"/>
      </w:pPr>
    </w:lvl>
    <w:lvl w:ilvl="7" w:tplc="9FBEC0A4">
      <w:start w:val="1"/>
      <w:numFmt w:val="bullet"/>
      <w:lvlText w:val="●"/>
      <w:lvlJc w:val="left"/>
      <w:pPr>
        <w:ind w:left="5760" w:hanging="360"/>
      </w:pPr>
    </w:lvl>
    <w:lvl w:ilvl="8" w:tplc="0AACCB5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4952"/>
    <w:rsid w:val="001C3A30"/>
    <w:rsid w:val="001D38ED"/>
    <w:rsid w:val="001E0560"/>
    <w:rsid w:val="00CD4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9C31B"/>
  <w15:docId w15:val="{F0282164-842E-402C-AED1-9F3A616DB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rFonts w:ascii="Calibri" w:eastAsia="Calibri" w:hAnsi="Calibri" w:cs="Calibri"/>
      <w:color w:val="222222"/>
      <w:sz w:val="21"/>
      <w:szCs w:val="21"/>
    </w:rPr>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7</Pages>
  <Words>969</Words>
  <Characters>5524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PHASE-XS — Introduction</vt:lpstr>
    </vt:vector>
  </TitlesOfParts>
  <Company/>
  <LinksUpToDate>false</LinksUpToDate>
  <CharactersWithSpaces>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PHASE-XS — Introduction</dc:title>
  <dc:creator>PHASE-XS</dc:creator>
  <cp:lastModifiedBy>Vrashal Jain</cp:lastModifiedBy>
  <cp:revision>2</cp:revision>
  <dcterms:created xsi:type="dcterms:W3CDTF">2026-06-28T17:46:00Z</dcterms:created>
  <dcterms:modified xsi:type="dcterms:W3CDTF">2026-06-28T18:13:00Z</dcterms:modified>
</cp:coreProperties>
</file>