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658EEA3">
      <w:pPr>
        <w:jc w:val="center"/>
        <w:rPr>
          <w:rFonts w:ascii="微软雅黑" w:hAnsi="微软雅黑" w:eastAsia="微软雅黑"/>
          <w:b/>
          <w:sz w:val="56"/>
        </w:rPr>
      </w:pPr>
      <w:r>
        <w:rPr>
          <w:rFonts w:hint="eastAsia" w:ascii="微软雅黑" w:hAnsi="微软雅黑" w:eastAsia="微软雅黑"/>
          <w:b/>
          <w:sz w:val="56"/>
          <w:lang w:val="en-US" w:eastAsia="zh-CN"/>
        </w:rPr>
        <w:t>铭觉智能</w:t>
      </w:r>
      <w:r>
        <w:rPr>
          <w:rFonts w:ascii="微软雅黑" w:hAnsi="微软雅黑" w:eastAsia="微软雅黑"/>
          <w:b/>
          <w:sz w:val="56"/>
        </w:rPr>
        <w:t>专利技术交底书</w:t>
      </w:r>
    </w:p>
    <w:p w14:paraId="59B0CFE8">
      <w:pPr>
        <w:pStyle w:val="5"/>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404"/>
        <w:gridCol w:w="1166"/>
        <w:gridCol w:w="1536"/>
        <w:gridCol w:w="2050"/>
        <w:gridCol w:w="2580"/>
      </w:tblGrid>
      <w:tr w14:paraId="5F4FDBAD">
        <w:tc>
          <w:tcPr>
            <w:tcW w:w="5000" w:type="pct"/>
            <w:gridSpan w:val="6"/>
            <w:tcBorders>
              <w:top w:val="single" w:color="00000A" w:sz="12" w:space="0"/>
              <w:left w:val="single" w:color="00000A" w:sz="12" w:space="0"/>
              <w:bottom w:val="single" w:color="00000A" w:sz="6" w:space="0"/>
              <w:right w:val="single" w:color="00000A" w:sz="6" w:space="0"/>
            </w:tcBorders>
            <w:shd w:val="clear" w:color="auto" w:fill="auto"/>
            <w:tcMar>
              <w:left w:w="108" w:type="dxa"/>
            </w:tcMar>
          </w:tcPr>
          <w:p w14:paraId="74D90FA8">
            <w:pPr>
              <w:rPr>
                <w:rFonts w:ascii="微软雅黑" w:hAnsi="微软雅黑" w:eastAsia="微软雅黑"/>
                <w:sz w:val="28"/>
              </w:rPr>
            </w:pPr>
            <w:r>
              <w:rPr>
                <w:rFonts w:ascii="微软雅黑" w:hAnsi="微软雅黑" w:eastAsia="微软雅黑"/>
                <w:sz w:val="28"/>
              </w:rPr>
              <w:t>一、基本信息</w:t>
            </w:r>
          </w:p>
        </w:tc>
      </w:tr>
      <w:tr w14:paraId="1A173B33">
        <w:tc>
          <w:tcPr>
            <w:tcW w:w="461" w:type="pct"/>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5109314F">
            <w:pPr>
              <w:rPr>
                <w:rFonts w:ascii="华文仿宋" w:hAnsi="华文仿宋" w:eastAsia="华文仿宋"/>
                <w:sz w:val="28"/>
              </w:rPr>
            </w:pPr>
            <w:r>
              <w:rPr>
                <w:rFonts w:ascii="华文仿宋" w:hAnsi="华文仿宋" w:eastAsia="华文仿宋"/>
                <w:sz w:val="28"/>
              </w:rPr>
              <w:t>专利名称</w:t>
            </w:r>
          </w:p>
        </w:tc>
        <w:tc>
          <w:tcPr>
            <w:tcW w:w="4538" w:type="pct"/>
            <w:gridSpan w:val="5"/>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2777E086">
            <w:pPr>
              <w:rPr>
                <w:rFonts w:hint="eastAsia" w:eastAsia="华文仿宋"/>
                <w:lang w:val="en-US" w:eastAsia="zh-CN"/>
              </w:rPr>
            </w:pPr>
            <w:r>
              <w:rPr>
                <w:rFonts w:hint="eastAsia" w:ascii="华文仿宋" w:hAnsi="华文仿宋" w:eastAsia="华文仿宋"/>
                <w:i/>
                <w:sz w:val="28"/>
              </w:rPr>
              <w:t>支持多来源数据统一智能化综合分析</w:t>
            </w:r>
            <w:r>
              <w:rPr>
                <w:rFonts w:hint="eastAsia" w:ascii="华文仿宋" w:hAnsi="华文仿宋" w:eastAsia="华文仿宋"/>
                <w:i/>
                <w:sz w:val="28"/>
                <w:lang w:val="en-US" w:eastAsia="zh-CN"/>
              </w:rPr>
              <w:t>方法</w:t>
            </w:r>
          </w:p>
        </w:tc>
      </w:tr>
      <w:tr w14:paraId="43A0BC91">
        <w:tc>
          <w:tcPr>
            <w:tcW w:w="461" w:type="pct"/>
            <w:tcBorders>
              <w:top w:val="single" w:color="00000A" w:sz="6" w:space="0"/>
              <w:left w:val="single" w:color="00000A" w:sz="12" w:space="0"/>
              <w:bottom w:val="single" w:color="00000A" w:sz="6" w:space="0"/>
              <w:right w:val="single" w:color="00000A" w:sz="6" w:space="0"/>
            </w:tcBorders>
            <w:shd w:val="clear" w:color="auto" w:fill="auto"/>
            <w:tcMar>
              <w:left w:w="108" w:type="dxa"/>
            </w:tcMar>
            <w:vAlign w:val="center"/>
          </w:tcPr>
          <w:p w14:paraId="1D4BB753">
            <w:pPr>
              <w:jc w:val="left"/>
              <w:rPr>
                <w:rFonts w:ascii="华文仿宋" w:hAnsi="华文仿宋" w:eastAsia="华文仿宋"/>
                <w:sz w:val="28"/>
              </w:rPr>
            </w:pPr>
            <w:r>
              <w:rPr>
                <w:rFonts w:ascii="华文仿宋" w:hAnsi="华文仿宋" w:eastAsia="华文仿宋"/>
                <w:sz w:val="28"/>
              </w:rPr>
              <w:t>产品部门</w:t>
            </w:r>
          </w:p>
        </w:tc>
        <w:tc>
          <w:tcPr>
            <w:tcW w:w="4538" w:type="pct"/>
            <w:gridSpan w:val="5"/>
          </w:tcPr>
          <w:p w14:paraId="18C00400">
            <w:r>
              <w:rPr>
                <w:rFonts w:ascii="Menlo Bold" w:hAnsi="Menlo Bold" w:eastAsia="华文仿宋" w:cs="Menlo Bold"/>
                <w:sz w:val="28"/>
                <w:highlight w:val="yellow"/>
              </w:rPr>
              <w:t>☐</w:t>
            </w:r>
            <w:r>
              <w:t xml:space="preserve"> 研发部  ☐ 产品部</w:t>
            </w:r>
          </w:p>
        </w:tc>
      </w:tr>
      <w:tr w14:paraId="498CA639">
        <w:tc>
          <w:tcPr>
            <w:tcW w:w="461" w:type="pct"/>
            <w:tcBorders>
              <w:top w:val="single" w:color="00000A" w:sz="6" w:space="0"/>
              <w:left w:val="single" w:color="00000A" w:sz="12" w:space="0"/>
              <w:bottom w:val="single" w:color="00000A" w:sz="12" w:space="0"/>
              <w:right w:val="single" w:color="00000A" w:sz="6" w:space="0"/>
            </w:tcBorders>
            <w:shd w:val="clear" w:color="auto" w:fill="auto"/>
            <w:tcMar>
              <w:left w:w="108" w:type="dxa"/>
            </w:tcMar>
          </w:tcPr>
          <w:p w14:paraId="21B0F379">
            <w:pPr>
              <w:rPr>
                <w:rFonts w:ascii="华文仿宋" w:hAnsi="华文仿宋" w:eastAsia="华文仿宋"/>
                <w:sz w:val="28"/>
              </w:rPr>
            </w:pPr>
            <w:r>
              <w:rPr>
                <w:rFonts w:ascii="华文仿宋" w:hAnsi="华文仿宋" w:eastAsia="华文仿宋"/>
                <w:sz w:val="28"/>
              </w:rPr>
              <w:t>技术类别</w:t>
            </w:r>
          </w:p>
        </w:tc>
        <w:tc>
          <w:tcPr>
            <w:tcW w:w="4538" w:type="pct"/>
            <w:gridSpan w:val="5"/>
            <w:tcBorders>
              <w:top w:val="single" w:color="00000A" w:sz="6" w:space="0"/>
              <w:left w:val="single" w:color="00000A" w:sz="6" w:space="0"/>
              <w:bottom w:val="single" w:color="00000A" w:sz="12" w:space="0"/>
              <w:right w:val="single" w:color="00000A" w:sz="12" w:space="0"/>
            </w:tcBorders>
            <w:shd w:val="clear" w:color="auto" w:fill="auto"/>
            <w:tcMar>
              <w:left w:w="115" w:type="dxa"/>
            </w:tcMar>
          </w:tcPr>
          <w:p w14:paraId="4EA82069">
            <w:pPr>
              <w:rPr>
                <w:rFonts w:ascii="华文仿宋" w:hAnsi="华文仿宋" w:eastAsia="华文仿宋"/>
                <w:sz w:val="28"/>
              </w:rPr>
            </w:pPr>
            <w:r>
              <w:rPr>
                <w:rFonts w:ascii="Menlo Bold" w:hAnsi="Menlo Bold" w:eastAsia="华文仿宋" w:cs="Menlo Bold"/>
                <w:sz w:val="28"/>
                <w:highlight w:val="yellow"/>
              </w:rPr>
              <w:t>☐</w:t>
            </w:r>
            <w:r>
              <w:rPr>
                <w:rFonts w:ascii="华文仿宋" w:hAnsi="华文仿宋" w:eastAsia="华文仿宋"/>
                <w:sz w:val="28"/>
              </w:rPr>
              <w:t xml:space="preserve">云平台 </w:t>
            </w:r>
            <w:r>
              <w:rPr>
                <w:rFonts w:ascii="Menlo Bold" w:hAnsi="Menlo Bold" w:eastAsia="华文仿宋" w:cs="Menlo Bold"/>
                <w:sz w:val="28"/>
              </w:rPr>
              <w:t>☐</w:t>
            </w:r>
            <w:r>
              <w:rPr>
                <w:rFonts w:ascii="华文仿宋" w:hAnsi="华文仿宋" w:eastAsia="华文仿宋"/>
                <w:sz w:val="28"/>
              </w:rPr>
              <w:t xml:space="preserve">大数据 </w:t>
            </w:r>
            <w:r>
              <w:rPr>
                <w:rFonts w:ascii="Menlo Bold" w:hAnsi="Menlo Bold" w:eastAsia="华文仿宋" w:cs="Menlo Bold"/>
                <w:sz w:val="28"/>
              </w:rPr>
              <w:t>☐</w:t>
            </w:r>
            <w:r>
              <w:rPr>
                <w:rFonts w:ascii="华文仿宋" w:hAnsi="华文仿宋" w:eastAsia="华文仿宋"/>
                <w:sz w:val="28"/>
              </w:rPr>
              <w:t xml:space="preserve">网络 </w:t>
            </w:r>
            <w:r>
              <w:rPr>
                <w:rFonts w:ascii="Menlo Bold" w:hAnsi="Menlo Bold" w:eastAsia="华文仿宋" w:cs="Menlo Bold"/>
                <w:sz w:val="28"/>
              </w:rPr>
              <w:t>☐</w:t>
            </w:r>
            <w:r>
              <w:rPr>
                <w:rFonts w:ascii="华文仿宋" w:hAnsi="华文仿宋" w:eastAsia="华文仿宋"/>
                <w:sz w:val="28"/>
              </w:rPr>
              <w:t xml:space="preserve">存储 </w:t>
            </w:r>
            <w:r>
              <w:rPr>
                <w:rFonts w:ascii="Menlo Bold" w:hAnsi="Menlo Bold" w:eastAsia="华文仿宋" w:cs="Menlo Bold"/>
                <w:sz w:val="28"/>
              </w:rPr>
              <w:t>☐</w:t>
            </w:r>
            <w:r>
              <w:rPr>
                <w:rFonts w:ascii="华文仿宋" w:hAnsi="华文仿宋" w:eastAsia="华文仿宋"/>
                <w:sz w:val="28"/>
              </w:rPr>
              <w:t>服务器</w:t>
            </w:r>
          </w:p>
        </w:tc>
      </w:tr>
      <w:tr w14:paraId="5427A252">
        <w:tc>
          <w:tcPr>
            <w:tcW w:w="5000" w:type="pct"/>
            <w:gridSpan w:val="6"/>
            <w:tcBorders>
              <w:top w:val="single" w:color="00000A" w:sz="12" w:space="0"/>
              <w:left w:val="single" w:color="00000A" w:sz="12" w:space="0"/>
              <w:bottom w:val="single" w:color="00000A" w:sz="6" w:space="0"/>
              <w:right w:val="single" w:color="00000A" w:sz="6" w:space="0"/>
            </w:tcBorders>
            <w:shd w:val="clear" w:color="auto" w:fill="auto"/>
            <w:tcMar>
              <w:left w:w="108" w:type="dxa"/>
            </w:tcMar>
          </w:tcPr>
          <w:p w14:paraId="48194757">
            <w:pPr>
              <w:rPr>
                <w:rFonts w:ascii="微软雅黑" w:hAnsi="微软雅黑" w:eastAsia="微软雅黑"/>
                <w:sz w:val="28"/>
              </w:rPr>
            </w:pPr>
            <w:r>
              <w:rPr>
                <w:rFonts w:ascii="微软雅黑" w:hAnsi="微软雅黑" w:eastAsia="微软雅黑"/>
                <w:sz w:val="28"/>
              </w:rPr>
              <w:t>二、其它需披露的信息（如果有，请如实填写）</w:t>
            </w:r>
          </w:p>
        </w:tc>
      </w:tr>
      <w:tr w14:paraId="4ECCA287">
        <w:tc>
          <w:tcPr>
            <w:tcW w:w="1382" w:type="pct"/>
            <w:gridSpan w:val="3"/>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79B60660">
            <w:pPr>
              <w:rPr>
                <w:rFonts w:ascii="华文仿宋" w:hAnsi="华文仿宋" w:eastAsia="华文仿宋"/>
                <w:sz w:val="28"/>
              </w:rPr>
            </w:pPr>
            <w:r>
              <w:rPr>
                <w:rFonts w:ascii="华文仿宋" w:hAnsi="华文仿宋" w:eastAsia="华文仿宋"/>
                <w:sz w:val="28"/>
              </w:rPr>
              <w:t>本发明是否披露给外部公司？</w:t>
            </w:r>
          </w:p>
        </w:tc>
        <w:tc>
          <w:tcPr>
            <w:tcW w:w="3617" w:type="pct"/>
            <w:gridSpan w:val="3"/>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720E6E39">
            <w:pPr>
              <w:rPr>
                <w:rFonts w:ascii="华文仿宋" w:hAnsi="华文仿宋" w:eastAsia="华文仿宋"/>
                <w:sz w:val="28"/>
              </w:rPr>
            </w:pPr>
            <w:r>
              <w:rPr>
                <w:rFonts w:ascii="Menlo Bold" w:hAnsi="Menlo Bold" w:eastAsia="华文仿宋" w:cs="Menlo Bold"/>
                <w:sz w:val="28"/>
              </w:rPr>
              <w:t>☐</w:t>
            </w:r>
            <w:r>
              <w:rPr>
                <w:rFonts w:ascii="华文仿宋" w:hAnsi="华文仿宋" w:eastAsia="华文仿宋"/>
                <w:sz w:val="28"/>
              </w:rPr>
              <w:t xml:space="preserve"> 是    </w:t>
            </w:r>
            <w:r>
              <w:rPr>
                <w:rFonts w:ascii="Menlo Bold" w:hAnsi="Menlo Bold" w:eastAsia="华文仿宋" w:cs="Menlo Bold"/>
                <w:sz w:val="28"/>
                <w:highlight w:val="yellow"/>
              </w:rPr>
              <w:t>☐</w:t>
            </w:r>
            <w:r>
              <w:rPr>
                <w:rFonts w:ascii="华文仿宋" w:hAnsi="华文仿宋" w:eastAsia="华文仿宋"/>
                <w:sz w:val="28"/>
              </w:rPr>
              <w:t xml:space="preserve"> 否</w:t>
            </w:r>
          </w:p>
        </w:tc>
      </w:tr>
      <w:tr w14:paraId="4ABE46DF">
        <w:trPr>
          <w:trHeight w:val="90" w:hRule="atLeast"/>
        </w:trPr>
        <w:tc>
          <w:tcPr>
            <w:tcW w:w="1382" w:type="pct"/>
            <w:gridSpan w:val="3"/>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3FE3BE9B">
            <w:pPr>
              <w:rPr>
                <w:rFonts w:ascii="华文仿宋" w:hAnsi="华文仿宋" w:eastAsia="华文仿宋"/>
                <w:sz w:val="28"/>
              </w:rPr>
            </w:pPr>
            <w:r>
              <w:rPr>
                <w:rFonts w:ascii="华文仿宋" w:hAnsi="华文仿宋" w:eastAsia="华文仿宋"/>
                <w:sz w:val="28"/>
              </w:rPr>
              <w:t>本发明是否已经在销售的产品中应用？</w:t>
            </w:r>
          </w:p>
        </w:tc>
        <w:tc>
          <w:tcPr>
            <w:tcW w:w="3617" w:type="pct"/>
            <w:gridSpan w:val="3"/>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5EAE0BA0">
            <w:pPr>
              <w:rPr>
                <w:rFonts w:ascii="华文仿宋" w:hAnsi="华文仿宋" w:eastAsia="华文仿宋"/>
                <w:sz w:val="28"/>
              </w:rPr>
            </w:pPr>
            <w:r>
              <w:rPr>
                <w:rFonts w:ascii="Menlo Bold" w:hAnsi="Menlo Bold" w:eastAsia="华文仿宋" w:cs="Menlo Bold"/>
                <w:sz w:val="28"/>
                <w:highlight w:val="yellow"/>
              </w:rPr>
              <w:t>☐</w:t>
            </w:r>
            <w:r>
              <w:rPr>
                <w:rFonts w:ascii="华文仿宋" w:hAnsi="华文仿宋" w:eastAsia="华文仿宋"/>
                <w:sz w:val="28"/>
              </w:rPr>
              <w:t xml:space="preserve"> 是    </w:t>
            </w:r>
            <w:r>
              <w:rPr>
                <w:rFonts w:ascii="Menlo Bold" w:hAnsi="Menlo Bold" w:eastAsia="华文仿宋" w:cs="Menlo Bold"/>
                <w:sz w:val="28"/>
              </w:rPr>
              <w:t>☐</w:t>
            </w:r>
            <w:r>
              <w:rPr>
                <w:rFonts w:ascii="华文仿宋" w:hAnsi="华文仿宋" w:eastAsia="华文仿宋"/>
                <w:sz w:val="28"/>
              </w:rPr>
              <w:t xml:space="preserve"> 否</w:t>
            </w:r>
          </w:p>
        </w:tc>
      </w:tr>
      <w:tr w14:paraId="031BD25F">
        <w:tc>
          <w:tcPr>
            <w:tcW w:w="1382" w:type="pct"/>
            <w:gridSpan w:val="3"/>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1CC1238A">
            <w:pPr>
              <w:rPr>
                <w:rFonts w:ascii="华文仿宋" w:hAnsi="华文仿宋" w:eastAsia="华文仿宋"/>
                <w:sz w:val="28"/>
              </w:rPr>
            </w:pPr>
            <w:r>
              <w:rPr>
                <w:rFonts w:ascii="华文仿宋" w:hAnsi="华文仿宋" w:eastAsia="华文仿宋"/>
                <w:sz w:val="28"/>
              </w:rPr>
              <w:t>本发明是否属于开创性的关键技术？</w:t>
            </w:r>
          </w:p>
        </w:tc>
        <w:tc>
          <w:tcPr>
            <w:tcW w:w="3617" w:type="pct"/>
            <w:gridSpan w:val="3"/>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28BBCA31">
            <w:pPr>
              <w:rPr>
                <w:rFonts w:ascii="华文仿宋" w:hAnsi="华文仿宋" w:eastAsia="华文仿宋"/>
                <w:sz w:val="28"/>
              </w:rPr>
            </w:pPr>
            <w:r>
              <w:rPr>
                <w:rFonts w:ascii="Menlo Bold" w:hAnsi="Menlo Bold" w:eastAsia="华文仿宋" w:cs="Menlo Bold"/>
                <w:sz w:val="28"/>
                <w:highlight w:val="yellow"/>
              </w:rPr>
              <w:t>☐</w:t>
            </w:r>
            <w:r>
              <w:rPr>
                <w:rFonts w:ascii="华文仿宋" w:hAnsi="华文仿宋" w:eastAsia="华文仿宋"/>
                <w:sz w:val="28"/>
              </w:rPr>
              <w:t xml:space="preserve"> 是    </w:t>
            </w:r>
            <w:r>
              <w:rPr>
                <w:rFonts w:ascii="Menlo Bold" w:hAnsi="Menlo Bold" w:eastAsia="华文仿宋" w:cs="Menlo Bold"/>
                <w:sz w:val="28"/>
              </w:rPr>
              <w:t>☐</w:t>
            </w:r>
            <w:r>
              <w:rPr>
                <w:rFonts w:ascii="华文仿宋" w:hAnsi="华文仿宋" w:eastAsia="华文仿宋"/>
                <w:sz w:val="28"/>
              </w:rPr>
              <w:t xml:space="preserve"> 否</w:t>
            </w:r>
          </w:p>
        </w:tc>
      </w:tr>
      <w:tr w14:paraId="45221A25">
        <w:tc>
          <w:tcPr>
            <w:tcW w:w="1382" w:type="pct"/>
            <w:gridSpan w:val="3"/>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6F3C5ABD">
            <w:pPr>
              <w:rPr>
                <w:rFonts w:ascii="华文仿宋" w:hAnsi="华文仿宋" w:eastAsia="华文仿宋"/>
                <w:sz w:val="28"/>
              </w:rPr>
            </w:pPr>
            <w:r>
              <w:rPr>
                <w:rFonts w:ascii="华文仿宋" w:hAnsi="华文仿宋" w:eastAsia="华文仿宋"/>
                <w:sz w:val="28"/>
              </w:rPr>
              <w:t>本发明是否建议申请PCT专利？</w:t>
            </w:r>
          </w:p>
        </w:tc>
        <w:tc>
          <w:tcPr>
            <w:tcW w:w="3617" w:type="pct"/>
            <w:gridSpan w:val="3"/>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0CFEAF9A">
            <w:pPr>
              <w:rPr>
                <w:rFonts w:ascii="华文仿宋" w:hAnsi="华文仿宋" w:eastAsia="华文仿宋"/>
                <w:sz w:val="28"/>
              </w:rPr>
            </w:pPr>
            <w:r>
              <w:rPr>
                <w:rFonts w:ascii="Menlo Bold" w:hAnsi="Menlo Bold" w:eastAsia="华文仿宋" w:cs="Menlo Bold"/>
                <w:sz w:val="28"/>
              </w:rPr>
              <w:t>☐</w:t>
            </w:r>
            <w:r>
              <w:rPr>
                <w:rFonts w:ascii="华文仿宋" w:hAnsi="华文仿宋" w:eastAsia="华文仿宋"/>
                <w:sz w:val="28"/>
              </w:rPr>
              <w:t xml:space="preserve"> 是    </w:t>
            </w:r>
            <w:r>
              <w:rPr>
                <w:rFonts w:ascii="Menlo Bold" w:hAnsi="Menlo Bold" w:eastAsia="华文仿宋" w:cs="Menlo Bold"/>
                <w:sz w:val="28"/>
                <w:highlight w:val="yellow"/>
              </w:rPr>
              <w:t>☐</w:t>
            </w:r>
            <w:r>
              <w:rPr>
                <w:rFonts w:ascii="华文仿宋" w:hAnsi="华文仿宋" w:eastAsia="华文仿宋"/>
                <w:sz w:val="28"/>
              </w:rPr>
              <w:t xml:space="preserve"> 否</w:t>
            </w:r>
          </w:p>
        </w:tc>
      </w:tr>
      <w:tr w14:paraId="2949262E">
        <w:tc>
          <w:tcPr>
            <w:tcW w:w="1382" w:type="pct"/>
            <w:gridSpan w:val="3"/>
            <w:tcBorders>
              <w:top w:val="single" w:color="00000A" w:sz="6" w:space="0"/>
              <w:left w:val="single" w:color="00000A" w:sz="12" w:space="0"/>
              <w:bottom w:val="single" w:color="00000A" w:sz="12" w:space="0"/>
              <w:right w:val="single" w:color="00000A" w:sz="6" w:space="0"/>
            </w:tcBorders>
            <w:shd w:val="clear" w:color="auto" w:fill="auto"/>
            <w:tcMar>
              <w:left w:w="108" w:type="dxa"/>
            </w:tcMar>
          </w:tcPr>
          <w:p w14:paraId="0E0B9303">
            <w:pPr>
              <w:rPr>
                <w:rFonts w:ascii="华文仿宋" w:hAnsi="华文仿宋" w:eastAsia="华文仿宋"/>
                <w:sz w:val="28"/>
              </w:rPr>
            </w:pPr>
            <w:r>
              <w:rPr>
                <w:rFonts w:ascii="华文仿宋" w:hAnsi="华文仿宋" w:eastAsia="华文仿宋"/>
                <w:sz w:val="28"/>
              </w:rPr>
              <w:t>本发明是否需提议写入标准？</w:t>
            </w:r>
          </w:p>
        </w:tc>
        <w:tc>
          <w:tcPr>
            <w:tcW w:w="3617" w:type="pct"/>
            <w:gridSpan w:val="3"/>
            <w:tcBorders>
              <w:top w:val="single" w:color="00000A" w:sz="6" w:space="0"/>
              <w:left w:val="single" w:color="00000A" w:sz="6" w:space="0"/>
              <w:bottom w:val="single" w:color="00000A" w:sz="12" w:space="0"/>
              <w:right w:val="single" w:color="00000A" w:sz="12" w:space="0"/>
            </w:tcBorders>
            <w:shd w:val="clear" w:color="auto" w:fill="auto"/>
            <w:tcMar>
              <w:left w:w="115" w:type="dxa"/>
            </w:tcMar>
          </w:tcPr>
          <w:p w14:paraId="46F3E648">
            <w:pPr>
              <w:rPr>
                <w:rFonts w:ascii="华文仿宋" w:hAnsi="华文仿宋" w:eastAsia="华文仿宋"/>
                <w:sz w:val="28"/>
              </w:rPr>
            </w:pPr>
            <w:r>
              <w:rPr>
                <w:rFonts w:ascii="Menlo Bold" w:hAnsi="Menlo Bold" w:eastAsia="华文仿宋" w:cs="Menlo Bold"/>
                <w:sz w:val="28"/>
              </w:rPr>
              <w:t>☐</w:t>
            </w:r>
            <w:r>
              <w:rPr>
                <w:rFonts w:ascii="华文仿宋" w:hAnsi="华文仿宋" w:eastAsia="华文仿宋"/>
                <w:sz w:val="28"/>
              </w:rPr>
              <w:t xml:space="preserve"> 是    </w:t>
            </w:r>
            <w:r>
              <w:rPr>
                <w:rFonts w:ascii="Menlo Bold" w:hAnsi="Menlo Bold" w:eastAsia="华文仿宋" w:cs="Menlo Bold"/>
                <w:sz w:val="28"/>
                <w:highlight w:val="yellow"/>
              </w:rPr>
              <w:t>☐</w:t>
            </w:r>
            <w:r>
              <w:rPr>
                <w:rFonts w:ascii="华文仿宋" w:hAnsi="华文仿宋" w:eastAsia="华文仿宋"/>
                <w:sz w:val="28"/>
              </w:rPr>
              <w:t xml:space="preserve"> 否</w:t>
            </w:r>
          </w:p>
        </w:tc>
      </w:tr>
      <w:tr w14:paraId="6383A3BA">
        <w:tc>
          <w:tcPr>
            <w:tcW w:w="5000" w:type="pct"/>
            <w:gridSpan w:val="6"/>
            <w:tcBorders>
              <w:top w:val="single" w:color="00000A" w:sz="12" w:space="0"/>
              <w:left w:val="single" w:color="00000A" w:sz="12" w:space="0"/>
              <w:bottom w:val="single" w:color="00000A" w:sz="6" w:space="0"/>
              <w:right w:val="single" w:color="00000A" w:sz="6" w:space="0"/>
            </w:tcBorders>
            <w:shd w:val="clear" w:color="auto" w:fill="auto"/>
            <w:tcMar>
              <w:left w:w="108" w:type="dxa"/>
            </w:tcMar>
          </w:tcPr>
          <w:p w14:paraId="4F8B513A">
            <w:pPr>
              <w:rPr>
                <w:rFonts w:ascii="微软雅黑" w:hAnsi="微软雅黑" w:eastAsia="微软雅黑"/>
                <w:sz w:val="28"/>
              </w:rPr>
            </w:pPr>
            <w:r>
              <w:rPr>
                <w:rFonts w:ascii="微软雅黑" w:hAnsi="微软雅黑" w:eastAsia="微软雅黑"/>
                <w:sz w:val="28"/>
              </w:rPr>
              <w:t>三、发明人信息（请填写完整和准确）</w:t>
            </w:r>
          </w:p>
        </w:tc>
      </w:tr>
      <w:tr w14:paraId="5AE7440D">
        <w:trPr>
          <w:trHeight w:val="371" w:hRule="atLeast"/>
        </w:trPr>
        <w:tc>
          <w:tcPr>
            <w:tcW w:w="698" w:type="pct"/>
            <w:gridSpan w:val="2"/>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16A7AFF5">
            <w:pPr>
              <w:jc w:val="center"/>
              <w:rPr>
                <w:rFonts w:ascii="华文仿宋" w:hAnsi="华文仿宋" w:eastAsia="华文仿宋"/>
                <w:sz w:val="28"/>
              </w:rPr>
            </w:pPr>
          </w:p>
        </w:tc>
        <w:tc>
          <w:tcPr>
            <w:tcW w:w="684"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2A70C47F">
            <w:pPr>
              <w:jc w:val="center"/>
              <w:rPr>
                <w:rFonts w:ascii="华文仿宋" w:hAnsi="华文仿宋" w:eastAsia="华文仿宋"/>
                <w:sz w:val="28"/>
              </w:rPr>
            </w:pPr>
            <w:r>
              <w:rPr>
                <w:rFonts w:ascii="华文仿宋" w:hAnsi="华文仿宋" w:eastAsia="华文仿宋"/>
                <w:sz w:val="28"/>
              </w:rPr>
              <w:t>姓名</w:t>
            </w:r>
          </w:p>
        </w:tc>
        <w:tc>
          <w:tcPr>
            <w:tcW w:w="901"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2095E19C">
            <w:pPr>
              <w:jc w:val="center"/>
              <w:rPr>
                <w:rFonts w:ascii="华文仿宋" w:hAnsi="华文仿宋" w:eastAsia="华文仿宋"/>
                <w:sz w:val="28"/>
              </w:rPr>
            </w:pPr>
            <w:r>
              <w:rPr>
                <w:rFonts w:ascii="华文仿宋" w:hAnsi="华文仿宋" w:eastAsia="华文仿宋"/>
                <w:sz w:val="28"/>
              </w:rPr>
              <w:t>部门</w:t>
            </w:r>
          </w:p>
        </w:tc>
        <w:tc>
          <w:tcPr>
            <w:tcW w:w="1203"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59AEB312">
            <w:pPr>
              <w:jc w:val="center"/>
              <w:rPr>
                <w:rFonts w:ascii="华文仿宋" w:hAnsi="华文仿宋" w:eastAsia="华文仿宋"/>
                <w:sz w:val="28"/>
              </w:rPr>
            </w:pPr>
            <w:r>
              <w:rPr>
                <w:rFonts w:ascii="华文仿宋" w:hAnsi="华文仿宋" w:eastAsia="华文仿宋"/>
                <w:sz w:val="28"/>
              </w:rPr>
              <w:t>电话</w:t>
            </w:r>
          </w:p>
        </w:tc>
        <w:tc>
          <w:tcPr>
            <w:tcW w:w="1513" w:type="pct"/>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16FF38CC">
            <w:pPr>
              <w:jc w:val="center"/>
              <w:rPr>
                <w:rFonts w:ascii="华文仿宋" w:hAnsi="华文仿宋" w:eastAsia="华文仿宋"/>
                <w:sz w:val="28"/>
              </w:rPr>
            </w:pPr>
            <w:r>
              <w:rPr>
                <w:rFonts w:ascii="华文仿宋" w:hAnsi="华文仿宋" w:eastAsia="华文仿宋"/>
                <w:sz w:val="28"/>
              </w:rPr>
              <w:t>e-mail</w:t>
            </w:r>
          </w:p>
        </w:tc>
      </w:tr>
      <w:tr w14:paraId="45AC6FD4">
        <w:trPr>
          <w:trHeight w:val="401" w:hRule="atLeast"/>
        </w:trPr>
        <w:tc>
          <w:tcPr>
            <w:tcW w:w="698" w:type="pct"/>
            <w:gridSpan w:val="2"/>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135267AD">
            <w:pPr>
              <w:jc w:val="center"/>
              <w:rPr>
                <w:rFonts w:ascii="华文仿宋" w:hAnsi="华文仿宋" w:eastAsia="华文仿宋"/>
                <w:sz w:val="28"/>
              </w:rPr>
            </w:pPr>
            <w:r>
              <w:rPr>
                <w:rFonts w:ascii="华文仿宋" w:hAnsi="华文仿宋" w:eastAsia="华文仿宋"/>
                <w:sz w:val="28"/>
              </w:rPr>
              <w:t>发明人1</w:t>
            </w:r>
          </w:p>
        </w:tc>
        <w:tc>
          <w:tcPr>
            <w:tcW w:w="684"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64FE6023">
            <w:pPr>
              <w:jc w:val="center"/>
              <w:rPr>
                <w:rFonts w:ascii="华文仿宋" w:hAnsi="华文仿宋" w:eastAsia="华文仿宋"/>
                <w:sz w:val="28"/>
              </w:rPr>
            </w:pPr>
            <w:r>
              <w:rPr>
                <w:rFonts w:hint="eastAsia" w:ascii="华文仿宋" w:hAnsi="华文仿宋" w:eastAsia="华文仿宋"/>
                <w:sz w:val="28"/>
              </w:rPr>
              <w:t>徐鹏飞</w:t>
            </w:r>
          </w:p>
        </w:tc>
        <w:tc>
          <w:tcPr>
            <w:tcW w:w="901"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4E5AF6AB">
            <w:pPr>
              <w:jc w:val="center"/>
              <w:rPr>
                <w:rFonts w:ascii="华文仿宋" w:hAnsi="华文仿宋" w:eastAsia="华文仿宋"/>
                <w:sz w:val="28"/>
              </w:rPr>
            </w:pPr>
            <w:r>
              <w:rPr>
                <w:rFonts w:hint="eastAsia" w:ascii="华文仿宋" w:hAnsi="华文仿宋" w:eastAsia="华文仿宋"/>
                <w:sz w:val="28"/>
              </w:rPr>
              <w:t>研发部</w:t>
            </w:r>
          </w:p>
        </w:tc>
        <w:tc>
          <w:tcPr>
            <w:tcW w:w="1203"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5498ABA4">
            <w:pPr>
              <w:jc w:val="center"/>
              <w:rPr>
                <w:rFonts w:ascii="华文仿宋" w:hAnsi="华文仿宋" w:eastAsia="华文仿宋"/>
                <w:sz w:val="28"/>
              </w:rPr>
            </w:pPr>
            <w:r>
              <w:rPr>
                <w:rFonts w:hint="eastAsia" w:ascii="华文仿宋" w:hAnsi="华文仿宋" w:eastAsia="华文仿宋"/>
                <w:sz w:val="28"/>
              </w:rPr>
              <w:t>18057128672</w:t>
            </w:r>
          </w:p>
        </w:tc>
        <w:tc>
          <w:tcPr>
            <w:tcW w:w="1513" w:type="pct"/>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7F7371E4">
            <w:pPr>
              <w:jc w:val="center"/>
              <w:rPr>
                <w:rFonts w:ascii="华文仿宋" w:hAnsi="华文仿宋" w:eastAsia="华文仿宋"/>
                <w:sz w:val="28"/>
                <w:lang w:eastAsia="zh"/>
              </w:rPr>
            </w:pPr>
            <w:r>
              <w:rPr>
                <w:rFonts w:hint="eastAsia" w:ascii="华文仿宋" w:hAnsi="华文仿宋" w:eastAsia="华文仿宋"/>
                <w:sz w:val="28"/>
                <w:lang w:eastAsia="zh"/>
              </w:rPr>
              <w:t>xupf@mindjunc.com</w:t>
            </w:r>
          </w:p>
        </w:tc>
      </w:tr>
      <w:tr w14:paraId="487EB692">
        <w:trPr>
          <w:trHeight w:val="401" w:hRule="atLeast"/>
        </w:trPr>
        <w:tc>
          <w:tcPr>
            <w:tcW w:w="698" w:type="pct"/>
            <w:gridSpan w:val="2"/>
            <w:tcBorders>
              <w:top w:val="single" w:color="00000A" w:sz="6" w:space="0"/>
              <w:left w:val="single" w:color="00000A" w:sz="12" w:space="0"/>
              <w:bottom w:val="single" w:color="00000A" w:sz="6" w:space="0"/>
              <w:right w:val="single" w:color="00000A" w:sz="6" w:space="0"/>
            </w:tcBorders>
            <w:shd w:val="clear" w:color="auto" w:fill="auto"/>
            <w:tcMar>
              <w:left w:w="108" w:type="dxa"/>
            </w:tcMar>
          </w:tcPr>
          <w:p w14:paraId="16492423">
            <w:pPr>
              <w:rPr>
                <w:rFonts w:ascii="华文仿宋" w:hAnsi="华文仿宋" w:eastAsia="华文仿宋"/>
                <w:sz w:val="28"/>
              </w:rPr>
            </w:pPr>
          </w:p>
        </w:tc>
        <w:tc>
          <w:tcPr>
            <w:tcW w:w="684"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38613F4A"/>
        </w:tc>
        <w:tc>
          <w:tcPr>
            <w:tcW w:w="901"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39593B38"/>
        </w:tc>
        <w:tc>
          <w:tcPr>
            <w:tcW w:w="1203" w:type="pct"/>
            <w:tcBorders>
              <w:top w:val="single" w:color="00000A" w:sz="6" w:space="0"/>
              <w:left w:val="single" w:color="00000A" w:sz="6" w:space="0"/>
              <w:bottom w:val="single" w:color="00000A" w:sz="6" w:space="0"/>
              <w:right w:val="single" w:color="00000A" w:sz="6" w:space="0"/>
            </w:tcBorders>
            <w:shd w:val="clear" w:color="auto" w:fill="auto"/>
            <w:tcMar>
              <w:left w:w="115" w:type="dxa"/>
            </w:tcMar>
          </w:tcPr>
          <w:p w14:paraId="748AE861">
            <w:pPr>
              <w:rPr>
                <w:rFonts w:ascii="华文仿宋" w:hAnsi="华文仿宋" w:eastAsia="华文仿宋"/>
                <w:sz w:val="28"/>
              </w:rPr>
            </w:pPr>
          </w:p>
        </w:tc>
        <w:tc>
          <w:tcPr>
            <w:tcW w:w="1513" w:type="pct"/>
            <w:tcBorders>
              <w:top w:val="single" w:color="00000A" w:sz="6" w:space="0"/>
              <w:left w:val="single" w:color="00000A" w:sz="6" w:space="0"/>
              <w:bottom w:val="single" w:color="00000A" w:sz="6" w:space="0"/>
              <w:right w:val="single" w:color="00000A" w:sz="12" w:space="0"/>
            </w:tcBorders>
            <w:shd w:val="clear" w:color="auto" w:fill="auto"/>
            <w:tcMar>
              <w:left w:w="115" w:type="dxa"/>
            </w:tcMar>
          </w:tcPr>
          <w:p w14:paraId="05C9C045"/>
        </w:tc>
      </w:tr>
      <w:tr w14:paraId="0B520D99">
        <w:trPr>
          <w:trHeight w:val="401" w:hRule="atLeast"/>
        </w:trPr>
        <w:tc>
          <w:tcPr>
            <w:tcW w:w="698" w:type="pct"/>
            <w:gridSpan w:val="2"/>
            <w:tcBorders>
              <w:top w:val="single" w:color="00000A" w:sz="6" w:space="0"/>
              <w:left w:val="single" w:color="00000A" w:sz="12" w:space="0"/>
              <w:bottom w:val="single" w:color="00000A" w:sz="12" w:space="0"/>
              <w:right w:val="single" w:color="00000A" w:sz="6" w:space="0"/>
            </w:tcBorders>
            <w:shd w:val="clear" w:color="auto" w:fill="auto"/>
            <w:tcMar>
              <w:left w:w="108" w:type="dxa"/>
            </w:tcMar>
          </w:tcPr>
          <w:p w14:paraId="513EA3B5">
            <w:pPr>
              <w:rPr>
                <w:rFonts w:ascii="华文仿宋" w:hAnsi="华文仿宋" w:eastAsia="华文仿宋"/>
                <w:sz w:val="28"/>
              </w:rPr>
            </w:pPr>
          </w:p>
        </w:tc>
        <w:tc>
          <w:tcPr>
            <w:tcW w:w="684" w:type="pct"/>
            <w:tcBorders>
              <w:top w:val="single" w:color="00000A" w:sz="6" w:space="0"/>
              <w:left w:val="single" w:color="00000A" w:sz="6" w:space="0"/>
              <w:bottom w:val="single" w:color="00000A" w:sz="12" w:space="0"/>
              <w:right w:val="single" w:color="00000A" w:sz="6" w:space="0"/>
            </w:tcBorders>
            <w:shd w:val="clear" w:color="auto" w:fill="auto"/>
            <w:tcMar>
              <w:left w:w="115" w:type="dxa"/>
            </w:tcMar>
          </w:tcPr>
          <w:p w14:paraId="2891DB97">
            <w:pPr>
              <w:rPr>
                <w:rFonts w:ascii="华文仿宋" w:hAnsi="华文仿宋" w:eastAsia="华文仿宋"/>
                <w:sz w:val="28"/>
              </w:rPr>
            </w:pPr>
          </w:p>
        </w:tc>
        <w:tc>
          <w:tcPr>
            <w:tcW w:w="901" w:type="pct"/>
            <w:tcBorders>
              <w:top w:val="single" w:color="00000A" w:sz="6" w:space="0"/>
              <w:left w:val="single" w:color="00000A" w:sz="6" w:space="0"/>
              <w:bottom w:val="single" w:color="00000A" w:sz="12" w:space="0"/>
              <w:right w:val="single" w:color="00000A" w:sz="6" w:space="0"/>
            </w:tcBorders>
            <w:shd w:val="clear" w:color="auto" w:fill="auto"/>
            <w:tcMar>
              <w:left w:w="115" w:type="dxa"/>
            </w:tcMar>
          </w:tcPr>
          <w:p w14:paraId="7E133460">
            <w:pPr>
              <w:rPr>
                <w:rFonts w:ascii="华文仿宋" w:hAnsi="华文仿宋" w:eastAsia="华文仿宋"/>
                <w:sz w:val="28"/>
              </w:rPr>
            </w:pPr>
          </w:p>
        </w:tc>
        <w:tc>
          <w:tcPr>
            <w:tcW w:w="1203" w:type="pct"/>
            <w:tcBorders>
              <w:top w:val="single" w:color="00000A" w:sz="6" w:space="0"/>
              <w:left w:val="single" w:color="00000A" w:sz="6" w:space="0"/>
              <w:bottom w:val="single" w:color="00000A" w:sz="12" w:space="0"/>
              <w:right w:val="single" w:color="00000A" w:sz="6" w:space="0"/>
            </w:tcBorders>
            <w:shd w:val="clear" w:color="auto" w:fill="auto"/>
            <w:tcMar>
              <w:left w:w="115" w:type="dxa"/>
            </w:tcMar>
          </w:tcPr>
          <w:p w14:paraId="4E3356FF">
            <w:pPr>
              <w:rPr>
                <w:rFonts w:ascii="华文仿宋" w:hAnsi="华文仿宋" w:eastAsia="华文仿宋"/>
                <w:sz w:val="28"/>
              </w:rPr>
            </w:pPr>
          </w:p>
        </w:tc>
        <w:tc>
          <w:tcPr>
            <w:tcW w:w="1513" w:type="pct"/>
            <w:tcBorders>
              <w:top w:val="single" w:color="00000A" w:sz="6" w:space="0"/>
              <w:left w:val="single" w:color="00000A" w:sz="6" w:space="0"/>
              <w:bottom w:val="single" w:color="00000A" w:sz="12" w:space="0"/>
              <w:right w:val="single" w:color="00000A" w:sz="12" w:space="0"/>
            </w:tcBorders>
            <w:shd w:val="clear" w:color="auto" w:fill="auto"/>
            <w:tcMar>
              <w:left w:w="115" w:type="dxa"/>
            </w:tcMar>
          </w:tcPr>
          <w:p w14:paraId="0C345405">
            <w:pPr>
              <w:rPr>
                <w:rFonts w:ascii="华文仿宋" w:hAnsi="华文仿宋" w:eastAsia="华文仿宋"/>
                <w:sz w:val="28"/>
              </w:rPr>
            </w:pPr>
          </w:p>
        </w:tc>
      </w:tr>
      <w:tr w14:paraId="288D41E8">
        <w:tc>
          <w:tcPr>
            <w:tcW w:w="5000" w:type="pct"/>
            <w:gridSpan w:val="6"/>
            <w:tcBorders>
              <w:top w:val="single" w:color="00000A" w:sz="12" w:space="0"/>
              <w:left w:val="single" w:color="00000A" w:sz="12" w:space="0"/>
              <w:bottom w:val="single" w:color="00000A" w:sz="6" w:space="0"/>
              <w:right w:val="single" w:color="00000A" w:sz="6" w:space="0"/>
            </w:tcBorders>
            <w:shd w:val="clear" w:color="auto" w:fill="auto"/>
            <w:tcMar>
              <w:left w:w="108" w:type="dxa"/>
            </w:tcMar>
          </w:tcPr>
          <w:p w14:paraId="6459FE3A">
            <w:pPr>
              <w:rPr>
                <w:rFonts w:ascii="微软雅黑" w:hAnsi="微软雅黑" w:eastAsia="微软雅黑"/>
                <w:sz w:val="28"/>
              </w:rPr>
            </w:pPr>
            <w:r>
              <w:rPr>
                <w:rFonts w:ascii="微软雅黑" w:hAnsi="微软雅黑" w:eastAsia="微软雅黑"/>
                <w:sz w:val="28"/>
              </w:rPr>
              <w:t>四、其它</w:t>
            </w:r>
          </w:p>
        </w:tc>
      </w:tr>
      <w:tr w14:paraId="00E6D986">
        <w:trPr>
          <w:trHeight w:val="1268" w:hRule="atLeast"/>
        </w:trPr>
        <w:tc>
          <w:tcPr>
            <w:tcW w:w="5000" w:type="pct"/>
            <w:gridSpan w:val="6"/>
            <w:tcBorders>
              <w:top w:val="single" w:color="00000A" w:sz="6" w:space="0"/>
              <w:left w:val="single" w:color="00000A" w:sz="12" w:space="0"/>
              <w:bottom w:val="single" w:color="00000A" w:sz="12" w:space="0"/>
              <w:right w:val="single" w:color="00000A" w:sz="6" w:space="0"/>
            </w:tcBorders>
            <w:shd w:val="clear" w:color="auto" w:fill="auto"/>
            <w:tcMar>
              <w:left w:w="108" w:type="dxa"/>
            </w:tcMar>
          </w:tcPr>
          <w:p w14:paraId="472EFE98">
            <w:pPr>
              <w:rPr>
                <w:rFonts w:ascii="华文仿宋" w:hAnsi="华文仿宋" w:eastAsia="华文仿宋"/>
                <w:sz w:val="28"/>
              </w:rPr>
            </w:pPr>
            <w:r>
              <w:rPr>
                <w:rFonts w:ascii="华文仿宋" w:hAnsi="华文仿宋" w:eastAsia="华文仿宋"/>
                <w:sz w:val="28"/>
              </w:rPr>
              <w:t>其它需要说明的信息如重要程度、是否紧急等</w:t>
            </w:r>
          </w:p>
        </w:tc>
      </w:tr>
    </w:tbl>
    <w:p w14:paraId="5DA75791"/>
    <w:tbl>
      <w:tblPr>
        <w:tblStyle w:val="16"/>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5"/>
        <w:gridCol w:w="5529"/>
        <w:gridCol w:w="1702"/>
      </w:tblGrid>
      <w:tr w14:paraId="25DCA20D">
        <w:tc>
          <w:tcPr>
            <w:tcW w:w="2375" w:type="dxa"/>
            <w:tcBorders>
              <w:top w:val="double" w:color="00000A" w:sz="4" w:space="0"/>
              <w:left w:val="double" w:color="00000A" w:sz="4" w:space="0"/>
              <w:bottom w:val="single" w:color="00000A" w:sz="6" w:space="0"/>
              <w:right w:val="single" w:color="00000A" w:sz="6" w:space="0"/>
            </w:tcBorders>
            <w:shd w:val="clear" w:color="auto" w:fill="auto"/>
            <w:tcMar>
              <w:left w:w="108" w:type="dxa"/>
            </w:tcMar>
          </w:tcPr>
          <w:p w14:paraId="4FA4A16E">
            <w:pPr>
              <w:rPr>
                <w:rFonts w:ascii="华文仿宋" w:hAnsi="华文仿宋" w:eastAsia="华文仿宋"/>
                <w:sz w:val="28"/>
              </w:rPr>
            </w:pPr>
            <w:r>
              <w:rPr>
                <w:rFonts w:ascii="华文仿宋" w:hAnsi="华文仿宋" w:eastAsia="华文仿宋"/>
                <w:sz w:val="28"/>
              </w:rPr>
              <w:t>技术交底书（知识产权部填写）</w:t>
            </w:r>
          </w:p>
          <w:p w14:paraId="1A6C69B6">
            <w:pPr>
              <w:rPr>
                <w:rFonts w:ascii="华文仿宋" w:hAnsi="华文仿宋" w:eastAsia="华文仿宋"/>
                <w:sz w:val="28"/>
              </w:rPr>
            </w:pPr>
            <w:r>
              <w:rPr>
                <w:rFonts w:ascii="华文仿宋" w:hAnsi="华文仿宋" w:eastAsia="华文仿宋"/>
                <w:sz w:val="28"/>
              </w:rPr>
              <w:t>案号：</w:t>
            </w:r>
          </w:p>
          <w:p w14:paraId="2D31631E">
            <w:pPr>
              <w:rPr>
                <w:rFonts w:ascii="华文仿宋" w:hAnsi="华文仿宋" w:eastAsia="华文仿宋"/>
                <w:sz w:val="28"/>
              </w:rPr>
            </w:pPr>
            <w:r>
              <w:rPr>
                <w:rFonts w:ascii="华文仿宋" w:hAnsi="华文仿宋" w:eastAsia="华文仿宋"/>
                <w:sz w:val="28"/>
              </w:rPr>
              <w:t xml:space="preserve">日期： </w:t>
            </w:r>
          </w:p>
          <w:p w14:paraId="3AB6B0D1">
            <w:pPr>
              <w:rPr>
                <w:rFonts w:ascii="华文仿宋" w:hAnsi="华文仿宋" w:eastAsia="华文仿宋"/>
                <w:sz w:val="28"/>
              </w:rPr>
            </w:pPr>
          </w:p>
        </w:tc>
        <w:tc>
          <w:tcPr>
            <w:tcW w:w="5529" w:type="dxa"/>
            <w:tcBorders>
              <w:top w:val="double" w:color="00000A" w:sz="4" w:space="0"/>
              <w:left w:val="single" w:color="00000A" w:sz="6" w:space="0"/>
              <w:bottom w:val="single" w:color="00000A" w:sz="6" w:space="0"/>
              <w:right w:val="single" w:color="00000A" w:sz="6" w:space="0"/>
            </w:tcBorders>
            <w:shd w:val="clear" w:color="auto" w:fill="auto"/>
            <w:tcMar>
              <w:left w:w="115" w:type="dxa"/>
            </w:tcMar>
          </w:tcPr>
          <w:p w14:paraId="1D07AF10">
            <w:pPr>
              <w:rPr>
                <w:rFonts w:ascii="华文仿宋" w:hAnsi="华文仿宋" w:eastAsia="华文仿宋"/>
                <w:sz w:val="28"/>
              </w:rPr>
            </w:pPr>
            <w:r>
              <w:rPr>
                <w:rFonts w:ascii="华文仿宋" w:hAnsi="华文仿宋" w:eastAsia="华文仿宋"/>
                <w:sz w:val="28"/>
              </w:rPr>
              <w:t>申请人：杭州铭觉人工智能科技有限公司</w:t>
            </w:r>
          </w:p>
          <w:p w14:paraId="5C1CCAD5">
            <w:pPr>
              <w:rPr>
                <w:rFonts w:ascii="华文仿宋" w:hAnsi="华文仿宋" w:eastAsia="华文仿宋"/>
                <w:sz w:val="28"/>
              </w:rPr>
            </w:pPr>
            <w:r>
              <w:rPr>
                <w:rFonts w:ascii="华文仿宋" w:hAnsi="华文仿宋" w:eastAsia="华文仿宋"/>
                <w:sz w:val="28"/>
              </w:rPr>
              <w:t>地址：浙江省杭州市滨江区长河街道国慷街509号英冠滨悦城4幢708室</w:t>
            </w:r>
          </w:p>
          <w:p w14:paraId="2BE1F0B0">
            <w:pPr>
              <w:rPr>
                <w:rFonts w:ascii="华文仿宋" w:hAnsi="华文仿宋" w:eastAsia="华文仿宋"/>
                <w:sz w:val="28"/>
              </w:rPr>
            </w:pPr>
            <w:r>
              <w:rPr>
                <w:rFonts w:ascii="华文仿宋" w:hAnsi="华文仿宋" w:eastAsia="华文仿宋"/>
                <w:sz w:val="28"/>
              </w:rPr>
              <w:t>邮编：310023</w:t>
            </w:r>
          </w:p>
          <w:p w14:paraId="5FBB640F">
            <w:pPr>
              <w:rPr>
                <w:rFonts w:ascii="华文仿宋" w:hAnsi="华文仿宋" w:eastAsia="华文仿宋"/>
                <w:sz w:val="28"/>
              </w:rPr>
            </w:pPr>
            <w:r>
              <w:rPr>
                <w:rFonts w:ascii="华文仿宋" w:hAnsi="华文仿宋" w:eastAsia="华文仿宋"/>
                <w:sz w:val="28"/>
              </w:rPr>
              <w:t>电话：13475127098</w:t>
            </w:r>
          </w:p>
          <w:p w14:paraId="0CF032E2">
            <w:pPr>
              <w:rPr>
                <w:rFonts w:ascii="华文仿宋" w:hAnsi="华文仿宋" w:eastAsia="华文仿宋"/>
                <w:sz w:val="28"/>
              </w:rPr>
            </w:pPr>
            <w:r>
              <w:rPr>
                <w:rFonts w:ascii="华文仿宋" w:hAnsi="华文仿宋" w:eastAsia="华文仿宋"/>
                <w:sz w:val="28"/>
              </w:rPr>
              <w:t>传真：</w:t>
            </w:r>
          </w:p>
        </w:tc>
        <w:tc>
          <w:tcPr>
            <w:tcW w:w="1702" w:type="dxa"/>
            <w:tcBorders>
              <w:top w:val="double" w:color="00000A" w:sz="4" w:space="0"/>
              <w:left w:val="single" w:color="00000A" w:sz="6" w:space="0"/>
              <w:bottom w:val="single" w:color="00000A" w:sz="6" w:space="0"/>
              <w:right w:val="double" w:color="00000A" w:sz="4" w:space="0"/>
            </w:tcBorders>
            <w:shd w:val="clear" w:color="auto" w:fill="auto"/>
            <w:tcMar>
              <w:left w:w="115" w:type="dxa"/>
            </w:tcMar>
            <w:vAlign w:val="center"/>
          </w:tcPr>
          <w:p w14:paraId="048AB85F">
            <w:pPr>
              <w:jc w:val="center"/>
              <w:rPr>
                <w:rFonts w:ascii="微软雅黑" w:hAnsi="微软雅黑" w:eastAsia="微软雅黑"/>
                <w:b/>
                <w:sz w:val="28"/>
              </w:rPr>
            </w:pPr>
            <w:r>
              <w:rPr>
                <w:rFonts w:ascii="微软雅黑" w:hAnsi="微软雅黑" w:eastAsia="微软雅黑"/>
                <w:b/>
                <w:sz w:val="28"/>
              </w:rPr>
              <w:t>铭觉智能机密</w:t>
            </w:r>
          </w:p>
          <w:p w14:paraId="3FB81ABC">
            <w:pPr>
              <w:jc w:val="center"/>
              <w:rPr>
                <w:rFonts w:ascii="华文仿宋" w:hAnsi="华文仿宋" w:eastAsia="华文仿宋"/>
                <w:sz w:val="28"/>
              </w:rPr>
            </w:pPr>
            <w:r>
              <w:rPr>
                <w:rFonts w:ascii="华文仿宋" w:hAnsi="华文仿宋" w:eastAsia="华文仿宋"/>
                <w:sz w:val="28"/>
              </w:rPr>
              <w:t>请勿泄露</w:t>
            </w:r>
          </w:p>
        </w:tc>
      </w:tr>
    </w:tbl>
    <w:p w14:paraId="66AE0077"/>
    <w:p w14:paraId="3B94A326"/>
    <w:p w14:paraId="32AFFD74"/>
    <w:p w14:paraId="4E0B9FFE"/>
    <w:tbl>
      <w:tblPr>
        <w:tblStyle w:val="16"/>
        <w:tblW w:w="7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5394"/>
      </w:tblGrid>
      <w:tr w14:paraId="18E7481E">
        <w:trPr>
          <w:jc w:val="center"/>
        </w:trPr>
        <w:tc>
          <w:tcPr>
            <w:tcW w:w="1943" w:type="dxa"/>
            <w:shd w:val="clear" w:color="auto" w:fill="auto"/>
            <w:tcMar>
              <w:left w:w="108" w:type="dxa"/>
            </w:tcMar>
          </w:tcPr>
          <w:p w14:paraId="39C8B3F2">
            <w:pPr>
              <w:rPr>
                <w:rFonts w:ascii="华文仿宋" w:hAnsi="华文仿宋" w:eastAsia="华文仿宋"/>
                <w:sz w:val="28"/>
              </w:rPr>
            </w:pPr>
            <w:r>
              <w:rPr>
                <w:rFonts w:ascii="华文仿宋" w:hAnsi="华文仿宋" w:eastAsia="华文仿宋"/>
                <w:sz w:val="28"/>
              </w:rPr>
              <w:t>交底书名称</w:t>
            </w:r>
          </w:p>
        </w:tc>
        <w:tc>
          <w:tcPr>
            <w:tcW w:w="5394" w:type="dxa"/>
            <w:shd w:val="clear" w:color="auto" w:fill="auto"/>
            <w:tcMar>
              <w:left w:w="108" w:type="dxa"/>
            </w:tcMar>
          </w:tcPr>
          <w:p w14:paraId="11261FA1">
            <w:r>
              <w:rPr>
                <w:rFonts w:hint="eastAsia" w:ascii="华文仿宋" w:hAnsi="华文仿宋" w:eastAsia="华文仿宋"/>
                <w:i/>
                <w:sz w:val="28"/>
              </w:rPr>
              <w:t>基于聚合图谱与明细结构化库表融合的可下钻图谱分析方法</w:t>
            </w:r>
          </w:p>
        </w:tc>
      </w:tr>
      <w:tr w14:paraId="6560F7F8">
        <w:trPr>
          <w:jc w:val="center"/>
        </w:trPr>
        <w:tc>
          <w:tcPr>
            <w:tcW w:w="1943" w:type="dxa"/>
            <w:shd w:val="clear" w:color="auto" w:fill="auto"/>
            <w:tcMar>
              <w:left w:w="108" w:type="dxa"/>
            </w:tcMar>
          </w:tcPr>
          <w:p w14:paraId="750AB791">
            <w:pPr>
              <w:rPr>
                <w:rFonts w:ascii="华文仿宋" w:hAnsi="华文仿宋" w:eastAsia="华文仿宋"/>
                <w:sz w:val="28"/>
              </w:rPr>
            </w:pPr>
            <w:r>
              <w:rPr>
                <w:rFonts w:ascii="华文仿宋" w:hAnsi="华文仿宋" w:eastAsia="华文仿宋"/>
                <w:sz w:val="28"/>
              </w:rPr>
              <w:t>交底书撰写人</w:t>
            </w:r>
          </w:p>
        </w:tc>
        <w:tc>
          <w:tcPr>
            <w:tcW w:w="5394" w:type="dxa"/>
            <w:shd w:val="clear" w:color="auto" w:fill="auto"/>
            <w:tcMar>
              <w:left w:w="108" w:type="dxa"/>
            </w:tcMar>
          </w:tcPr>
          <w:p w14:paraId="682E657D">
            <w:r>
              <w:rPr>
                <w:rFonts w:hint="eastAsia" w:ascii="华文仿宋" w:hAnsi="华文仿宋" w:eastAsia="华文仿宋"/>
                <w:i/>
                <w:sz w:val="28"/>
              </w:rPr>
              <w:t>徐鹏飞</w:t>
            </w:r>
          </w:p>
        </w:tc>
      </w:tr>
      <w:tr w14:paraId="4656BA4C">
        <w:trPr>
          <w:jc w:val="center"/>
        </w:trPr>
        <w:tc>
          <w:tcPr>
            <w:tcW w:w="1943" w:type="dxa"/>
            <w:shd w:val="clear" w:color="auto" w:fill="auto"/>
            <w:tcMar>
              <w:left w:w="108" w:type="dxa"/>
            </w:tcMar>
          </w:tcPr>
          <w:p w14:paraId="7F139FE5">
            <w:pPr>
              <w:rPr>
                <w:rFonts w:ascii="华文仿宋" w:hAnsi="华文仿宋" w:eastAsia="华文仿宋"/>
                <w:sz w:val="28"/>
              </w:rPr>
            </w:pPr>
            <w:r>
              <w:rPr>
                <w:rFonts w:ascii="华文仿宋" w:hAnsi="华文仿宋" w:eastAsia="华文仿宋"/>
                <w:sz w:val="28"/>
              </w:rPr>
              <w:t>发明人</w:t>
            </w:r>
          </w:p>
        </w:tc>
        <w:tc>
          <w:tcPr>
            <w:tcW w:w="5394" w:type="dxa"/>
            <w:shd w:val="clear" w:color="auto" w:fill="auto"/>
            <w:tcMar>
              <w:left w:w="108" w:type="dxa"/>
            </w:tcMar>
          </w:tcPr>
          <w:p w14:paraId="11B40F8F">
            <w:pPr>
              <w:rPr>
                <w:rFonts w:ascii="华文仿宋" w:hAnsi="华文仿宋" w:eastAsia="华文仿宋"/>
                <w:sz w:val="28"/>
              </w:rPr>
            </w:pPr>
            <w:r>
              <w:rPr>
                <w:rFonts w:hint="eastAsia" w:ascii="华文仿宋" w:hAnsi="华文仿宋" w:eastAsia="华文仿宋"/>
                <w:i/>
                <w:sz w:val="28"/>
              </w:rPr>
              <w:t>徐鹏飞</w:t>
            </w:r>
          </w:p>
        </w:tc>
      </w:tr>
      <w:tr w14:paraId="21AF1BDF">
        <w:trPr>
          <w:trHeight w:val="90" w:hRule="atLeast"/>
          <w:jc w:val="center"/>
        </w:trPr>
        <w:tc>
          <w:tcPr>
            <w:tcW w:w="1943" w:type="dxa"/>
            <w:shd w:val="clear" w:color="auto" w:fill="auto"/>
            <w:tcMar>
              <w:left w:w="108" w:type="dxa"/>
            </w:tcMar>
          </w:tcPr>
          <w:p w14:paraId="359F9A7E">
            <w:pPr>
              <w:rPr>
                <w:rFonts w:ascii="华文仿宋" w:hAnsi="华文仿宋" w:eastAsia="华文仿宋"/>
                <w:sz w:val="28"/>
              </w:rPr>
            </w:pPr>
            <w:r>
              <w:rPr>
                <w:rFonts w:ascii="华文仿宋" w:hAnsi="华文仿宋" w:eastAsia="华文仿宋"/>
                <w:sz w:val="28"/>
              </w:rPr>
              <w:t>联系电话</w:t>
            </w:r>
          </w:p>
        </w:tc>
        <w:tc>
          <w:tcPr>
            <w:tcW w:w="5394" w:type="dxa"/>
            <w:shd w:val="clear" w:color="auto" w:fill="auto"/>
            <w:tcMar>
              <w:left w:w="108" w:type="dxa"/>
            </w:tcMar>
          </w:tcPr>
          <w:p w14:paraId="79DA9D66">
            <w:pPr>
              <w:rPr>
                <w:rFonts w:ascii="华文仿宋" w:hAnsi="华文仿宋" w:eastAsia="华文仿宋"/>
                <w:sz w:val="28"/>
              </w:rPr>
            </w:pPr>
          </w:p>
        </w:tc>
      </w:tr>
      <w:tr w14:paraId="0EF5F865">
        <w:trPr>
          <w:jc w:val="center"/>
        </w:trPr>
        <w:tc>
          <w:tcPr>
            <w:tcW w:w="1943" w:type="dxa"/>
            <w:shd w:val="clear" w:color="auto" w:fill="auto"/>
            <w:tcMar>
              <w:left w:w="108" w:type="dxa"/>
            </w:tcMar>
          </w:tcPr>
          <w:p w14:paraId="5C488A2A">
            <w:pPr>
              <w:rPr>
                <w:rFonts w:ascii="华文仿宋" w:hAnsi="华文仿宋" w:eastAsia="华文仿宋"/>
                <w:sz w:val="28"/>
              </w:rPr>
            </w:pPr>
            <w:r>
              <w:rPr>
                <w:rFonts w:ascii="华文仿宋" w:hAnsi="华文仿宋" w:eastAsia="华文仿宋"/>
                <w:sz w:val="28"/>
              </w:rPr>
              <w:t>传真号码</w:t>
            </w:r>
          </w:p>
        </w:tc>
        <w:tc>
          <w:tcPr>
            <w:tcW w:w="5394" w:type="dxa"/>
            <w:shd w:val="clear" w:color="auto" w:fill="auto"/>
            <w:tcMar>
              <w:left w:w="108" w:type="dxa"/>
            </w:tcMar>
          </w:tcPr>
          <w:p w14:paraId="1C03A0B8">
            <w:pPr>
              <w:rPr>
                <w:rFonts w:ascii="华文仿宋" w:hAnsi="华文仿宋" w:eastAsia="华文仿宋"/>
                <w:color w:val="D9D9D9" w:themeColor="background1" w:themeShade="D9"/>
                <w:sz w:val="28"/>
              </w:rPr>
            </w:pPr>
          </w:p>
        </w:tc>
      </w:tr>
      <w:tr w14:paraId="697DF74D">
        <w:trPr>
          <w:jc w:val="center"/>
        </w:trPr>
        <w:tc>
          <w:tcPr>
            <w:tcW w:w="1943" w:type="dxa"/>
            <w:shd w:val="clear" w:color="auto" w:fill="auto"/>
            <w:tcMar>
              <w:left w:w="108" w:type="dxa"/>
            </w:tcMar>
          </w:tcPr>
          <w:p w14:paraId="34620242">
            <w:pPr>
              <w:rPr>
                <w:rFonts w:ascii="华文仿宋" w:hAnsi="华文仿宋" w:eastAsia="华文仿宋"/>
                <w:sz w:val="28"/>
              </w:rPr>
            </w:pPr>
            <w:r>
              <w:rPr>
                <w:rFonts w:ascii="华文仿宋" w:hAnsi="华文仿宋" w:eastAsia="华文仿宋"/>
                <w:sz w:val="28"/>
              </w:rPr>
              <w:t>E-mail</w:t>
            </w:r>
          </w:p>
        </w:tc>
        <w:tc>
          <w:tcPr>
            <w:tcW w:w="5394" w:type="dxa"/>
            <w:shd w:val="clear" w:color="auto" w:fill="auto"/>
            <w:tcMar>
              <w:left w:w="108" w:type="dxa"/>
            </w:tcMar>
          </w:tcPr>
          <w:p w14:paraId="2939998B">
            <w:pPr>
              <w:rPr>
                <w:rFonts w:ascii="华文仿宋" w:hAnsi="华文仿宋" w:eastAsia="华文仿宋"/>
                <w:color w:val="D9D9D9" w:themeColor="background1" w:themeShade="D9"/>
                <w:sz w:val="28"/>
              </w:rPr>
            </w:pPr>
          </w:p>
        </w:tc>
      </w:tr>
    </w:tbl>
    <w:p w14:paraId="18C815EA"/>
    <w:p w14:paraId="3326D496"/>
    <w:p w14:paraId="26986106"/>
    <w:p w14:paraId="026C0927">
      <w:pPr>
        <w:rPr>
          <w:rFonts w:ascii="华文仿宋" w:hAnsi="华文仿宋" w:eastAsia="华文仿宋"/>
          <w:sz w:val="28"/>
        </w:rPr>
      </w:pPr>
      <w:r>
        <w:rPr>
          <w:rFonts w:ascii="华文仿宋" w:hAnsi="华文仿宋" w:eastAsia="华文仿宋"/>
          <w:sz w:val="28"/>
        </w:rPr>
        <w:t>专利代理所须知：</w:t>
      </w:r>
    </w:p>
    <w:p w14:paraId="3A4244F7">
      <w:pPr>
        <w:pStyle w:val="30"/>
        <w:numPr>
          <w:ilvl w:val="0"/>
          <w:numId w:val="2"/>
        </w:numPr>
        <w:rPr>
          <w:rFonts w:ascii="华文仿宋" w:hAnsi="华文仿宋" w:eastAsia="华文仿宋"/>
          <w:sz w:val="28"/>
        </w:rPr>
      </w:pPr>
      <w:r>
        <w:rPr>
          <w:rFonts w:ascii="华文仿宋" w:hAnsi="华文仿宋" w:eastAsia="华文仿宋"/>
          <w:sz w:val="28"/>
        </w:rPr>
        <w:t>发明内容方案相关问题直接与技术联系人交流</w:t>
      </w:r>
    </w:p>
    <w:p w14:paraId="791F528C">
      <w:pPr>
        <w:pStyle w:val="30"/>
        <w:numPr>
          <w:ilvl w:val="0"/>
          <w:numId w:val="2"/>
        </w:numPr>
        <w:rPr>
          <w:rFonts w:ascii="华文仿宋" w:hAnsi="华文仿宋" w:eastAsia="华文仿宋"/>
          <w:sz w:val="28"/>
        </w:rPr>
      </w:pPr>
      <w:r>
        <w:rPr>
          <w:rFonts w:ascii="华文仿宋" w:hAnsi="华文仿宋" w:eastAsia="华文仿宋"/>
          <w:sz w:val="28"/>
        </w:rPr>
        <w:t>文件定稿前须经杭州铭觉智能技术联系人、知识产权联系人审核</w:t>
      </w:r>
    </w:p>
    <w:p w14:paraId="3D206BC7">
      <w:pPr>
        <w:pStyle w:val="30"/>
        <w:numPr>
          <w:ilvl w:val="0"/>
          <w:numId w:val="2"/>
        </w:numPr>
        <w:rPr>
          <w:rFonts w:ascii="华文仿宋" w:hAnsi="华文仿宋" w:eastAsia="华文仿宋"/>
          <w:sz w:val="28"/>
        </w:rPr>
      </w:pPr>
      <w:r>
        <w:rPr>
          <w:rFonts w:ascii="华文仿宋" w:hAnsi="华文仿宋" w:eastAsia="华文仿宋"/>
          <w:sz w:val="28"/>
        </w:rPr>
        <w:t>一个月之内完成申请文件，特殊情况双方协商</w:t>
      </w:r>
    </w:p>
    <w:p w14:paraId="2CC65AA1">
      <w:pPr>
        <w:pStyle w:val="30"/>
        <w:numPr>
          <w:ilvl w:val="0"/>
          <w:numId w:val="2"/>
        </w:numPr>
        <w:rPr>
          <w:rFonts w:ascii="华文仿宋" w:hAnsi="华文仿宋" w:eastAsia="华文仿宋"/>
          <w:sz w:val="28"/>
        </w:rPr>
      </w:pPr>
      <w:r>
        <w:rPr>
          <w:rFonts w:ascii="华文仿宋" w:hAnsi="华文仿宋" w:eastAsia="华文仿宋"/>
          <w:sz w:val="28"/>
        </w:rPr>
        <w:t>申请文件电子件请发给知识产权联系人</w:t>
      </w:r>
    </w:p>
    <w:p w14:paraId="00C6B0CD"/>
    <w:p w14:paraId="7BDCA57B"/>
    <w:p w14:paraId="7905E1EC"/>
    <w:p w14:paraId="3D42FE9D"/>
    <w:p w14:paraId="35C3B983">
      <w:pPr>
        <w:pStyle w:val="2"/>
        <w:numPr>
          <w:ilvl w:val="0"/>
          <w:numId w:val="3"/>
        </w:numPr>
        <w:rPr>
          <w:rFonts w:eastAsia="微软雅黑"/>
          <w:sz w:val="32"/>
          <w:szCs w:val="32"/>
        </w:rPr>
      </w:pPr>
      <w:r>
        <w:rPr>
          <w:rFonts w:eastAsia="微软雅黑"/>
          <w:sz w:val="32"/>
          <w:szCs w:val="32"/>
        </w:rPr>
        <w:t>相关技术背景，与本发明最相近似的现有实现方案（现有技术描述）</w:t>
      </w:r>
    </w:p>
    <w:p w14:paraId="1BDD93B6">
      <w:pPr>
        <w:pStyle w:val="3"/>
        <w:numPr>
          <w:ilvl w:val="0"/>
          <w:numId w:val="4"/>
        </w:numPr>
      </w:pPr>
      <w:r>
        <w:t>背景技术（详细介绍背景知识）</w:t>
      </w:r>
    </w:p>
    <w:p w14:paraId="1672FC41">
      <w:pPr>
        <w:pStyle w:val="13"/>
        <w:keepNext w:val="0"/>
        <w:keepLines w:val="0"/>
        <w:widowControl/>
        <w:suppressLineNumbers w:val="0"/>
      </w:pPr>
      <w:r>
        <w:t>随着大模型、语义检索、智能问答和数据分析技术在政务、金融、审计、法务、制造、能源、医疗、企业经营管理等领域的逐步应用，智能化综合分析已成为提升业务处理效率、发现风险线索和辅助决策的重要手段。在实际业务中，分析对象通常同时包含结构化数据、半结构化数据和非结构化资料：结构化数据包括数据库表、业务台账、交易流水、指标数据等；半结构化数据包括表格、清单、表单、台账文件等；非结构化资料包括合同、制度文件、会议纪要、报告材料、扫描件、图片、PDF、Word等。这些多来源业务数据共同构成业务人员判断问题性质、核实事实依据和形成分析结论的重要基础。</w:t>
      </w:r>
    </w:p>
    <w:p w14:paraId="13777037">
      <w:pPr>
        <w:pStyle w:val="13"/>
        <w:keepNext w:val="0"/>
        <w:keepLines w:val="0"/>
        <w:widowControl/>
        <w:suppressLineNumbers w:val="0"/>
      </w:pPr>
      <w:r>
        <w:t>目前，各行业信息化建设中较为成熟的技术主要集中在结构化数据分析领域。业务人员通常通过大数据平台、BI系统或数据仓库接入业务系统数据，利用SQL查询、指标规则、模型筛查、关联比对等方式，对字段明确、口径稳定、规则清晰的数据进行统计分析和异常探查。这种方式能够较好地发现结构化数据中的显性异常，便于用户从数据层面对问题线索进行初步定位。</w:t>
      </w:r>
    </w:p>
    <w:p w14:paraId="4480DEF0">
      <w:pPr>
        <w:pStyle w:val="13"/>
        <w:keepNext w:val="0"/>
        <w:keepLines w:val="0"/>
        <w:widowControl/>
        <w:suppressLineNumbers w:val="0"/>
      </w:pPr>
      <w:r>
        <w:t>然而，现有业务分析往往停留在“结构化数据问题发现”层面：用户可以发现某笔交易、某个项目、某类指标或某项流程存在异常，却难以进一步自动关联到该异常背后的合同条款、审批依据、会议记录、项目材料、佐证文件或业务说明。例如，在项目管理、采购合规、财务风控、运营监管等场景中，系统可以通过结构化数据发现超预算、频繁变更、支付异常或指标偏离，但当需要进一步判断该异常是否与合同约定、审批材料或过程文件相符时，仍需要业务人员人工查找和阅读大量非结构化材料。</w:t>
      </w:r>
    </w:p>
    <w:p w14:paraId="656FEA7D">
      <w:pPr>
        <w:pStyle w:val="13"/>
        <w:keepNext w:val="0"/>
        <w:keepLines w:val="0"/>
        <w:widowControl/>
        <w:suppressLineNumbers w:val="0"/>
      </w:pPr>
      <w:r>
        <w:t>目前，业务系统中通常存在多套相互独立的分析体系：一套是面向结构化数据的大数据或BI分析平台，提供指标计算、异常筛查和数据探查能力；一套是面向非结构化资料的文档管理或知识库AI平台，提供资料存储、检索和问答能力；还有一类是面向单点任务的智能问数、通用大模型或文件对话工具，用于完成数据库问答、文档问答或报告生成等单一任务。市场上也存在大量基于本地文件或云端文件的对话式AI工具，能够对用户上传的单个或少量文件进行摘要和问答，但其通常面向个人级或单点文件分析，难以满足组织级在线平台、私有化部署、权限隔离、工具调用治理和多来源数据协同分析要求。</w:t>
      </w:r>
    </w:p>
    <w:p w14:paraId="56315AF9">
      <w:pPr>
        <w:pStyle w:val="13"/>
        <w:keepNext w:val="0"/>
        <w:keepLines w:val="0"/>
        <w:widowControl/>
        <w:suppressLineNumbers w:val="0"/>
      </w:pPr>
      <w:r>
        <w:t>这种割裂状态带来了以下问题：</w:t>
      </w:r>
    </w:p>
    <w:p w14:paraId="5EC637E3">
      <w:pPr>
        <w:pStyle w:val="13"/>
        <w:keepNext w:val="0"/>
        <w:keepLines w:val="0"/>
        <w:widowControl/>
        <w:suppressLineNumbers w:val="0"/>
      </w:pPr>
      <w:r>
        <w:t>（1）发现结构化数据异常后，需要人工切换到文档系统、知识库或本地资料中查找相关佐证材料，效率低下</w:t>
      </w:r>
    </w:p>
    <w:p w14:paraId="6BCD95EB">
      <w:pPr>
        <w:pStyle w:val="13"/>
        <w:keepNext w:val="0"/>
        <w:keepLines w:val="0"/>
        <w:widowControl/>
        <w:suppressLineNumbers w:val="0"/>
      </w:pPr>
      <w:r>
        <w:t>（2）非结构化资料中的关键事实、制度约束和业务语义难以与结构化数据异常自动关联，分析结论缺乏完整证据链支撑</w:t>
      </w:r>
    </w:p>
    <w:p w14:paraId="009E32EB">
      <w:pPr>
        <w:pStyle w:val="13"/>
        <w:keepNext w:val="0"/>
        <w:keepLines w:val="0"/>
        <w:widowControl/>
        <w:suppressLineNumbers w:val="0"/>
      </w:pPr>
      <w:r>
        <w:t>（3）知识库AI、智能问数、本地文件对话工具和单一智能体工具各自面向单一数据类型或单一任务，无法对多来源业务资料进行统一聚合、比对和综合研判</w:t>
      </w:r>
    </w:p>
    <w:p w14:paraId="32960232">
      <w:pPr>
        <w:pStyle w:val="13"/>
        <w:keepNext w:val="0"/>
        <w:keepLines w:val="0"/>
        <w:widowControl/>
        <w:suppressLineNumbers w:val="0"/>
      </w:pPr>
      <w:r>
        <w:t>（4）业务人员在分析过程中形成的经验、规则和结论难以沉淀为可复用的分析技能，导致类似项目中重复配置、重复分析</w:t>
      </w:r>
    </w:p>
    <w:p w14:paraId="3D6FBA0D">
      <w:pPr>
        <w:pStyle w:val="13"/>
        <w:keepNext w:val="0"/>
        <w:keepLines w:val="0"/>
        <w:widowControl/>
        <w:suppressLineNumbers w:val="0"/>
      </w:pPr>
      <w:r>
        <w:t>（5）对于需要同时结合结构化数据异常和非结构化文本证据才能识别的风险行为，现有系统难以有效发现，存在业务监督或管理漏洞</w:t>
      </w:r>
    </w:p>
    <w:p w14:paraId="1B88871D">
      <w:pPr>
        <w:pStyle w:val="3"/>
        <w:numPr>
          <w:ilvl w:val="0"/>
          <w:numId w:val="4"/>
        </w:numPr>
      </w:pPr>
      <w:r>
        <w:t>现有技术（与本发明相关）</w:t>
      </w:r>
    </w:p>
    <w:p w14:paraId="432D72A4">
      <w:pPr>
        <w:pStyle w:val="13"/>
        <w:keepNext w:val="0"/>
        <w:keepLines w:val="0"/>
        <w:widowControl/>
        <w:suppressLineNumbers w:val="0"/>
      </w:pPr>
      <w:r>
        <w:t>现有技术方案中，结构化数据分析系统、非结构化文档处理系统、文件对话式AI工具和智能体工具通常为相互独立的系统。用户在使用数据分析平台发现异常后，如需进一步核验相关合同、制度文件、审批材料或业务报告，通常需要通过手动方式在文档系统、知识库系统、本地文件或通用大模型工具中重新检索和阅读，无法在同一业务分析界面内实现对多来源数据的统一智能化综合分析。此外，结构化数据库、非结构化文档、知识库索引、智能体上下文和工具调用权限之间的数据模型及安全边界差异较大，缺乏统一的对象组织、语义映射、受控执行和结果沉淀机制，导致跨来源资料的综合分析存在技术障碍。</w:t>
      </w:r>
    </w:p>
    <w:p w14:paraId="28EEBF4E">
      <w:pPr>
        <w:pStyle w:val="13"/>
        <w:keepNext w:val="0"/>
        <w:keepLines w:val="0"/>
        <w:widowControl/>
        <w:suppressLineNumbers w:val="0"/>
      </w:pPr>
      <w:r>
        <w:t>具体来说，现有相关技术包括：</w:t>
      </w:r>
    </w:p>
    <w:p w14:paraId="7CA4E110">
      <w:pPr>
        <w:pStyle w:val="13"/>
        <w:keepNext w:val="0"/>
        <w:keepLines w:val="0"/>
        <w:widowControl/>
        <w:suppressLineNumbers w:val="0"/>
      </w:pPr>
      <w:r>
        <w:t>（1）传统大数据或BI分析技术：以关系型数据库、数据仓库、OLAP引擎等为基础，支持结构化数据的查询、统计、规则筛查和异常分析，但缺乏对合同、会议纪要、制度文件、业务报告等非结构化资料的语义理解和关联分析能力</w:t>
      </w:r>
    </w:p>
    <w:p w14:paraId="67FBDDF7">
      <w:pPr>
        <w:pStyle w:val="13"/>
        <w:keepNext w:val="0"/>
        <w:keepLines w:val="0"/>
        <w:widowControl/>
        <w:suppressLineNumbers w:val="0"/>
      </w:pPr>
      <w:r>
        <w:t>（2）知识库AI文档问答技术：基于文档切分、向量检索和大模型问答，对非结构化资料进行检索、摘要和问答，但主要停留在文档阅读辅助层面，缺乏与结构化数据库、业务异常、分析规则和结果证据的统一联动</w:t>
      </w:r>
    </w:p>
    <w:p w14:paraId="717A4DA7">
      <w:pPr>
        <w:pStyle w:val="13"/>
        <w:keepNext w:val="0"/>
        <w:keepLines w:val="0"/>
        <w:widowControl/>
        <w:suppressLineNumbers w:val="0"/>
      </w:pPr>
      <w:r>
        <w:t>（3）智能问数或BI智能体技术：通过自然语言生成SQL或调用指标接口，实现对数据库和指标体系的问答分析，但分析对象主要限于结构化数据，无法有效处理大量非结构化业务资料</w:t>
      </w:r>
    </w:p>
    <w:p w14:paraId="4AAB72F6">
      <w:pPr>
        <w:pStyle w:val="13"/>
        <w:keepNext w:val="0"/>
        <w:keepLines w:val="0"/>
        <w:widowControl/>
        <w:suppressLineNumbers w:val="0"/>
      </w:pPr>
      <w:r>
        <w:t>（4）本地文件或云端文件对话式AI技术：能够针对用户上传的文件进行摘要、问答或内容生成，但通常缺少组织级私有化部署、统一权限控制、跨数据源上下文管理和受控工具调用能力，难以满足高安全要求场景下的在线协同分析</w:t>
      </w:r>
    </w:p>
    <w:p w14:paraId="62183732">
      <w:pPr>
        <w:pStyle w:val="13"/>
        <w:keepNext w:val="0"/>
        <w:keepLines w:val="0"/>
        <w:widowControl/>
        <w:suppressLineNumbers w:val="0"/>
      </w:pPr>
      <w:r>
        <w:t>（5）单一智能体分析技术：以单一智能体为核心完成问答、检索或报告生成，适合处理单点任务，但难以支撑多数据源、多资料类型、多分析阶段、多工具调用和多成果沉淀的综合作业流程</w:t>
      </w:r>
    </w:p>
    <w:p w14:paraId="361DDC98">
      <w:pPr>
        <w:pStyle w:val="13"/>
        <w:keepNext w:val="0"/>
        <w:keepLines w:val="0"/>
        <w:widowControl/>
        <w:suppressLineNumbers w:val="0"/>
      </w:pPr>
      <w:r>
        <w:t>（6）传统文档管理或协作平台：提供业务资料的上传、分类、存储和共享能力，但通常缺乏大模型驱动的语义理解、异常分析、证据比对、技能复用和安全执行治理能力</w:t>
      </w:r>
    </w:p>
    <w:p w14:paraId="3F001E3F">
      <w:pPr>
        <w:pStyle w:val="13"/>
        <w:keepNext w:val="0"/>
        <w:keepLines w:val="0"/>
        <w:widowControl/>
        <w:suppressLineNumbers w:val="0"/>
      </w:pPr>
      <w:r>
        <w:t>对于跨来源、跨模态的业务分析场景，部分风险问题只有在结构化数据异常与非结构化资料证据相互印证时才能被发现。现有技术难以对上述数据进行统一组织和智能化综合分析，也难以在私有化在线平台中对大模型执行过程进行权限隔离、沙箱约束、记忆管理和技能调用治理，导致线索发现不充分、证据支撑不完整，存在一定的管理盲区和数据安全风险。</w:t>
      </w:r>
    </w:p>
    <w:p w14:paraId="18C2AC20">
      <w:pPr>
        <w:pStyle w:val="2"/>
        <w:numPr>
          <w:ilvl w:val="0"/>
          <w:numId w:val="3"/>
        </w:numPr>
        <w:rPr>
          <w:rFonts w:eastAsia="微软雅黑"/>
          <w:sz w:val="32"/>
          <w:szCs w:val="32"/>
        </w:rPr>
      </w:pPr>
      <w:r>
        <w:rPr>
          <w:rFonts w:eastAsia="微软雅黑"/>
          <w:sz w:val="32"/>
          <w:szCs w:val="32"/>
        </w:rPr>
        <w:t>本发明技术方案的详细描述（即发明内容，可以结合流程图、原理框图、网络图、时序图等进行说明）</w:t>
      </w:r>
    </w:p>
    <w:p w14:paraId="4EE0479B">
      <w:pPr>
        <w:pStyle w:val="3"/>
        <w:numPr>
          <w:ilvl w:val="0"/>
          <w:numId w:val="5"/>
        </w:numPr>
      </w:pPr>
      <w:r>
        <w:t>本发明需要解决的问题（发明目的）</w:t>
      </w:r>
    </w:p>
    <w:p w14:paraId="70E18A86">
      <w:pPr>
        <w:pStyle w:val="13"/>
        <w:keepNext w:val="0"/>
        <w:keepLines w:val="0"/>
        <w:widowControl/>
        <w:suppressLineNumbers w:val="0"/>
      </w:pPr>
      <w:r>
        <w:t>本发明针对业务分析场景中结构化数据、半结构化资料、非结构化资料、知识库内容和AI分析工具相互割裂，且现有文件对话式AI工具难以满足组织级私有化部署、权限隔离、受控执行和可追溯分析要求的技术问题，提出一种支持多来源业务数据私有化智能综合分析的平台及方法。该方法旨在实现从数据接入、资料解析、大模型综合分析、技能执行、AI对话分析、结果沉淀到安全治理的完整闭环，提升业务分析效率、分析结论准确性、数据安全性和分析过程可追溯性。</w:t>
      </w:r>
    </w:p>
    <w:p w14:paraId="38F36476">
      <w:pPr>
        <w:pStyle w:val="13"/>
        <w:keepNext w:val="0"/>
        <w:keepLines w:val="0"/>
        <w:widowControl/>
        <w:suppressLineNumbers w:val="0"/>
      </w:pPr>
      <w:r>
        <w:t>本发明主要解决以下问题：</w:t>
      </w:r>
    </w:p>
    <w:p w14:paraId="612AFFA2">
      <w:pPr>
        <w:pStyle w:val="13"/>
        <w:keepNext w:val="0"/>
        <w:keepLines w:val="0"/>
        <w:widowControl/>
        <w:suppressLineNumbers w:val="0"/>
      </w:pPr>
      <w:r>
        <w:t>（1）多来源业务资料分散存放，缺乏统一任务上下文，导致业务人员难以围绕同一分析事项连续分析</w:t>
      </w:r>
    </w:p>
    <w:p w14:paraId="7CF46949">
      <w:pPr>
        <w:pStyle w:val="13"/>
        <w:keepNext w:val="0"/>
        <w:keepLines w:val="0"/>
        <w:widowControl/>
        <w:suppressLineNumbers w:val="0"/>
      </w:pPr>
      <w:r>
        <w:t>（2）结构化数据异常与非结构化资料证据难以自动关联，导致问题发现与证据核验割裂</w:t>
      </w:r>
    </w:p>
    <w:p w14:paraId="363399AE">
      <w:pPr>
        <w:pStyle w:val="13"/>
        <w:keepNext w:val="0"/>
        <w:keepLines w:val="0"/>
        <w:widowControl/>
        <w:suppressLineNumbers w:val="0"/>
      </w:pPr>
      <w:r>
        <w:t>（3）业务人员依赖人工阅读和多系统切换完成资料比对，效率低且容易遗漏关键线索</w:t>
      </w:r>
    </w:p>
    <w:p w14:paraId="4549F92F">
      <w:pPr>
        <w:pStyle w:val="13"/>
        <w:keepNext w:val="0"/>
        <w:keepLines w:val="0"/>
        <w:widowControl/>
        <w:suppressLineNumbers w:val="0"/>
      </w:pPr>
      <w:r>
        <w:t>（4）业务分析方法、规则和经验难以沉淀为可复用资产，导致类似项目中重复配置和重复分析</w:t>
      </w:r>
    </w:p>
    <w:p w14:paraId="45A0F483">
      <w:pPr>
        <w:pStyle w:val="13"/>
        <w:keepNext w:val="0"/>
        <w:keepLines w:val="0"/>
        <w:widowControl/>
        <w:suppressLineNumbers w:val="0"/>
      </w:pPr>
      <w:r>
        <w:t>（5）智能问答结果难以转化为可复核、可追溯的分析成果，无法满足组织级留痕、复盘和安全治理要求</w:t>
      </w:r>
    </w:p>
    <w:p w14:paraId="4AE162F3"/>
    <w:p w14:paraId="21BF79C2">
      <w:pPr>
        <w:pStyle w:val="3"/>
        <w:numPr>
          <w:ilvl w:val="0"/>
          <w:numId w:val="5"/>
        </w:numPr>
      </w:pPr>
      <w:r>
        <w:t>本发明提供的完整技术方案（发明方案）</w:t>
      </w:r>
    </w:p>
    <w:p w14:paraId="42D30B73">
      <w:pPr>
        <w:pStyle w:val="13"/>
        <w:keepNext w:val="0"/>
        <w:keepLines w:val="0"/>
        <w:widowControl/>
        <w:suppressLineNumbers w:val="0"/>
      </w:pPr>
      <w:r>
        <w:t>为实现上述目的，本发明提供如下技术方案：</w:t>
      </w:r>
    </w:p>
    <w:p w14:paraId="63F05A8C">
      <w:pPr>
        <w:pStyle w:val="13"/>
        <w:keepNext w:val="0"/>
        <w:keepLines w:val="0"/>
        <w:widowControl/>
        <w:suppressLineNumbers w:val="0"/>
      </w:pPr>
      <w:r>
        <w:t>Step1：构建面向业务分析任务的工作台化分析空间</w:t>
      </w:r>
    </w:p>
    <w:p w14:paraId="196269FC">
      <w:pPr>
        <w:pStyle w:val="13"/>
        <w:keepNext w:val="0"/>
        <w:keepLines w:val="0"/>
        <w:widowControl/>
        <w:suppressLineNumbers w:val="0"/>
      </w:pPr>
      <w:r>
        <w:t>系统根据业务项目、业务事项或专项分析主题构建工作台化分析空间。该工作台作为业务分析任务的统一组织单元，用于承载该任务下的多来源资料、分析方法、分析过程、运行记忆和分析结果。</w:t>
      </w:r>
    </w:p>
    <w:p w14:paraId="20201893">
      <w:pPr>
        <w:pStyle w:val="13"/>
        <w:keepNext w:val="0"/>
        <w:keepLines w:val="0"/>
        <w:widowControl/>
        <w:suppressLineNumbers w:val="0"/>
      </w:pPr>
      <w:r>
        <w:t>具体包括：</w:t>
      </w:r>
    </w:p>
    <w:p w14:paraId="0E2A1B36">
      <w:pPr>
        <w:pStyle w:val="13"/>
        <w:keepNext w:val="0"/>
        <w:keepLines w:val="0"/>
        <w:widowControl/>
        <w:suppressLineNumbers w:val="0"/>
      </w:pPr>
      <w:r>
        <w:t>（1）为每个业务分析任务生成唯一的工作台标识，用于统一关联该任务下的各类分析对象；</w:t>
      </w:r>
    </w:p>
    <w:p w14:paraId="75004373">
      <w:pPr>
        <w:pStyle w:val="13"/>
        <w:keepNext w:val="0"/>
        <w:keepLines w:val="0"/>
        <w:widowControl/>
        <w:suppressLineNumbers w:val="0"/>
      </w:pPr>
      <w:r>
        <w:t>（2）将同一业务分析任务下的资料、规则、技能、会话、记忆和结果绑定至同一工作台上下文；</w:t>
      </w:r>
    </w:p>
    <w:p w14:paraId="37CFB18C">
      <w:pPr>
        <w:pStyle w:val="13"/>
        <w:keepNext w:val="0"/>
        <w:keepLines w:val="0"/>
        <w:widowControl/>
        <w:suppressLineNumbers w:val="0"/>
      </w:pPr>
      <w:r>
        <w:t>（3）通过工作台上下文整合原本分散在资料系统、数据分析系统、知识库系统和AI分析工具中的业务对象，形成面向业务任务的统一分析空间。</w:t>
      </w:r>
    </w:p>
    <w:p w14:paraId="1EF8591D">
      <w:pPr>
        <w:pStyle w:val="13"/>
        <w:keepNext w:val="0"/>
        <w:keepLines w:val="0"/>
        <w:widowControl/>
        <w:suppressLineNumbers w:val="0"/>
      </w:pPr>
      <w:r>
        <w:t>Step2：构建多来源业务资料统一接入与登记机制</w:t>
      </w:r>
    </w:p>
    <w:p w14:paraId="27BD9541">
      <w:pPr>
        <w:pStyle w:val="13"/>
        <w:keepNext w:val="0"/>
        <w:keepLines w:val="0"/>
        <w:widowControl/>
        <w:suppressLineNumbers w:val="0"/>
      </w:pPr>
      <w:r>
        <w:t>系统将不同来源、不同形态的业务资料统一接入并登记到对应工作台中，为后续检索、引用、比对、分析和溯源提供数据基础。</w:t>
      </w:r>
    </w:p>
    <w:p w14:paraId="67730D4F">
      <w:pPr>
        <w:pStyle w:val="13"/>
        <w:keepNext w:val="0"/>
        <w:keepLines w:val="0"/>
        <w:widowControl/>
        <w:suppressLineNumbers w:val="0"/>
      </w:pPr>
      <w:r>
        <w:t>具体包括：</w:t>
      </w:r>
    </w:p>
    <w:p w14:paraId="2187C3B8">
      <w:pPr>
        <w:pStyle w:val="13"/>
        <w:keepNext w:val="0"/>
        <w:keepLines w:val="0"/>
        <w:widowControl/>
        <w:suppressLineNumbers w:val="0"/>
      </w:pPr>
      <w:r>
        <w:t>（1）接入非结构化资料，包括合同、制度文件、会议纪要、整改材料、业务底稿等文本或影像类资料；</w:t>
      </w:r>
    </w:p>
    <w:p w14:paraId="080F7ED0">
      <w:pPr>
        <w:pStyle w:val="13"/>
        <w:keepNext w:val="0"/>
        <w:keepLines w:val="0"/>
        <w:widowControl/>
        <w:suppressLineNumbers w:val="0"/>
      </w:pPr>
      <w:r>
        <w:t>（2）接入半结构化资料，包括表格、清单、表单等具有一定字段结构但格式不完全统一的资料；</w:t>
      </w:r>
    </w:p>
    <w:p w14:paraId="6969816E">
      <w:pPr>
        <w:pStyle w:val="13"/>
        <w:keepNext w:val="0"/>
        <w:keepLines w:val="0"/>
        <w:widowControl/>
        <w:suppressLineNumbers w:val="0"/>
      </w:pPr>
      <w:r>
        <w:t>（3）接入结构化数据，包括业务系统库表、台账数据、资金流水、项目清单和外部知识库数据等；</w:t>
      </w:r>
    </w:p>
    <w:p w14:paraId="05FD8C59">
      <w:pPr>
        <w:pStyle w:val="13"/>
        <w:keepNext w:val="0"/>
        <w:keepLines w:val="0"/>
        <w:widowControl/>
        <w:suppressLineNumbers w:val="0"/>
      </w:pPr>
      <w:r>
        <w:t>（4）对接入资料进行统一登记，记录其来源、类型、业务归属和工作台关联关系；</w:t>
      </w:r>
    </w:p>
    <w:p w14:paraId="67A5BA2F">
      <w:pPr>
        <w:pStyle w:val="13"/>
        <w:keepNext w:val="0"/>
        <w:keepLines w:val="0"/>
        <w:widowControl/>
        <w:suppressLineNumbers w:val="0"/>
      </w:pPr>
      <w:r>
        <w:t>（5）基于登记信息对资料进行统一管理，使后续分析过程能够按工作台范围调用相应资料。</w:t>
      </w:r>
    </w:p>
    <w:p w14:paraId="1985ADFC">
      <w:pPr>
        <w:pStyle w:val="13"/>
        <w:keepNext w:val="0"/>
        <w:keepLines w:val="0"/>
        <w:widowControl/>
        <w:suppressLineNumbers w:val="0"/>
      </w:pPr>
      <w:r>
        <w:t>Step3：构建面向大模型读取的多形态资料解析机制</w:t>
      </w:r>
    </w:p>
    <w:p w14:paraId="2336D324">
      <w:pPr>
        <w:pStyle w:val="13"/>
        <w:keepNext w:val="0"/>
        <w:keepLines w:val="0"/>
        <w:widowControl/>
        <w:suppressLineNumbers w:val="0"/>
      </w:pPr>
      <w:r>
        <w:t>针对接入的不同形态业务资料，系统分别采用适配的解析方式，将非结构化、半结构化和结构化数据统一转化为大模型可读取、可引用、可分析的数据内容，为后续AI对话分析和技能执行提供数据基础。</w:t>
      </w:r>
    </w:p>
    <w:p w14:paraId="12E91EA7">
      <w:pPr>
        <w:pStyle w:val="13"/>
        <w:keepNext w:val="0"/>
        <w:keepLines w:val="0"/>
        <w:widowControl/>
        <w:suppressLineNumbers w:val="0"/>
      </w:pPr>
      <w:r>
        <w:t>具体包括：</w:t>
      </w:r>
    </w:p>
    <w:p w14:paraId="48831E6D">
      <w:pPr>
        <w:pStyle w:val="13"/>
        <w:keepNext w:val="0"/>
        <w:keepLines w:val="0"/>
        <w:widowControl/>
        <w:suppressLineNumbers w:val="0"/>
      </w:pPr>
      <w:r>
        <w:t>（1）对于非结构化资料，结合OCR识别、视觉模型理解和文本抽取能力，提取扫描件、图片、PDF、Word等资料中的正文内容、版面结构、表格区域、印章签字、图片说明和关键证据片段；</w:t>
      </w:r>
    </w:p>
    <w:p w14:paraId="4E3F6362">
      <w:pPr>
        <w:pStyle w:val="13"/>
        <w:keepNext w:val="0"/>
        <w:keepLines w:val="0"/>
        <w:widowControl/>
        <w:suppressLineNumbers w:val="0"/>
      </w:pPr>
      <w:r>
        <w:t>（2）对于半结构化资料，直接对表格、清单、表单等内容进行数据抽取，识别其中的行列结构、字段含义、业务对象和关键记录；</w:t>
      </w:r>
    </w:p>
    <w:p w14:paraId="200B8B37">
      <w:pPr>
        <w:pStyle w:val="13"/>
        <w:keepNext w:val="0"/>
        <w:keepLines w:val="0"/>
        <w:widowControl/>
        <w:suppressLineNumbers w:val="0"/>
      </w:pPr>
      <w:r>
        <w:t>（3）对于结构化资料，通过数据库对接、接口调用或知识库连接等方式获取库表数据、业务台账、资金流水、项目清单等结构化内容；</w:t>
      </w:r>
    </w:p>
    <w:p w14:paraId="358E0E67">
      <w:pPr>
        <w:pStyle w:val="13"/>
        <w:keepNext w:val="0"/>
        <w:keepLines w:val="0"/>
        <w:widowControl/>
        <w:suppressLineNumbers w:val="0"/>
      </w:pPr>
      <w:r>
        <w:t>（4）对不同形态资料解析后的内容进行统一格式化处理，形成大模型可读取的文本、表格、字段说明、数据片段和证据片段；</w:t>
      </w:r>
    </w:p>
    <w:p w14:paraId="34944BF5">
      <w:pPr>
        <w:pStyle w:val="13"/>
        <w:keepNext w:val="0"/>
        <w:keepLines w:val="0"/>
        <w:widowControl/>
        <w:suppressLineNumbers w:val="0"/>
      </w:pPr>
      <w:r>
        <w:t>（5）建立解析结果与原始资料之间的映射关系，使大模型在后续对话分析、技能执行和结果生成过程中能够调用相应数据，并支持必要的证据回溯。</w:t>
      </w:r>
    </w:p>
    <w:p w14:paraId="54B29D90">
      <w:pPr>
        <w:pStyle w:val="13"/>
        <w:keepNext w:val="0"/>
        <w:keepLines w:val="0"/>
        <w:widowControl/>
        <w:suppressLineNumbers w:val="0"/>
      </w:pPr>
      <w:r>
        <w:t>Step4：构建大模型驱动的分析技能配置与复用机制</w:t>
      </w:r>
    </w:p>
    <w:p w14:paraId="4A92FD71">
      <w:pPr>
        <w:pStyle w:val="13"/>
        <w:keepNext w:val="0"/>
        <w:keepLines w:val="0"/>
        <w:widowControl/>
        <w:suppressLineNumbers w:val="0"/>
      </w:pPr>
      <w:r>
        <w:t>系统建立分析技能对象，用于将业务分析经验转化为可由大模型理解和执行的分析方法。分析技能用于约束大模型的数据读取范围、分析目标、判断逻辑、工具调用方式和输出形式，并支持其在工作台与技能库之间流转和复用。</w:t>
      </w:r>
    </w:p>
    <w:p w14:paraId="0E41A533">
      <w:pPr>
        <w:pStyle w:val="13"/>
        <w:keepNext w:val="0"/>
        <w:keepLines w:val="0"/>
        <w:widowControl/>
        <w:suppressLineNumbers w:val="0"/>
      </w:pPr>
      <w:r>
        <w:t>具体包括：</w:t>
      </w:r>
    </w:p>
    <w:p w14:paraId="65D4E546">
      <w:pPr>
        <w:pStyle w:val="13"/>
        <w:keepNext w:val="0"/>
        <w:keepLines w:val="0"/>
        <w:widowControl/>
        <w:suppressLineNumbers w:val="0"/>
      </w:pPr>
      <w:r>
        <w:t>（1）将业务分析经验抽象为技能对象，描述其适用场景、分析目标和所需资料范围；</w:t>
      </w:r>
    </w:p>
    <w:p w14:paraId="7CEAD9FE">
      <w:pPr>
        <w:pStyle w:val="13"/>
        <w:keepNext w:val="0"/>
        <w:keepLines w:val="0"/>
        <w:widowControl/>
        <w:suppressLineNumbers w:val="0"/>
      </w:pPr>
      <w:r>
        <w:t>（2）在技能中配置大模型执行业务分析所需的资料读取规则、信息抽取要求、核对要求和输出要求；</w:t>
      </w:r>
    </w:p>
    <w:p w14:paraId="44BCE511">
      <w:pPr>
        <w:pStyle w:val="13"/>
        <w:keepNext w:val="0"/>
        <w:keepLines w:val="0"/>
        <w:widowControl/>
        <w:suppressLineNumbers w:val="0"/>
      </w:pPr>
      <w:r>
        <w:t>（3）在技能中配置疑点判断逻辑、比对规则、异常识别规则或大模型推理提示规则；</w:t>
      </w:r>
    </w:p>
    <w:p w14:paraId="59630C2F">
      <w:pPr>
        <w:pStyle w:val="13"/>
        <w:keepNext w:val="0"/>
        <w:keepLines w:val="0"/>
        <w:widowControl/>
        <w:suppressLineNumbers w:val="0"/>
      </w:pPr>
      <w:r>
        <w:t>（4）将技能分为当前工作台内使用的技能和可跨工作台复用的技能库条目，使大模型分析能力能够在不同业务任务之间迁移；</w:t>
      </w:r>
    </w:p>
    <w:p w14:paraId="2FF250DE">
      <w:pPr>
        <w:pStyle w:val="13"/>
        <w:keepNext w:val="0"/>
        <w:keepLines w:val="0"/>
        <w:widowControl/>
        <w:suppressLineNumbers w:val="0"/>
      </w:pPr>
      <w:r>
        <w:t>（5）支持将技能库中的技能引用至工作台，也支持将AI对话分析或技能执行过程中形成的分析方法沉淀回技能库。</w:t>
      </w:r>
    </w:p>
    <w:p w14:paraId="603DF80E">
      <w:pPr>
        <w:pStyle w:val="13"/>
        <w:keepNext w:val="0"/>
        <w:keepLines w:val="0"/>
        <w:widowControl/>
        <w:suppressLineNumbers w:val="0"/>
      </w:pPr>
      <w:r>
        <w:t>Step5：构建大模型驱动的技能执行与AI对话分析协同机制</w:t>
      </w:r>
    </w:p>
    <w:p w14:paraId="450BD3AF">
      <w:pPr>
        <w:pStyle w:val="13"/>
        <w:keepNext w:val="0"/>
        <w:keepLines w:val="0"/>
        <w:widowControl/>
        <w:suppressLineNumbers w:val="0"/>
      </w:pPr>
      <w:r>
        <w:t>系统在同一工作台上下文中构建两类相互协同的大模型分析路径：一类为基于分析技能的执行分析路径，另一类为基于自然语言交互的AI对话分析路径。两类路径均以大模型为核心推理能力，共享同一资料、技能、记忆、结果和证据上下文。</w:t>
      </w:r>
    </w:p>
    <w:p w14:paraId="61151675">
      <w:pPr>
        <w:pStyle w:val="13"/>
        <w:keepNext w:val="0"/>
        <w:keepLines w:val="0"/>
        <w:widowControl/>
        <w:suppressLineNumbers w:val="0"/>
      </w:pPr>
      <w:r>
        <w:t>具体包括：</w:t>
      </w:r>
    </w:p>
    <w:p w14:paraId="49AD275D">
      <w:pPr>
        <w:pStyle w:val="13"/>
        <w:keepNext w:val="0"/>
        <w:keepLines w:val="0"/>
        <w:widowControl/>
        <w:suppressLineNumbers w:val="0"/>
      </w:pPr>
      <w:r>
        <w:t>（1）在技能执行分析路径中，系统根据已配置的分析技能调用大模型读取资料、执行规则、调用工具并形成分析结果；</w:t>
      </w:r>
    </w:p>
    <w:p w14:paraId="69BB587B">
      <w:pPr>
        <w:pStyle w:val="13"/>
        <w:keepNext w:val="0"/>
        <w:keepLines w:val="0"/>
        <w:widowControl/>
        <w:suppressLineNumbers w:val="0"/>
      </w:pPr>
      <w:r>
        <w:t>（2）在AI对话分析路径中，业务人员通过自然语言直接指定分析问题、引用资料或引用已有结果，由大模型完成理解、推理和回答；</w:t>
      </w:r>
    </w:p>
    <w:p w14:paraId="1CB02F7F">
      <w:pPr>
        <w:pStyle w:val="13"/>
        <w:keepNext w:val="0"/>
        <w:keepLines w:val="0"/>
        <w:widowControl/>
        <w:suppressLineNumbers w:val="0"/>
      </w:pPr>
      <w:r>
        <w:t>（3）技能执行分析路径产生的结果可继续进入AI对话分析路径，用于追问、解释、核验和补充分析；</w:t>
      </w:r>
    </w:p>
    <w:p w14:paraId="6AEAD5F3">
      <w:pPr>
        <w:pStyle w:val="13"/>
        <w:keepNext w:val="0"/>
        <w:keepLines w:val="0"/>
        <w:widowControl/>
        <w:suppressLineNumbers w:val="0"/>
      </w:pPr>
      <w:r>
        <w:t>（4）AI对话分析路径中形成的有效分析思路、判断逻辑或分析过程可沉淀为分析技能，用于后续技能执行分析路径复用；</w:t>
      </w:r>
    </w:p>
    <w:p w14:paraId="0F0A157F">
      <w:pPr>
        <w:pStyle w:val="13"/>
        <w:keepNext w:val="0"/>
        <w:keepLines w:val="0"/>
        <w:widowControl/>
        <w:suppressLineNumbers w:val="0"/>
      </w:pPr>
      <w:r>
        <w:t>（5）两类路径共享同一工作台上下文，形成“对话分析生成技能、技能执行生成结果、结果再进入对话分析”的循环增强机制。</w:t>
      </w:r>
    </w:p>
    <w:p w14:paraId="6DF25FFB">
      <w:pPr>
        <w:pStyle w:val="13"/>
        <w:keepNext w:val="0"/>
        <w:keepLines w:val="0"/>
        <w:widowControl/>
        <w:suppressLineNumbers w:val="0"/>
      </w:pPr>
      <w:r>
        <w:t>Step6：构建多来源上下文、运行记忆与技能调用机制</w:t>
      </w:r>
    </w:p>
    <w:p w14:paraId="030B20B8">
      <w:pPr>
        <w:pStyle w:val="13"/>
        <w:keepNext w:val="0"/>
        <w:keepLines w:val="0"/>
        <w:widowControl/>
        <w:suppressLineNumbers w:val="0"/>
      </w:pPr>
      <w:r>
        <w:t>在AI对话分析或技能执行过程中，系统支持将当前工作台内的资料、结构化数据、已有分析结果、运行记忆和分析技能组合为统一分析上下文，并由大模型按上下文动态调用相应技能和工具进行综合分析。</w:t>
      </w:r>
    </w:p>
    <w:p w14:paraId="0B899D2A">
      <w:pPr>
        <w:pStyle w:val="13"/>
        <w:keepNext w:val="0"/>
        <w:keepLines w:val="0"/>
        <w:widowControl/>
        <w:suppressLineNumbers w:val="0"/>
      </w:pPr>
      <w:r>
        <w:t>具体包括：</w:t>
      </w:r>
    </w:p>
    <w:p w14:paraId="3EBCEBE7">
      <w:pPr>
        <w:pStyle w:val="13"/>
        <w:keepNext w:val="0"/>
        <w:keepLines w:val="0"/>
        <w:widowControl/>
        <w:suppressLineNumbers w:val="0"/>
      </w:pPr>
      <w:r>
        <w:t>（1）根据用户问题、技能配置、历史记忆或系统推荐确定参与本轮分析的资料、数据、结果和技能；</w:t>
      </w:r>
    </w:p>
    <w:p w14:paraId="79F2F45B">
      <w:pPr>
        <w:pStyle w:val="13"/>
        <w:keepNext w:val="0"/>
        <w:keepLines w:val="0"/>
        <w:widowControl/>
        <w:suppressLineNumbers w:val="0"/>
      </w:pPr>
      <w:r>
        <w:t>（2）根据用户问题自动组织非结构化片段、结构化查询结果、历史分析结果、工作台记忆和技能规则；</w:t>
      </w:r>
    </w:p>
    <w:p w14:paraId="45726740">
      <w:pPr>
        <w:pStyle w:val="13"/>
        <w:keepNext w:val="0"/>
        <w:keepLines w:val="0"/>
        <w:widowControl/>
        <w:suppressLineNumbers w:val="0"/>
      </w:pPr>
      <w:r>
        <w:t>（3）将上述内容封装为适合大模型处理的综合业务分析上下文；</w:t>
      </w:r>
    </w:p>
    <w:p w14:paraId="26911256">
      <w:pPr>
        <w:pStyle w:val="13"/>
        <w:keepNext w:val="0"/>
        <w:keepLines w:val="0"/>
        <w:widowControl/>
        <w:suppressLineNumbers w:val="0"/>
      </w:pPr>
      <w:r>
        <w:t>（4）由大模型根据上下文选择或调用相应分析技能、数据查询工具、文档检索工具或规则工具，执行资料理解、事实抽取、规则比对、异常解释、证据归纳和结论生成；</w:t>
      </w:r>
    </w:p>
    <w:p w14:paraId="5C0E6F75">
      <w:pPr>
        <w:pStyle w:val="13"/>
        <w:keepNext w:val="0"/>
        <w:keepLines w:val="0"/>
        <w:widowControl/>
        <w:suppressLineNumbers w:val="0"/>
      </w:pPr>
      <w:r>
        <w:t>（5）在分析过程中更新任务记忆并保留必要的推理依据和证据关系，使业务人员能够理解结论来源并进行人工复核。</w:t>
      </w:r>
    </w:p>
    <w:p w14:paraId="36792CD9">
      <w:pPr>
        <w:pStyle w:val="13"/>
        <w:keepNext w:val="0"/>
        <w:keepLines w:val="0"/>
        <w:widowControl/>
        <w:suppressLineNumbers w:val="0"/>
      </w:pPr>
      <w:r>
        <w:t>Step7：构建分析结果沉淀与证据追溯机制</w:t>
      </w:r>
    </w:p>
    <w:p w14:paraId="6A32E4C3">
      <w:pPr>
        <w:pStyle w:val="13"/>
        <w:keepNext w:val="0"/>
        <w:keepLines w:val="0"/>
        <w:widowControl/>
        <w:suppressLineNumbers w:val="0"/>
      </w:pPr>
      <w:r>
        <w:t>系统将技能执行分析或AI对话分析产生的结论沉淀为工作台分析结果，并建立结果与证据资料之间的追溯关系。</w:t>
      </w:r>
    </w:p>
    <w:p w14:paraId="7A1C2E1E">
      <w:pPr>
        <w:pStyle w:val="13"/>
        <w:keepNext w:val="0"/>
        <w:keepLines w:val="0"/>
        <w:widowControl/>
        <w:suppressLineNumbers w:val="0"/>
      </w:pPr>
      <w:r>
        <w:t>具体包括：</w:t>
      </w:r>
    </w:p>
    <w:p w14:paraId="20EB3308">
      <w:pPr>
        <w:pStyle w:val="13"/>
        <w:keepNext w:val="0"/>
        <w:keepLines w:val="0"/>
        <w:widowControl/>
        <w:suppressLineNumbers w:val="0"/>
      </w:pPr>
      <w:r>
        <w:t>（1）将技能执行结果、AI对话分析结论或人工确认后的内容保存为工作台分析结果；</w:t>
      </w:r>
    </w:p>
    <w:p w14:paraId="01552881">
      <w:pPr>
        <w:pStyle w:val="13"/>
        <w:keepNext w:val="0"/>
        <w:keepLines w:val="0"/>
        <w:widowControl/>
        <w:suppressLineNumbers w:val="0"/>
      </w:pPr>
      <w:r>
        <w:t>（2）记录分析结果与来源资料、分析技能、分析过程之间的关联关系；</w:t>
      </w:r>
    </w:p>
    <w:p w14:paraId="520F5EFF">
      <w:pPr>
        <w:pStyle w:val="13"/>
        <w:keepNext w:val="0"/>
        <w:keepLines w:val="0"/>
        <w:widowControl/>
        <w:suppressLineNumbers w:val="0"/>
      </w:pPr>
      <w:r>
        <w:t>（3）对结果中的证据引用建立与原始资料片段或结构化数据记录之间的映射关系；</w:t>
      </w:r>
    </w:p>
    <w:p w14:paraId="3AB901D9">
      <w:pPr>
        <w:pStyle w:val="13"/>
        <w:keepNext w:val="0"/>
        <w:keepLines w:val="0"/>
        <w:widowControl/>
        <w:suppressLineNumbers w:val="0"/>
      </w:pPr>
      <w:r>
        <w:t>（4）支持业务人员从分析结果回溯至对应的原始资料片段、表格记录、业务数据或知识库内容；</w:t>
      </w:r>
    </w:p>
    <w:p w14:paraId="1EBECA2A">
      <w:pPr>
        <w:pStyle w:val="13"/>
        <w:keepNext w:val="0"/>
        <w:keepLines w:val="0"/>
        <w:widowControl/>
        <w:suppressLineNumbers w:val="0"/>
      </w:pPr>
      <w:r>
        <w:t>（5）支持对沉淀后的分析结果进行复核、修订、共享和归档。</w:t>
      </w:r>
    </w:p>
    <w:p w14:paraId="3BA20A38">
      <w:pPr>
        <w:pStyle w:val="13"/>
        <w:keepNext w:val="0"/>
        <w:keepLines w:val="0"/>
        <w:widowControl/>
        <w:suppressLineNumbers w:val="0"/>
      </w:pPr>
      <w:r>
        <w:t>Step8：构建AI对话分析结论向技能资产转化机制</w:t>
      </w:r>
    </w:p>
    <w:p w14:paraId="3797D5D4">
      <w:pPr>
        <w:pStyle w:val="13"/>
        <w:keepNext w:val="0"/>
        <w:keepLines w:val="0"/>
        <w:widowControl/>
        <w:suppressLineNumbers w:val="0"/>
      </w:pPr>
      <w:r>
        <w:t>对于AI对话分析过程中形成的高价值回答、分析步骤或判断逻辑，系统支持将其总结为新的分析技能，使一次性对话经验转化为可重复执行的大模型业务分析能力。</w:t>
      </w:r>
    </w:p>
    <w:p w14:paraId="356CEC31">
      <w:pPr>
        <w:pStyle w:val="13"/>
        <w:keepNext w:val="0"/>
        <w:keepLines w:val="0"/>
        <w:widowControl/>
        <w:suppressLineNumbers w:val="0"/>
      </w:pPr>
      <w:r>
        <w:t>具体包括：</w:t>
      </w:r>
    </w:p>
    <w:p w14:paraId="6E897921">
      <w:pPr>
        <w:pStyle w:val="13"/>
        <w:keepNext w:val="0"/>
        <w:keepLines w:val="0"/>
        <w:widowControl/>
        <w:suppressLineNumbers w:val="0"/>
      </w:pPr>
      <w:r>
        <w:t>（1）从AI对话分析过程或分析结论中识别可复用的分析对象、关注范围、判断逻辑和输出要求；</w:t>
      </w:r>
    </w:p>
    <w:p w14:paraId="4DA30AB4">
      <w:pPr>
        <w:pStyle w:val="13"/>
        <w:keepNext w:val="0"/>
        <w:keepLines w:val="0"/>
        <w:widowControl/>
        <w:suppressLineNumbers w:val="0"/>
      </w:pPr>
      <w:r>
        <w:t>（2）根据识别内容生成分析技能草案；</w:t>
      </w:r>
    </w:p>
    <w:p w14:paraId="4BCF3266">
      <w:pPr>
        <w:pStyle w:val="13"/>
        <w:keepNext w:val="0"/>
        <w:keepLines w:val="0"/>
        <w:widowControl/>
        <w:suppressLineNumbers w:val="0"/>
      </w:pPr>
      <w:r>
        <w:t>（3）将技能草案保存为当前工作台可用的分析技能；</w:t>
      </w:r>
    </w:p>
    <w:p w14:paraId="2B059F0F">
      <w:pPr>
        <w:pStyle w:val="13"/>
        <w:keepNext w:val="0"/>
        <w:keepLines w:val="0"/>
        <w:widowControl/>
        <w:suppressLineNumbers w:val="0"/>
      </w:pPr>
      <w:r>
        <w:t>（4）将经业务人员确认的技能沉淀至技能库，用于后续同类业务项目复用；</w:t>
      </w:r>
    </w:p>
    <w:p w14:paraId="3E4CC55C">
      <w:pPr>
        <w:pStyle w:val="13"/>
        <w:keepNext w:val="0"/>
        <w:keepLines w:val="0"/>
        <w:widowControl/>
        <w:suppressLineNumbers w:val="0"/>
      </w:pPr>
      <w:r>
        <w:t>（5）保留技能与其来源分析过程之间的关联关系，便于后续追溯和优化。</w:t>
      </w:r>
    </w:p>
    <w:p w14:paraId="43B85FC7">
      <w:pPr>
        <w:pStyle w:val="13"/>
        <w:keepNext w:val="0"/>
        <w:keepLines w:val="0"/>
        <w:widowControl/>
        <w:suppressLineNumbers w:val="0"/>
      </w:pPr>
      <w:r>
        <w:t>Step9：构建大模型执行沙箱与分析过程治理机制</w:t>
      </w:r>
    </w:p>
    <w:p w14:paraId="26371E19">
      <w:pPr>
        <w:pStyle w:val="13"/>
        <w:keepNext w:val="0"/>
        <w:keepLines w:val="0"/>
        <w:widowControl/>
        <w:suppressLineNumbers w:val="0"/>
      </w:pPr>
      <w:r>
        <w:t>系统对资料解析、技能执行、AI对话生成、工具调用、结果保存和技能沉淀等过程进行统一管理，并通过执行沙箱对大模型运行过程进行约束和治理。</w:t>
      </w:r>
    </w:p>
    <w:p w14:paraId="48884346">
      <w:pPr>
        <w:pStyle w:val="13"/>
        <w:keepNext w:val="0"/>
        <w:keepLines w:val="0"/>
        <w:widowControl/>
        <w:suppressLineNumbers w:val="0"/>
      </w:pPr>
      <w:r>
        <w:t>具体包括：</w:t>
      </w:r>
    </w:p>
    <w:p w14:paraId="0B258FA3">
      <w:pPr>
        <w:pStyle w:val="13"/>
        <w:keepNext w:val="0"/>
        <w:keepLines w:val="0"/>
        <w:widowControl/>
        <w:suppressLineNumbers w:val="0"/>
      </w:pPr>
      <w:r>
        <w:t>（1）记录资料解析、技能执行、AI对话分析和工具调用等任务的执行状态；</w:t>
      </w:r>
    </w:p>
    <w:p w14:paraId="1114CB6A">
      <w:pPr>
        <w:pStyle w:val="13"/>
        <w:keepNext w:val="0"/>
        <w:keepLines w:val="0"/>
        <w:widowControl/>
        <w:suppressLineNumbers w:val="0"/>
      </w:pPr>
      <w:r>
        <w:t>（2）对长耗时任务提供过程反馈，使业务人员了解当前分析进展；</w:t>
      </w:r>
    </w:p>
    <w:p w14:paraId="1A470F40">
      <w:pPr>
        <w:pStyle w:val="13"/>
        <w:keepNext w:val="0"/>
        <w:keepLines w:val="0"/>
        <w:widowControl/>
        <w:suppressLineNumbers w:val="0"/>
      </w:pPr>
      <w:r>
        <w:t>（3）对可中断的智能生成过程提供暂停或终止能力；</w:t>
      </w:r>
    </w:p>
    <w:p w14:paraId="7134E8D8">
      <w:pPr>
        <w:pStyle w:val="13"/>
        <w:keepNext w:val="0"/>
        <w:keepLines w:val="0"/>
        <w:widowControl/>
        <w:suppressLineNumbers w:val="0"/>
      </w:pPr>
      <w:r>
        <w:t>（4）通过执行沙箱限制大模型可访问的数据范围、可调用的工具范围和可执行的外部连接范围；</w:t>
      </w:r>
    </w:p>
    <w:p w14:paraId="3FE8D6B8">
      <w:pPr>
        <w:pStyle w:val="13"/>
        <w:keepNext w:val="0"/>
        <w:keepLines w:val="0"/>
        <w:widowControl/>
        <w:suppressLineNumbers w:val="0"/>
      </w:pPr>
      <w:r>
        <w:t>（5）对历史分析会话、工具调用记录和执行过程进行保存，以便后续恢复、复盘和留痕；</w:t>
      </w:r>
    </w:p>
    <w:p w14:paraId="71739E7C">
      <w:pPr>
        <w:pStyle w:val="13"/>
        <w:keepNext w:val="0"/>
        <w:keepLines w:val="0"/>
        <w:widowControl/>
        <w:suppressLineNumbers w:val="0"/>
      </w:pPr>
      <w:r>
        <w:t>（6）对资料、技能和结果提供统一的管理能力，保证分析过程和分析产出可持续维护。</w:t>
      </w:r>
    </w:p>
    <w:p w14:paraId="1EC4FCD1">
      <w:pPr>
        <w:pStyle w:val="13"/>
        <w:keepNext w:val="0"/>
        <w:keepLines w:val="0"/>
        <w:widowControl/>
        <w:suppressLineNumbers w:val="0"/>
      </w:pPr>
      <w:r>
        <w:t>Step10：构建私有化在线平台与数据安全保障机制</w:t>
      </w:r>
    </w:p>
    <w:p w14:paraId="6323D518">
      <w:pPr>
        <w:pStyle w:val="13"/>
        <w:keepNext w:val="0"/>
        <w:keepLines w:val="0"/>
        <w:widowControl/>
        <w:suppressLineNumbers w:val="0"/>
      </w:pPr>
      <w:r>
        <w:t>系统通过私有化在线平台部署和平台管理能力维护外部数据源、权限范围、模型配置和运行配置，为多来源业务数据智能分析提供安全可控的运行环境。</w:t>
      </w:r>
    </w:p>
    <w:p w14:paraId="22FBA003">
      <w:pPr>
        <w:pStyle w:val="13"/>
        <w:keepNext w:val="0"/>
        <w:keepLines w:val="0"/>
        <w:widowControl/>
        <w:suppressLineNumbers w:val="0"/>
      </w:pPr>
      <w:r>
        <w:t>具体包括：</w:t>
      </w:r>
    </w:p>
    <w:p w14:paraId="162298F0">
      <w:pPr>
        <w:pStyle w:val="13"/>
        <w:keepNext w:val="0"/>
        <w:keepLines w:val="0"/>
        <w:widowControl/>
        <w:suppressLineNumbers w:val="0"/>
      </w:pPr>
      <w:r>
        <w:t>（1）支持在组织私有环境或专属网络环境中部署平台，降低敏感业务资料外流风险；</w:t>
      </w:r>
    </w:p>
    <w:p w14:paraId="1680F7A6">
      <w:pPr>
        <w:pStyle w:val="13"/>
        <w:keepNext w:val="0"/>
        <w:keepLines w:val="0"/>
        <w:widowControl/>
        <w:suppressLineNumbers w:val="0"/>
      </w:pPr>
      <w:r>
        <w:t>（2）维护数据库、知识库、文件存储或其他外部数据源的接入配置，并对其可用性进行校验；</w:t>
      </w:r>
    </w:p>
    <w:p w14:paraId="4A55E42F">
      <w:pPr>
        <w:pStyle w:val="13"/>
        <w:keepNext w:val="0"/>
        <w:keepLines w:val="0"/>
        <w:widowControl/>
        <w:suppressLineNumbers w:val="0"/>
      </w:pPr>
      <w:r>
        <w:t>（3）将外部数据源与工作台资料登记、技能执行、AI对话分析和模型调用能力相衔接；</w:t>
      </w:r>
    </w:p>
    <w:p w14:paraId="7358D461">
      <w:pPr>
        <w:pStyle w:val="13"/>
        <w:keepNext w:val="0"/>
        <w:keepLines w:val="0"/>
        <w:widowControl/>
        <w:suppressLineNumbers w:val="0"/>
      </w:pPr>
      <w:r>
        <w:t>（4）通过组织、租户、角色、工作空间或工作台等维度进行权限隔离，管理用户可访问的资料、技能、结果和模型能力；</w:t>
      </w:r>
    </w:p>
    <w:p w14:paraId="625C427B">
      <w:pPr>
        <w:pStyle w:val="13"/>
        <w:keepNext w:val="0"/>
        <w:keepLines w:val="0"/>
        <w:widowControl/>
        <w:suppressLineNumbers w:val="0"/>
      </w:pPr>
      <w:r>
        <w:t>（5）通过数据源管理、权限控制、执行沙箱、操作留痕和模型调用治理保证业务协作过程中的数据边界和访问安全。</w:t>
      </w:r>
    </w:p>
    <w:p w14:paraId="1FEA4FFB">
      <w:pPr>
        <w:pStyle w:val="3"/>
        <w:numPr>
          <w:ilvl w:val="0"/>
          <w:numId w:val="4"/>
        </w:numPr>
      </w:pPr>
      <w:r>
        <w:t>本发明技术方案带来的有益效果（专利价值）</w:t>
      </w:r>
    </w:p>
    <w:p w14:paraId="66397107">
      <w:pPr>
        <w:pStyle w:val="13"/>
        <w:keepNext w:val="0"/>
        <w:keepLines w:val="0"/>
        <w:widowControl/>
        <w:suppressLineNumbers w:val="0"/>
      </w:pPr>
      <w:r>
        <w:t>（1）统一分析空间：通过工作台化机制，将结构化数据、半结构化数据、非结构化资料、分析技能、AI对话过程和分析结果统一组织在同一业务任务空间内，减少跨系统切换和人工整理成本</w:t>
      </w:r>
    </w:p>
    <w:p w14:paraId="71420987">
      <w:pPr>
        <w:pStyle w:val="13"/>
        <w:keepNext w:val="0"/>
        <w:keepLines w:val="0"/>
        <w:widowControl/>
        <w:suppressLineNumbers w:val="0"/>
      </w:pPr>
      <w:r>
        <w:t>（2）多来源综合分析：通过大模型语义理解、资料解析和上下文引用机制，实现对数据库、知识库、文档资料和既有结果的统一调用与综合研判</w:t>
      </w:r>
    </w:p>
    <w:p w14:paraId="79670E7F">
      <w:pPr>
        <w:pStyle w:val="13"/>
        <w:keepNext w:val="0"/>
        <w:keepLines w:val="0"/>
        <w:widowControl/>
        <w:suppressLineNumbers w:val="0"/>
      </w:pPr>
      <w:r>
        <w:t>（3）分析方法复用：通过技能库和工作台技能双层结构，将业务人员形成的分析规则和经验沉淀为可复用资产，降低同类项目中的重复配置成本</w:t>
      </w:r>
    </w:p>
    <w:p w14:paraId="4468EE47">
      <w:pPr>
        <w:pStyle w:val="13"/>
        <w:keepNext w:val="0"/>
        <w:keepLines w:val="0"/>
        <w:widowControl/>
        <w:suppressLineNumbers w:val="0"/>
      </w:pPr>
      <w:r>
        <w:t>（4）人机协同增强：通过大模型驱动的技能执行分析与AI对话分析联动，既支持标准化技能批量执行，也支持业务人员基于具体问题进行交互式追问和人工研判</w:t>
      </w:r>
    </w:p>
    <w:p w14:paraId="4C445FE7">
      <w:pPr>
        <w:pStyle w:val="13"/>
        <w:keepNext w:val="0"/>
        <w:keepLines w:val="0"/>
        <w:widowControl/>
        <w:suppressLineNumbers w:val="0"/>
      </w:pPr>
      <w:r>
        <w:t>（5）结果证据闭环：通过结果沉淀和证据追溯机制，将智能分析结论与原始资料、结构化数据和分析技能建立关联，提高分析结论的可解释性和可复核性</w:t>
      </w:r>
    </w:p>
    <w:p w14:paraId="0B538CEE">
      <w:pPr>
        <w:pStyle w:val="13"/>
        <w:keepNext w:val="0"/>
        <w:keepLines w:val="0"/>
        <w:widowControl/>
        <w:suppressLineNumbers w:val="0"/>
      </w:pPr>
      <w:r>
        <w:t>（6）数据安全可控：通过私有化在线平台、权限隔离、执行沙箱和模型调用治理，使敏感业务数据在受控环境内完成智能分析，降低数据外流和越权访问风险</w:t>
      </w:r>
    </w:p>
    <w:p w14:paraId="2B66B6A9">
      <w:pPr>
        <w:pStyle w:val="13"/>
        <w:keepNext w:val="0"/>
        <w:keepLines w:val="0"/>
        <w:widowControl/>
        <w:suppressLineNumbers w:val="0"/>
      </w:pPr>
      <w:r>
        <w:t>（7）持续沉淀优化：通过将AI对话分析结论总结为技能，使单次分析中的有效经验转化为后续可复用能力，形成业务知识与分析方法的持续积累</w:t>
      </w:r>
    </w:p>
    <w:p w14:paraId="76784DA6"/>
    <w:p w14:paraId="21DF35AE">
      <w:pPr>
        <w:pStyle w:val="2"/>
        <w:numPr>
          <w:ilvl w:val="0"/>
          <w:numId w:val="3"/>
        </w:numPr>
        <w:rPr>
          <w:rFonts w:eastAsia="微软雅黑"/>
          <w:sz w:val="32"/>
          <w:szCs w:val="32"/>
        </w:rPr>
      </w:pPr>
      <w:r>
        <w:rPr>
          <w:rFonts w:eastAsia="微软雅黑"/>
          <w:sz w:val="32"/>
          <w:szCs w:val="32"/>
        </w:rPr>
        <w:t>是否还有别的替代方案完成发明的目的</w:t>
      </w:r>
    </w:p>
    <w:p w14:paraId="10A2B2D2">
      <w:pPr>
        <w:spacing w:line="360" w:lineRule="auto"/>
      </w:pPr>
      <w:r>
        <w:rPr>
          <w:sz w:val="21"/>
          <w:szCs w:val="21"/>
        </w:rPr>
        <w:t>（1）基于图数据库内置存储过程的下钻方案：在图数据库层面开发存储过程，直接在图数据库内部实现与明细数据的关联查询。但该方案受限于图数据库本身的功能扩展能力，无法支持复杂异构数据源的灵活关联</w:t>
      </w:r>
    </w:p>
    <w:p w14:paraId="155D88FF">
      <w:pPr>
        <w:spacing w:line="360" w:lineRule="auto"/>
      </w:pPr>
      <w:r>
        <w:rPr>
          <w:sz w:val="21"/>
          <w:szCs w:val="21"/>
        </w:rPr>
        <w:t>（2）基于数据中台的统一查询网关方案：在数据中台层构建统一的查询网关，屏蔽底层数据源差异。但该方案需要在数据中台进行大量定制开发，部署成本较高，且无法实现图谱语义层面的智能下钻</w:t>
      </w:r>
      <w:bookmarkStart w:id="0" w:name="_GoBack"/>
      <w:bookmarkEnd w:id="0"/>
    </w:p>
    <w:p w14:paraId="5F29EFA2">
      <w:pPr>
        <w:pStyle w:val="2"/>
        <w:numPr>
          <w:ilvl w:val="0"/>
          <w:numId w:val="3"/>
        </w:numPr>
        <w:rPr>
          <w:rFonts w:eastAsia="微软雅黑"/>
          <w:sz w:val="32"/>
          <w:szCs w:val="32"/>
        </w:rPr>
      </w:pPr>
      <w:r>
        <w:rPr>
          <w:rFonts w:eastAsia="微软雅黑"/>
          <w:sz w:val="32"/>
          <w:szCs w:val="32"/>
        </w:rPr>
        <w:t>本发明的技术关键点和保护点是什么</w:t>
      </w:r>
    </w:p>
    <w:p w14:paraId="7761EAB6">
      <w:pPr>
        <w:bidi w:val="0"/>
      </w:pPr>
      <w:r>
        <w:t>（1）以工作台为核心的多来源业务资料统一组织机制：将结构化数据、半结构化数据、非结构化资料、技能、记忆、会话和结果绑定在同一业务任务上下文中</w:t>
      </w:r>
    </w:p>
    <w:p w14:paraId="5838553E">
      <w:pPr>
        <w:bidi w:val="0"/>
      </w:pPr>
      <w:r>
        <w:t>（2）基于大模型的多来源上下文综合分析机制：将文档片段、结构化数据、历史结果、运行记忆和分析技能规则组合为统一分析上下文</w:t>
      </w:r>
    </w:p>
    <w:p w14:paraId="49BBD857">
      <w:pPr>
        <w:bidi w:val="0"/>
      </w:pPr>
      <w:r>
        <w:t>（3）大模型驱动的技能执行分析与AI对话分析共享上下文的联动机制：在标准化技能执行和自然语言对话分析之间保持同一工作台资料、技能、记忆和结果集合</w:t>
      </w:r>
    </w:p>
    <w:p w14:paraId="67168161">
      <w:pPr>
        <w:bidi w:val="0"/>
      </w:pPr>
      <w:r>
        <w:t>（4）分析技能双层复用机制：支持工作台技能与技能库条目之间的引用、复制、沉淀和跨项目复用</w:t>
      </w:r>
    </w:p>
    <w:p w14:paraId="161D92BC">
      <w:pPr>
        <w:bidi w:val="0"/>
      </w:pPr>
      <w:r>
        <w:t>（5）大模型执行沙箱机制：对大模型可访问的数据范围、可调用的工具范围和可执行的外部连接范围进行约束，实现受控智能分析</w:t>
      </w:r>
    </w:p>
    <w:p w14:paraId="25D7FF44">
      <w:pPr>
        <w:bidi w:val="0"/>
      </w:pPr>
      <w:r>
        <w:t>（6）私有化部署与权限隔离机制：通过组织、租户、角色、工作空间或工作台等维度控制业务资料、分析技能、模型能力和分析结果的访问边界</w:t>
      </w:r>
    </w:p>
    <w:p w14:paraId="2DCB0133">
      <w:pPr>
        <w:bidi w:val="0"/>
      </w:pPr>
      <w:r>
        <w:t>（7）分析结果与证据资料的映射追溯机制：将结果正文中的证据标识与原始资料片段、结构化数据或业务记录建立可回溯关联</w:t>
      </w:r>
    </w:p>
    <w:p w14:paraId="27B81292">
      <w:pPr>
        <w:bidi w:val="0"/>
      </w:pPr>
      <w:r>
        <w:t>（8）AI对话分析结论向技能资产转化机制：从对话生成内容中抽取分析对象、规则和输出要求，形成可复用分析技能</w:t>
      </w:r>
    </w:p>
    <w:p w14:paraId="6E2D5D38">
      <w:pPr>
        <w:pStyle w:val="2"/>
        <w:numPr>
          <w:ilvl w:val="0"/>
          <w:numId w:val="3"/>
        </w:numPr>
        <w:rPr>
          <w:rFonts w:eastAsia="微软雅黑"/>
          <w:sz w:val="32"/>
          <w:szCs w:val="32"/>
        </w:rPr>
      </w:pPr>
      <w:r>
        <w:rPr>
          <w:rFonts w:eastAsia="微软雅黑"/>
          <w:sz w:val="32"/>
          <w:szCs w:val="32"/>
        </w:rPr>
        <w:t>附件</w:t>
      </w:r>
    </w:p>
    <w:p w14:paraId="5A8FAB6C"/>
    <w:p w14:paraId="4E08D617"/>
    <w:p w14:paraId="4FB06FF4"/>
    <w:p w14:paraId="0D4AA634">
      <w:pPr>
        <w:pStyle w:val="2"/>
        <w:numPr>
          <w:ilvl w:val="0"/>
          <w:numId w:val="3"/>
        </w:numPr>
      </w:pPr>
      <w:r>
        <w:rPr>
          <w:rFonts w:eastAsia="微软雅黑"/>
          <w:sz w:val="32"/>
          <w:szCs w:val="32"/>
        </w:rPr>
        <w:t>参考资料（如专利、论文、标准）</w:t>
      </w:r>
    </w:p>
    <w:p w14:paraId="269FC063">
      <w:pPr>
        <w:spacing w:line="360" w:lineRule="auto"/>
        <w:rPr>
          <w:rFonts w:hint="eastAsia" w:eastAsiaTheme="minorEastAsia"/>
          <w:lang w:val="en-US" w:eastAsia="zh-CN"/>
        </w:rPr>
      </w:pPr>
      <w:r>
        <w:rPr>
          <w:rFonts w:hint="eastAsia"/>
          <w:lang w:val="en-US" w:eastAsia="zh-CN"/>
        </w:rPr>
        <w:t>无</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TFangsong">
    <w:panose1 w:val="02010600040101010101"/>
    <w:charset w:val="86"/>
    <w:family w:val="auto"/>
    <w:pitch w:val="default"/>
    <w:sig w:usb0="00000287" w:usb1="080F0000" w:usb2="00000000" w:usb3="00000000" w:csb0="0004009F" w:csb1="DFD70000"/>
  </w:font>
  <w:font w:name="Cambria">
    <w:altName w:val="苹方-简"/>
    <w:panose1 w:val="02040503050406030204"/>
    <w:charset w:val="00"/>
    <w:family w:val="roman"/>
    <w:pitch w:val="default"/>
    <w:sig w:usb0="00000000" w:usb1="00000000" w:usb2="02000000" w:usb3="00000000" w:csb0="0000019F" w:csb1="00000000"/>
  </w:font>
  <w:font w:name="苹方-简">
    <w:altName w:val="冬青黑体简体中文"/>
    <w:panose1 w:val="020B0400000000000000"/>
    <w:charset w:val="86"/>
    <w:family w:val="auto"/>
    <w:pitch w:val="default"/>
    <w:sig w:usb0="00000000" w:usb1="00000000" w:usb2="00000017" w:usb3="00000000" w:csb0="00040001" w:csb1="00000000"/>
  </w:font>
  <w:font w:name="Heiti SC Light">
    <w:panose1 w:val="02000000000000000000"/>
    <w:charset w:val="86"/>
    <w:family w:val="roman"/>
    <w:pitch w:val="default"/>
    <w:sig w:usb0="8000002F" w:usb1="0800004A" w:usb2="00000000" w:usb3="00000000" w:csb0="203E0000" w:csb1="00000000"/>
  </w:font>
  <w:font w:name="Liberation Sans">
    <w:altName w:val="Thonburi"/>
    <w:panose1 w:val="00000000000000000000"/>
    <w:charset w:val="01"/>
    <w:family w:val="swiss"/>
    <w:pitch w:val="default"/>
    <w:sig w:usb0="00000000" w:usb1="00000000" w:usb2="00000000" w:usb3="00000000" w:csb0="6000009F" w:csb1="DFD70000"/>
  </w:font>
  <w:font w:name="Thonburi">
    <w:panose1 w:val="00000400000000000000"/>
    <w:charset w:val="00"/>
    <w:family w:val="auto"/>
    <w:pitch w:val="default"/>
    <w:sig w:usb0="01000000" w:usb1="00000000" w:usb2="00000000" w:usb3="00000000" w:csb0="20000193" w:csb1="4D000000"/>
  </w:font>
  <w:font w:name="Noto Sans CJK SC">
    <w:altName w:val="宋体-简"/>
    <w:panose1 w:val="00000000000000000000"/>
    <w:charset w:val="86"/>
    <w:family w:val="auto"/>
    <w:pitch w:val="default"/>
    <w:sig w:usb0="00000000" w:usb1="00000000" w:usb2="00000016" w:usb3="00000000" w:csb0="602E0107"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华文仿宋">
    <w:panose1 w:val="02010600040101010101"/>
    <w:charset w:val="86"/>
    <w:family w:val="auto"/>
    <w:pitch w:val="default"/>
    <w:sig w:usb0="00000287" w:usb1="080F0000" w:usb2="00000000" w:usb3="00000000" w:csb0="0004009F" w:csb1="DFD70000"/>
  </w:font>
  <w:font w:name="Menlo Bold">
    <w:panose1 w:val="020B0609030804020204"/>
    <w:charset w:val="01"/>
    <w:family w:val="roman"/>
    <w:pitch w:val="default"/>
    <w:sig w:usb0="E60022FF" w:usb1="D200F9FB" w:usb2="02000028" w:usb3="00000000" w:csb0="600001DF" w:csb1="FFDF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FC134"/>
    <w:multiLevelType w:val="multilevel"/>
    <w:tmpl w:val="EBFFC134"/>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EFCEB609"/>
    <w:multiLevelType w:val="multilevel"/>
    <w:tmpl w:val="EFCEB609"/>
    <w:lvl w:ilvl="0" w:tentative="0">
      <w:start w:val="1"/>
      <w:numFmt w:val="chineseCountingThousand"/>
      <w:lvlText w:val="%1、"/>
      <w:lvlJc w:val="left"/>
      <w:pPr>
        <w:ind w:left="480" w:hanging="480"/>
      </w:pPr>
      <w:rPr>
        <w:rFonts w:eastAsia="宋体"/>
        <w:sz w:val="32"/>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FBF79CE7"/>
    <w:multiLevelType w:val="multilevel"/>
    <w:tmpl w:val="FBF79CE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FFF61A43"/>
    <w:multiLevelType w:val="multilevel"/>
    <w:tmpl w:val="FFF61A43"/>
    <w:lvl w:ilvl="0" w:tentative="0">
      <w:start w:val="1"/>
      <w:numFmt w:val="decimal"/>
      <w:lvlText w:val="%1、"/>
      <w:lvlJc w:val="left"/>
      <w:pPr>
        <w:ind w:left="720" w:hanging="72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3BF1D7CA"/>
    <w:multiLevelType w:val="multilevel"/>
    <w:tmpl w:val="3BF1D7CA"/>
    <w:lvl w:ilvl="0" w:tentative="0">
      <w:start w:val="1"/>
      <w:numFmt w:val="decimal"/>
      <w:pStyle w:val="3"/>
      <w:lvlText w:val="%1"/>
      <w:lvlJc w:val="left"/>
      <w:pPr>
        <w:ind w:left="425" w:hanging="425"/>
      </w:pPr>
    </w:lvl>
    <w:lvl w:ilvl="1" w:tentative="0">
      <w:start w:val="1"/>
      <w:numFmt w:val="none"/>
      <w:suff w:val="nothing"/>
      <w:lvlText w:val=""/>
      <w:lvlJc w:val="left"/>
      <w:pPr>
        <w:tabs>
          <w:tab w:val="left" w:pos="576"/>
        </w:tabs>
        <w:ind w:left="576" w:hanging="576"/>
      </w:pPr>
    </w:lvl>
    <w:lvl w:ilvl="2" w:tentative="0">
      <w:start w:val="1"/>
      <w:numFmt w:val="none"/>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EB7"/>
    <w:rsid w:val="000C7FEE"/>
    <w:rsid w:val="00121D08"/>
    <w:rsid w:val="001861CE"/>
    <w:rsid w:val="00240A48"/>
    <w:rsid w:val="00263432"/>
    <w:rsid w:val="002A6D89"/>
    <w:rsid w:val="00330405"/>
    <w:rsid w:val="00393FF1"/>
    <w:rsid w:val="0039443F"/>
    <w:rsid w:val="00447FD7"/>
    <w:rsid w:val="0053195D"/>
    <w:rsid w:val="00535E23"/>
    <w:rsid w:val="00557B81"/>
    <w:rsid w:val="006163B5"/>
    <w:rsid w:val="00681269"/>
    <w:rsid w:val="006A7BE1"/>
    <w:rsid w:val="006D6D7E"/>
    <w:rsid w:val="00716C47"/>
    <w:rsid w:val="0079024F"/>
    <w:rsid w:val="009201F9"/>
    <w:rsid w:val="009B29E6"/>
    <w:rsid w:val="009F4AB1"/>
    <w:rsid w:val="00A4133C"/>
    <w:rsid w:val="00A82899"/>
    <w:rsid w:val="00A95996"/>
    <w:rsid w:val="00B11E3F"/>
    <w:rsid w:val="00B27EB7"/>
    <w:rsid w:val="00B674B6"/>
    <w:rsid w:val="00BB4234"/>
    <w:rsid w:val="00BE744C"/>
    <w:rsid w:val="00BF299C"/>
    <w:rsid w:val="00BF5AB1"/>
    <w:rsid w:val="00C56150"/>
    <w:rsid w:val="00C965FA"/>
    <w:rsid w:val="00D252D1"/>
    <w:rsid w:val="00DC5323"/>
    <w:rsid w:val="00E33D71"/>
    <w:rsid w:val="00ED1C40"/>
    <w:rsid w:val="00EF62B9"/>
    <w:rsid w:val="00F0681E"/>
    <w:rsid w:val="00F30CDA"/>
    <w:rsid w:val="00F54C22"/>
    <w:rsid w:val="00F63A45"/>
    <w:rsid w:val="00FA207A"/>
    <w:rsid w:val="0BDF48AD"/>
    <w:rsid w:val="1F37CD53"/>
    <w:rsid w:val="23030018"/>
    <w:rsid w:val="36FA5D7B"/>
    <w:rsid w:val="3AED33EC"/>
    <w:rsid w:val="3D7B15B7"/>
    <w:rsid w:val="3EE40E24"/>
    <w:rsid w:val="3FA7D13E"/>
    <w:rsid w:val="3FE7B01C"/>
    <w:rsid w:val="4797221D"/>
    <w:rsid w:val="49FF3F57"/>
    <w:rsid w:val="57EABAAB"/>
    <w:rsid w:val="5AD94F15"/>
    <w:rsid w:val="5EFE3D16"/>
    <w:rsid w:val="5FAD1AA3"/>
    <w:rsid w:val="666F8491"/>
    <w:rsid w:val="675C0FF7"/>
    <w:rsid w:val="67AF1CE9"/>
    <w:rsid w:val="67BF2B0D"/>
    <w:rsid w:val="75F9A824"/>
    <w:rsid w:val="76CF36A0"/>
    <w:rsid w:val="76EC8FAC"/>
    <w:rsid w:val="77FE7938"/>
    <w:rsid w:val="77FFB47E"/>
    <w:rsid w:val="7AEFB1CD"/>
    <w:rsid w:val="7BBEB8DF"/>
    <w:rsid w:val="7DFFF05D"/>
    <w:rsid w:val="7F5BABB3"/>
    <w:rsid w:val="7F5EEB7C"/>
    <w:rsid w:val="7F738096"/>
    <w:rsid w:val="7FD9874D"/>
    <w:rsid w:val="7FDF3CAB"/>
    <w:rsid w:val="7FF981EA"/>
    <w:rsid w:val="7FFD72CC"/>
    <w:rsid w:val="AAFD6032"/>
    <w:rsid w:val="AF2DD44C"/>
    <w:rsid w:val="AFFE9544"/>
    <w:rsid w:val="B2FFF646"/>
    <w:rsid w:val="BAFFC18F"/>
    <w:rsid w:val="BF6DB88E"/>
    <w:rsid w:val="C3F703EF"/>
    <w:rsid w:val="C6EF39F5"/>
    <w:rsid w:val="CB393B11"/>
    <w:rsid w:val="CB5BEEA2"/>
    <w:rsid w:val="CD3FDC5E"/>
    <w:rsid w:val="D3DBBBFE"/>
    <w:rsid w:val="D9EBDD5A"/>
    <w:rsid w:val="DDFD8A04"/>
    <w:rsid w:val="DE5F228C"/>
    <w:rsid w:val="DEFF3174"/>
    <w:rsid w:val="DFBEB1DA"/>
    <w:rsid w:val="E7EDC010"/>
    <w:rsid w:val="E9659206"/>
    <w:rsid w:val="EB12C914"/>
    <w:rsid w:val="EDFF34B4"/>
    <w:rsid w:val="EECB70F5"/>
    <w:rsid w:val="EF7F68D9"/>
    <w:rsid w:val="F2719E3C"/>
    <w:rsid w:val="F444B274"/>
    <w:rsid w:val="F6AB432B"/>
    <w:rsid w:val="F71FF3BD"/>
    <w:rsid w:val="F78A0258"/>
    <w:rsid w:val="F7933A6A"/>
    <w:rsid w:val="F99E8246"/>
    <w:rsid w:val="F9BF0A41"/>
    <w:rsid w:val="FBDB5614"/>
    <w:rsid w:val="FF76B18E"/>
    <w:rsid w:val="FFBF1234"/>
    <w:rsid w:val="FFC6C14A"/>
    <w:rsid w:val="FFD55E84"/>
    <w:rsid w:val="FFDB950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sz w:val="44"/>
      <w:szCs w:val="44"/>
    </w:rPr>
  </w:style>
  <w:style w:type="paragraph" w:styleId="3">
    <w:name w:val="heading 2"/>
    <w:basedOn w:val="1"/>
    <w:next w:val="1"/>
    <w:link w:val="23"/>
    <w:unhideWhenUsed/>
    <w:qFormat/>
    <w:uiPriority w:val="9"/>
    <w:pPr>
      <w:keepNext/>
      <w:keepLines/>
      <w:numPr>
        <w:ilvl w:val="0"/>
        <w:numId w:val="1"/>
      </w:numPr>
      <w:spacing w:before="260" w:after="260" w:line="415" w:lineRule="auto"/>
      <w:outlineLvl w:val="1"/>
    </w:pPr>
    <w:rPr>
      <w:rFonts w:asciiTheme="majorHAnsi" w:hAnsiTheme="majorHAnsi" w:eastAsiaTheme="majorEastAsia" w:cstheme="majorBidi"/>
      <w:b/>
      <w:bCs/>
      <w:sz w:val="32"/>
      <w:szCs w:val="32"/>
    </w:rPr>
  </w:style>
  <w:style w:type="paragraph" w:styleId="4">
    <w:name w:val="heading 3"/>
    <w:basedOn w:val="1"/>
    <w:next w:val="1"/>
    <w:link w:val="33"/>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宋体" w:asciiTheme="majorHAnsi" w:hAnsiTheme="majorHAnsi" w:cstheme="majorBidi"/>
      <w:sz w:val="20"/>
      <w:szCs w:val="20"/>
    </w:rPr>
  </w:style>
  <w:style w:type="paragraph" w:styleId="6">
    <w:name w:val="Document Map"/>
    <w:basedOn w:val="1"/>
    <w:unhideWhenUsed/>
    <w:qFormat/>
    <w:uiPriority w:val="99"/>
    <w:rPr>
      <w:rFonts w:ascii="Heiti SC Light" w:hAnsi="Heiti SC Light" w:eastAsia="Heiti SC Light"/>
    </w:rPr>
  </w:style>
  <w:style w:type="paragraph" w:styleId="7">
    <w:name w:val="annotation text"/>
    <w:basedOn w:val="1"/>
    <w:link w:val="35"/>
    <w:semiHidden/>
    <w:unhideWhenUsed/>
    <w:qFormat/>
    <w:uiPriority w:val="99"/>
    <w:pPr>
      <w:jc w:val="left"/>
    </w:pPr>
  </w:style>
  <w:style w:type="paragraph" w:styleId="8">
    <w:name w:val="Body Text"/>
    <w:basedOn w:val="1"/>
    <w:qFormat/>
    <w:uiPriority w:val="0"/>
    <w:pPr>
      <w:spacing w:after="140" w:line="288" w:lineRule="auto"/>
    </w:pPr>
  </w:style>
  <w:style w:type="paragraph" w:styleId="9">
    <w:name w:val="Balloon Text"/>
    <w:basedOn w:val="1"/>
    <w:unhideWhenUsed/>
    <w:qFormat/>
    <w:uiPriority w:val="99"/>
    <w:rPr>
      <w:rFonts w:ascii="Heiti SC Light" w:hAnsi="Heiti SC Light" w:eastAsia="Heiti SC Light"/>
      <w:sz w:val="18"/>
      <w:szCs w:val="18"/>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00000A" w:sz="6" w:space="1"/>
      </w:pBdr>
      <w:tabs>
        <w:tab w:val="center" w:pos="4153"/>
        <w:tab w:val="right" w:pos="8306"/>
      </w:tabs>
      <w:snapToGrid w:val="0"/>
      <w:jc w:val="center"/>
    </w:pPr>
    <w:rPr>
      <w:sz w:val="18"/>
      <w:szCs w:val="18"/>
    </w:rPr>
  </w:style>
  <w:style w:type="paragraph" w:styleId="12">
    <w:name w:val="List"/>
    <w:basedOn w:val="8"/>
    <w:qFormat/>
    <w:uiPriority w:val="0"/>
  </w:style>
  <w:style w:type="paragraph" w:styleId="13">
    <w:name w:val="Normal (Web)"/>
    <w:basedOn w:val="1"/>
    <w:semiHidden/>
    <w:unhideWhenUsed/>
    <w:qFormat/>
    <w:uiPriority w:val="99"/>
    <w:pPr>
      <w:widowControl/>
      <w:spacing w:before="100" w:beforeAutospacing="1" w:after="100" w:afterAutospacing="1"/>
      <w:jc w:val="left"/>
    </w:pPr>
    <w:rPr>
      <w:rFonts w:ascii="宋体" w:hAnsi="宋体" w:eastAsia="宋体" w:cs="宋体"/>
    </w:rPr>
  </w:style>
  <w:style w:type="paragraph" w:styleId="14">
    <w:name w:val="annotation subject"/>
    <w:basedOn w:val="7"/>
    <w:next w:val="7"/>
    <w:link w:val="36"/>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unhideWhenUsed/>
    <w:qFormat/>
    <w:uiPriority w:val="99"/>
  </w:style>
  <w:style w:type="character" w:styleId="19">
    <w:name w:val="Hyperlink"/>
    <w:basedOn w:val="17"/>
    <w:semiHidden/>
    <w:unhideWhenUsed/>
    <w:qFormat/>
    <w:uiPriority w:val="99"/>
    <w:rPr>
      <w:color w:val="0000FF"/>
      <w:u w:val="single"/>
    </w:rPr>
  </w:style>
  <w:style w:type="character" w:styleId="20">
    <w:name w:val="annotation reference"/>
    <w:basedOn w:val="17"/>
    <w:semiHidden/>
    <w:unhideWhenUsed/>
    <w:qFormat/>
    <w:uiPriority w:val="99"/>
    <w:rPr>
      <w:sz w:val="21"/>
      <w:szCs w:val="21"/>
    </w:rPr>
  </w:style>
  <w:style w:type="character" w:customStyle="1" w:styleId="21">
    <w:name w:val="页眉 Char"/>
    <w:basedOn w:val="17"/>
    <w:qFormat/>
    <w:uiPriority w:val="99"/>
    <w:rPr>
      <w:sz w:val="18"/>
      <w:szCs w:val="18"/>
    </w:rPr>
  </w:style>
  <w:style w:type="character" w:customStyle="1" w:styleId="22">
    <w:name w:val="页脚 Char"/>
    <w:basedOn w:val="17"/>
    <w:qFormat/>
    <w:uiPriority w:val="99"/>
    <w:rPr>
      <w:sz w:val="18"/>
      <w:szCs w:val="18"/>
    </w:rPr>
  </w:style>
  <w:style w:type="character" w:customStyle="1" w:styleId="23">
    <w:name w:val="标题 2 字符"/>
    <w:basedOn w:val="17"/>
    <w:link w:val="3"/>
    <w:qFormat/>
    <w:uiPriority w:val="9"/>
    <w:rPr>
      <w:b/>
      <w:bCs/>
      <w:sz w:val="44"/>
      <w:szCs w:val="44"/>
    </w:rPr>
  </w:style>
  <w:style w:type="character" w:customStyle="1" w:styleId="24">
    <w:name w:val="标题 2 Char"/>
    <w:basedOn w:val="17"/>
    <w:qFormat/>
    <w:uiPriority w:val="9"/>
    <w:rPr>
      <w:rFonts w:asciiTheme="majorHAnsi" w:hAnsiTheme="majorHAnsi" w:eastAsiaTheme="majorEastAsia" w:cstheme="majorBidi"/>
      <w:b/>
      <w:bCs/>
      <w:sz w:val="32"/>
      <w:szCs w:val="32"/>
    </w:rPr>
  </w:style>
  <w:style w:type="character" w:customStyle="1" w:styleId="25">
    <w:name w:val="文档结构图 Char"/>
    <w:basedOn w:val="17"/>
    <w:semiHidden/>
    <w:qFormat/>
    <w:uiPriority w:val="99"/>
    <w:rPr>
      <w:rFonts w:ascii="Heiti SC Light" w:hAnsi="Heiti SC Light" w:eastAsia="Heiti SC Light"/>
    </w:rPr>
  </w:style>
  <w:style w:type="character" w:customStyle="1" w:styleId="26">
    <w:name w:val="批注框文本 Char"/>
    <w:basedOn w:val="17"/>
    <w:semiHidden/>
    <w:qFormat/>
    <w:uiPriority w:val="99"/>
    <w:rPr>
      <w:rFonts w:ascii="Heiti SC Light" w:hAnsi="Heiti SC Light" w:eastAsia="Heiti SC Light"/>
      <w:sz w:val="18"/>
      <w:szCs w:val="18"/>
    </w:rPr>
  </w:style>
  <w:style w:type="character" w:customStyle="1" w:styleId="27">
    <w:name w:val="ListLabel 1"/>
    <w:qFormat/>
    <w:uiPriority w:val="0"/>
    <w:rPr>
      <w:rFonts w:eastAsia="宋体"/>
      <w:sz w:val="32"/>
    </w:rPr>
  </w:style>
  <w:style w:type="paragraph" w:customStyle="1" w:styleId="28">
    <w:name w:val="标题1"/>
    <w:basedOn w:val="1"/>
    <w:next w:val="8"/>
    <w:qFormat/>
    <w:uiPriority w:val="0"/>
    <w:pPr>
      <w:keepNext/>
      <w:spacing w:before="240" w:after="120"/>
    </w:pPr>
    <w:rPr>
      <w:rFonts w:ascii="Liberation Sans" w:hAnsi="Liberation Sans" w:eastAsia="Noto Sans CJK SC" w:cs="Noto Sans CJK SC"/>
      <w:sz w:val="28"/>
      <w:szCs w:val="28"/>
    </w:rPr>
  </w:style>
  <w:style w:type="paragraph" w:customStyle="1" w:styleId="29">
    <w:name w:val="索引"/>
    <w:basedOn w:val="1"/>
    <w:qFormat/>
    <w:uiPriority w:val="0"/>
    <w:pPr>
      <w:suppressLineNumbers/>
    </w:pPr>
  </w:style>
  <w:style w:type="paragraph" w:customStyle="1" w:styleId="30">
    <w:name w:val="列出段落1"/>
    <w:basedOn w:val="1"/>
    <w:qFormat/>
    <w:uiPriority w:val="34"/>
    <w:pPr>
      <w:ind w:firstLine="420"/>
    </w:pPr>
  </w:style>
  <w:style w:type="paragraph" w:customStyle="1" w:styleId="31">
    <w:name w:val="框架内容"/>
    <w:basedOn w:val="1"/>
    <w:qFormat/>
    <w:uiPriority w:val="0"/>
  </w:style>
  <w:style w:type="paragraph" w:customStyle="1" w:styleId="32">
    <w:name w:val="正文对齐"/>
    <w:basedOn w:val="1"/>
    <w:qFormat/>
    <w:uiPriority w:val="0"/>
    <w:pPr>
      <w:spacing w:after="120"/>
      <w:ind w:left="400" w:leftChars="400"/>
    </w:pPr>
  </w:style>
  <w:style w:type="character" w:customStyle="1" w:styleId="33">
    <w:name w:val="标题 3 字符"/>
    <w:basedOn w:val="17"/>
    <w:link w:val="4"/>
    <w:qFormat/>
    <w:uiPriority w:val="9"/>
    <w:rPr>
      <w:rFonts w:asciiTheme="minorHAnsi" w:hAnsiTheme="minorHAnsi" w:eastAsiaTheme="minorEastAsia" w:cstheme="minorBidi"/>
      <w:b/>
      <w:bCs/>
      <w:sz w:val="32"/>
      <w:szCs w:val="32"/>
    </w:rPr>
  </w:style>
  <w:style w:type="paragraph" w:styleId="34">
    <w:name w:val="List Paragraph"/>
    <w:basedOn w:val="1"/>
    <w:qFormat/>
    <w:uiPriority w:val="99"/>
    <w:pPr>
      <w:ind w:firstLine="420" w:firstLineChars="200"/>
    </w:pPr>
  </w:style>
  <w:style w:type="character" w:customStyle="1" w:styleId="35">
    <w:name w:val="批注文字 字符"/>
    <w:basedOn w:val="17"/>
    <w:link w:val="7"/>
    <w:semiHidden/>
    <w:qFormat/>
    <w:uiPriority w:val="99"/>
    <w:rPr>
      <w:rFonts w:asciiTheme="minorHAnsi" w:hAnsiTheme="minorHAnsi" w:eastAsiaTheme="minorEastAsia" w:cstheme="minorBidi"/>
      <w:sz w:val="24"/>
      <w:szCs w:val="24"/>
    </w:rPr>
  </w:style>
  <w:style w:type="character" w:customStyle="1" w:styleId="36">
    <w:name w:val="批注主题 字符"/>
    <w:basedOn w:val="35"/>
    <w:link w:val="14"/>
    <w:semiHidden/>
    <w:qFormat/>
    <w:uiPriority w:val="99"/>
    <w:rPr>
      <w:rFonts w:asciiTheme="minorHAnsi" w:hAnsiTheme="minorHAnsi" w:eastAsiaTheme="minorEastAsia" w:cstheme="minorBidi"/>
      <w:b/>
      <w:bCs/>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数梦工场</Company>
  <Pages>12</Pages>
  <Words>551</Words>
  <Characters>3143</Characters>
  <Lines>26</Lines>
  <Paragraphs>7</Paragraphs>
  <TotalTime>3</TotalTime>
  <ScaleCrop>false</ScaleCrop>
  <LinksUpToDate>false</LinksUpToDate>
  <CharactersWithSpaces>3687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2017-05-24T18:53:00Z</dcterms:created>
  <dc:creator>zhou0395</dc:creator>
  <cp:lastModifiedBy>公孙乌龙</cp:lastModifiedBy>
  <dcterms:modified xsi:type="dcterms:W3CDTF">2026-04-30T18:52:36Z</dcterms:modified>
  <dc:title>专利技术交底书</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数梦工场</vt:lpwstr>
  </property>
  <property fmtid="{D5CDD505-2E9C-101B-9397-08002B2CF9AE}" pid="3" name="DocSecurity">
    <vt:i4>0</vt:i4>
  </property>
  <property fmtid="{D5CDD505-2E9C-101B-9397-08002B2CF9AE}" pid="4" name="KSOProductBuildVer">
    <vt:lpwstr>2052-12.1.25869.25869</vt:lpwstr>
  </property>
  <property fmtid="{D5CDD505-2E9C-101B-9397-08002B2CF9AE}" pid="5" name="LinksUpToDate">
    <vt:bool>false</vt:bool>
  </property>
  <property fmtid="{D5CDD505-2E9C-101B-9397-08002B2CF9AE}" pid="6" name="ScaleCrop">
    <vt:bool>false</vt:bool>
  </property>
  <property fmtid="{D5CDD505-2E9C-101B-9397-08002B2CF9AE}" pid="7" name="ICV">
    <vt:lpwstr>9FF943FB7C0389A17434F369A56C9C84_43</vt:lpwstr>
  </property>
</Properties>
</file>