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DATA GOVERNANCE POLICY</w:t>
      </w:r>
    </w:p>
    <w:p>
      <w:pPr>
        <w:spacing w:before="0" w:after="60"/>
        <w:jc w:val="center"/>
      </w:pPr>
      <w:r>
        <w:rPr>
          <w:rFonts w:ascii="Arial" w:cs="Arial" w:eastAsia="Arial" w:hAnsi="Arial"/>
          <w:i/>
          <w:iCs/>
          <w:color w:val="555555"/>
          <w:sz w:val="22"/>
          <w:szCs w:val="22"/>
        </w:rPr>
        <w:t xml:space="preserve">PalCare Clinical Governance Platform</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EthicHawks (Pty) Ltd  ·  Version 1.0  ·  Effective 1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Policy Owner</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Wilbur Matthee — Information Officer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1.0</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Effective Date</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1 May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Review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1 May 2027</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Applicable Framework</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POPIA, NHI Act 20 of 2019, National Health Act 61 of 2003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All data collected, processed, and reported through PalCare</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PURPOSE</w:t>
      </w:r>
    </w:p>
    <w:p>
      <w:pPr>
        <w:spacing w:before="60" w:after="80"/>
        <w:jc w:val="left"/>
      </w:pPr>
      <w:r>
        <w:rPr>
          <w:rFonts w:ascii="Arial" w:cs="Arial" w:eastAsia="Arial" w:hAnsi="Arial"/>
          <w:b w:val="false"/>
          <w:bCs w:val="false"/>
          <w:i w:val="false"/>
          <w:iCs w:val="false"/>
          <w:color w:val="1A1A1A"/>
          <w:sz w:val="20"/>
          <w:szCs w:val="20"/>
        </w:rPr>
        <w:t xml:space="preserve">This Policy establishes the governance framework for the collection, processing, storage, reporting, and disposal of clinical and personal data through the PalCare platform. It is designed to ensure compliance with POPIA, the NHI Act, and applicable health records legislation, and to give credibility to data submitted to Parliament, the Special Investigations Unit (SIU), or other regulatory bodies.</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DATA CLASSIFICATION</w:t>
      </w:r>
    </w:p>
    <w:p>
      <w:pPr>
        <w:spacing w:before="60" w:after="60"/>
        <w:jc w:val="left"/>
      </w:pPr>
      <w:r>
        <w:rPr>
          <w:rFonts w:ascii="Arial" w:cs="Arial" w:eastAsia="Arial" w:hAnsi="Arial"/>
          <w:b w:val="false"/>
          <w:bCs w:val="false"/>
          <w:i w:val="false"/>
          <w:iCs w:val="false"/>
          <w:color w:val="1A1A1A"/>
          <w:sz w:val="20"/>
          <w:szCs w:val="20"/>
        </w:rPr>
        <w:t xml:space="preserve">All data processed through PalCare is classified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19"/>
                <w:szCs w:val="19"/>
              </w:rPr>
              <w:t xml:space="preserve">Class</w:t>
            </w:r>
          </w:p>
        </w:tc>
        <w:tc>
          <w:tcPr>
            <w:tcW w:type="dxa" w:w="31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19"/>
                <w:szCs w:val="19"/>
              </w:rPr>
              <w:t xml:space="preserve">Type</w:t>
            </w:r>
          </w:p>
        </w:tc>
        <w:tc>
          <w:tcPr>
            <w:tcW w:type="dxa" w:w="42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19"/>
                <w:szCs w:val="19"/>
              </w:rPr>
              <w:t xml:space="preserve">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Class 1 — 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Patient identifiable clinical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Encrypted at rest and in transit; access by authorised clinical users only; 5-year retention</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Class 2 — Sensitive</w:t>
            </w:r>
          </w:p>
        </w:tc>
        <w:tc>
          <w:tcPr>
            <w:tcW w:type="dxa" w:w="3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Staff credentials and access logs</w:t>
            </w:r>
          </w:p>
        </w:tc>
        <w:tc>
          <w:tcPr>
            <w:tcW w:type="dxa" w:w="4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Encrypted; restricted to system administrator; 3-year 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Class 3 — Operational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Anonymised aggregate clinical metrics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May be used for reporting, research, regulatory submissions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Class 4 — Administrative</w:t>
            </w:r>
          </w:p>
        </w:tc>
        <w:tc>
          <w:tcPr>
            <w:tcW w:type="dxa" w:w="3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Billing codes, consumables, milage records</w:t>
            </w:r>
          </w:p>
        </w:tc>
        <w:tc>
          <w:tcPr>
            <w:tcW w:type="dxa" w:w="4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Standard access controls; 7-year retention for financial compliance</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DATA COLLECTION PRINCIPLES</w:t>
      </w:r>
    </w:p>
    <w:p>
      <w:pPr>
        <w:spacing w:before="60" w:after="60"/>
        <w:jc w:val="left"/>
      </w:pPr>
      <w:r>
        <w:rPr>
          <w:rFonts w:ascii="Arial" w:cs="Arial" w:eastAsia="Arial" w:hAnsi="Arial"/>
          <w:b w:val="false"/>
          <w:bCs w:val="false"/>
          <w:i w:val="false"/>
          <w:iCs w:val="false"/>
          <w:color w:val="1A1A1A"/>
          <w:sz w:val="20"/>
          <w:szCs w:val="20"/>
        </w:rPr>
        <w:t xml:space="preserve">All data collected through PalCare shall comply with the following principles, in accordance with POPIA's conditions for lawful processing:</w:t>
      </w:r>
    </w:p>
    <w:p>
      <w:pPr>
        <w:pStyle w:val="ListParagraph"/>
        <w:numPr>
          <w:ilvl w:val="0"/>
          <w:numId w:val="2"/>
        </w:numPr>
        <w:spacing w:before="40" w:after="40"/>
      </w:pPr>
      <w:r>
        <w:rPr>
          <w:rFonts w:ascii="Arial" w:cs="Arial" w:eastAsia="Arial" w:hAnsi="Arial"/>
          <w:color w:val="1A1A1A"/>
          <w:sz w:val="20"/>
          <w:szCs w:val="20"/>
        </w:rPr>
        <w:t xml:space="preserve">Accountability: EthicHawks (Pty) Ltd is accountable for ensuring compliance with POPIA in respect of all data it processes.</w:t>
      </w:r>
    </w:p>
    <w:p>
      <w:pPr>
        <w:pStyle w:val="ListParagraph"/>
        <w:numPr>
          <w:ilvl w:val="0"/>
          <w:numId w:val="2"/>
        </w:numPr>
        <w:spacing w:before="40" w:after="40"/>
      </w:pPr>
      <w:r>
        <w:rPr>
          <w:rFonts w:ascii="Arial" w:cs="Arial" w:eastAsia="Arial" w:hAnsi="Arial"/>
          <w:color w:val="1A1A1A"/>
          <w:sz w:val="20"/>
          <w:szCs w:val="20"/>
        </w:rPr>
        <w:t xml:space="preserve">Processing Limitation: Data shall only be collected for the specific purpose of clinical governance, billing, and audit reporting.</w:t>
      </w:r>
    </w:p>
    <w:p>
      <w:pPr>
        <w:pStyle w:val="ListParagraph"/>
        <w:numPr>
          <w:ilvl w:val="0"/>
          <w:numId w:val="2"/>
        </w:numPr>
        <w:spacing w:before="40" w:after="40"/>
      </w:pPr>
      <w:r>
        <w:rPr>
          <w:rFonts w:ascii="Arial" w:cs="Arial" w:eastAsia="Arial" w:hAnsi="Arial"/>
          <w:color w:val="1A1A1A"/>
          <w:sz w:val="20"/>
          <w:szCs w:val="20"/>
        </w:rPr>
        <w:t xml:space="preserve">Purpose Specification: The purpose of collection shall be disclosed to data subjects and recorded in the Record of Processing Activities.</w:t>
      </w:r>
    </w:p>
    <w:p>
      <w:pPr>
        <w:pStyle w:val="ListParagraph"/>
        <w:numPr>
          <w:ilvl w:val="0"/>
          <w:numId w:val="2"/>
        </w:numPr>
        <w:spacing w:before="40" w:after="40"/>
      </w:pPr>
      <w:r>
        <w:rPr>
          <w:rFonts w:ascii="Arial" w:cs="Arial" w:eastAsia="Arial" w:hAnsi="Arial"/>
          <w:color w:val="1A1A1A"/>
          <w:sz w:val="20"/>
          <w:szCs w:val="20"/>
        </w:rPr>
        <w:t xml:space="preserve">Further Processing Limitation: Data shall not be processed for a purpose incompatible with the original stated purpose.</w:t>
      </w:r>
    </w:p>
    <w:p>
      <w:pPr>
        <w:pStyle w:val="ListParagraph"/>
        <w:numPr>
          <w:ilvl w:val="0"/>
          <w:numId w:val="2"/>
        </w:numPr>
        <w:spacing w:before="40" w:after="40"/>
      </w:pPr>
      <w:r>
        <w:rPr>
          <w:rFonts w:ascii="Arial" w:cs="Arial" w:eastAsia="Arial" w:hAnsi="Arial"/>
          <w:color w:val="1A1A1A"/>
          <w:sz w:val="20"/>
          <w:szCs w:val="20"/>
        </w:rPr>
        <w:t xml:space="preserve">Information Quality: Reasonable steps shall be taken to ensure data accuracy and completeness.</w:t>
      </w:r>
    </w:p>
    <w:p>
      <w:pPr>
        <w:pStyle w:val="ListParagraph"/>
        <w:numPr>
          <w:ilvl w:val="0"/>
          <w:numId w:val="2"/>
        </w:numPr>
        <w:spacing w:before="40" w:after="40"/>
      </w:pPr>
      <w:r>
        <w:rPr>
          <w:rFonts w:ascii="Arial" w:cs="Arial" w:eastAsia="Arial" w:hAnsi="Arial"/>
          <w:color w:val="1A1A1A"/>
          <w:sz w:val="20"/>
          <w:szCs w:val="20"/>
        </w:rPr>
        <w:t xml:space="preserve">Openness: A privacy notice shall be provided to all data subjects prior to collection.</w:t>
      </w:r>
    </w:p>
    <w:p>
      <w:pPr>
        <w:pStyle w:val="ListParagraph"/>
        <w:numPr>
          <w:ilvl w:val="0"/>
          <w:numId w:val="2"/>
        </w:numPr>
        <w:spacing w:before="40" w:after="40"/>
      </w:pPr>
      <w:r>
        <w:rPr>
          <w:rFonts w:ascii="Arial" w:cs="Arial" w:eastAsia="Arial" w:hAnsi="Arial"/>
          <w:color w:val="1A1A1A"/>
          <w:sz w:val="20"/>
          <w:szCs w:val="20"/>
        </w:rPr>
        <w:t xml:space="preserve">Security Safeguards: Appropriate technical and organisational measures shall be implemented.</w:t>
      </w:r>
    </w:p>
    <w:p>
      <w:pPr>
        <w:pStyle w:val="ListParagraph"/>
        <w:numPr>
          <w:ilvl w:val="0"/>
          <w:numId w:val="2"/>
        </w:numPr>
        <w:spacing w:before="40" w:after="40"/>
      </w:pPr>
      <w:r>
        <w:rPr>
          <w:rFonts w:ascii="Arial" w:cs="Arial" w:eastAsia="Arial" w:hAnsi="Arial"/>
          <w:color w:val="1A1A1A"/>
          <w:sz w:val="20"/>
          <w:szCs w:val="20"/>
        </w:rPr>
        <w:t xml:space="preserve">Data Subject Participation: Data subjects shall be able to access, correct, and object to the processing of their data.</w:t>
      </w:r>
    </w:p>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AUDIT AND REPORTING FRAMEWORK</w:t>
      </w:r>
    </w:p>
    <w:p>
      <w:pPr>
        <w:spacing w:before="160" w:after="40"/>
      </w:pPr>
      <w:r>
        <w:rPr>
          <w:rFonts w:ascii="Arial" w:cs="Arial" w:eastAsia="Arial" w:hAnsi="Arial"/>
          <w:b/>
          <w:bCs/>
          <w:color w:val="1A1A1A"/>
          <w:sz w:val="20"/>
          <w:szCs w:val="20"/>
        </w:rPr>
        <w:t xml:space="preserve">4.1  </w:t>
      </w:r>
      <w:r>
        <w:rPr>
          <w:rFonts w:ascii="Arial" w:cs="Arial" w:eastAsia="Arial" w:hAnsi="Arial"/>
          <w:b/>
          <w:bCs/>
          <w:color w:val="1A1A1A"/>
          <w:sz w:val="20"/>
          <w:szCs w:val="20"/>
        </w:rPr>
        <w:t xml:space="preserve">Weekly Automated Reports</w:t>
      </w:r>
    </w:p>
    <w:p>
      <w:pPr>
        <w:spacing w:before="40" w:after="80"/>
        <w:ind w:left="360"/>
      </w:pPr>
      <w:r>
        <w:rPr>
          <w:rFonts w:ascii="Arial" w:cs="Arial" w:eastAsia="Arial" w:hAnsi="Arial"/>
          <w:color w:val="1A1A1A"/>
          <w:sz w:val="20"/>
          <w:szCs w:val="20"/>
        </w:rPr>
        <w:t xml:space="preserve">PalCare generates automated weekly audit reports covering: patient registration volumes; clinical documentation completeness; prescription and dose management activity; consumables usage; billing code capture rates; and system access logs.</w:t>
      </w:r>
    </w:p>
    <w:p>
      <w:pPr>
        <w:spacing w:before="160" w:after="40"/>
      </w:pPr>
      <w:r>
        <w:rPr>
          <w:rFonts w:ascii="Arial" w:cs="Arial" w:eastAsia="Arial" w:hAnsi="Arial"/>
          <w:b/>
          <w:bCs/>
          <w:color w:val="1A1A1A"/>
          <w:sz w:val="20"/>
          <w:szCs w:val="20"/>
        </w:rPr>
        <w:t xml:space="preserve">4.2  </w:t>
      </w:r>
      <w:r>
        <w:rPr>
          <w:rFonts w:ascii="Arial" w:cs="Arial" w:eastAsia="Arial" w:hAnsi="Arial"/>
          <w:b/>
          <w:bCs/>
          <w:color w:val="1A1A1A"/>
          <w:sz w:val="20"/>
          <w:szCs w:val="20"/>
        </w:rPr>
        <w:t xml:space="preserve">Monthly Reports</w:t>
      </w:r>
    </w:p>
    <w:p>
      <w:pPr>
        <w:spacing w:before="40" w:after="80"/>
        <w:ind w:left="360"/>
      </w:pPr>
      <w:r>
        <w:rPr>
          <w:rFonts w:ascii="Arial" w:cs="Arial" w:eastAsia="Arial" w:hAnsi="Arial"/>
          <w:color w:val="1A1A1A"/>
          <w:sz w:val="20"/>
          <w:szCs w:val="20"/>
        </w:rPr>
        <w:t xml:space="preserve">Monthly reports aggregate weekly data and include trend analysis, anomaly flagging, and comparative benchmarking where applicable.</w:t>
      </w:r>
    </w:p>
    <w:p>
      <w:pPr>
        <w:spacing w:before="160" w:after="40"/>
      </w:pPr>
      <w:r>
        <w:rPr>
          <w:rFonts w:ascii="Arial" w:cs="Arial" w:eastAsia="Arial" w:hAnsi="Arial"/>
          <w:b/>
          <w:bCs/>
          <w:color w:val="1A1A1A"/>
          <w:sz w:val="20"/>
          <w:szCs w:val="20"/>
        </w:rPr>
        <w:t xml:space="preserve">4.3  </w:t>
      </w:r>
      <w:r>
        <w:rPr>
          <w:rFonts w:ascii="Arial" w:cs="Arial" w:eastAsia="Arial" w:hAnsi="Arial"/>
          <w:b/>
          <w:bCs/>
          <w:color w:val="1A1A1A"/>
          <w:sz w:val="20"/>
          <w:szCs w:val="20"/>
        </w:rPr>
        <w:t xml:space="preserve">Regulatory Submissions</w:t>
      </w:r>
    </w:p>
    <w:p>
      <w:pPr>
        <w:spacing w:before="40" w:after="80"/>
        <w:ind w:left="360"/>
      </w:pPr>
      <w:r>
        <w:rPr>
          <w:rFonts w:ascii="Arial" w:cs="Arial" w:eastAsia="Arial" w:hAnsi="Arial"/>
          <w:color w:val="1A1A1A"/>
          <w:sz w:val="20"/>
          <w:szCs w:val="20"/>
        </w:rPr>
        <w:t xml:space="preserve">Data submitted to Parliament, the SIU, the B-BBEE Commission, or any other regulatory body shall be: (a) anonymised and aggregated unless specific identification is legally required; (b) certified by the Information Officer as accurate; (c) accompanied by a data provenance statement describing collection methodology.</w:t>
      </w:r>
    </w:p>
    <w:p>
      <w:pPr>
        <w:spacing w:before="160" w:after="40"/>
      </w:pPr>
      <w:r>
        <w:rPr>
          <w:rFonts w:ascii="Arial" w:cs="Arial" w:eastAsia="Arial" w:hAnsi="Arial"/>
          <w:b/>
          <w:bCs/>
          <w:color w:val="1A1A1A"/>
          <w:sz w:val="20"/>
          <w:szCs w:val="20"/>
        </w:rPr>
        <w:t xml:space="preserve">4.4  </w:t>
      </w:r>
      <w:r>
        <w:rPr>
          <w:rFonts w:ascii="Arial" w:cs="Arial" w:eastAsia="Arial" w:hAnsi="Arial"/>
          <w:b/>
          <w:bCs/>
          <w:color w:val="1A1A1A"/>
          <w:sz w:val="20"/>
          <w:szCs w:val="20"/>
        </w:rPr>
        <w:t xml:space="preserve">Immutability</w:t>
      </w:r>
    </w:p>
    <w:p>
      <w:pPr>
        <w:spacing w:before="40" w:after="80"/>
        <w:ind w:left="360"/>
      </w:pPr>
      <w:r>
        <w:rPr>
          <w:rFonts w:ascii="Arial" w:cs="Arial" w:eastAsia="Arial" w:hAnsi="Arial"/>
          <w:color w:val="1A1A1A"/>
          <w:sz w:val="20"/>
          <w:szCs w:val="20"/>
        </w:rPr>
        <w:t xml:space="preserve">Clinical records in PalCare are immutable once confirmed. Any correction shall be recorded as an amendment with a timestamp and author record, preserving the original entry.</w:t>
      </w:r>
    </w:p>
    <w:p>
      <w:pPr>
        <w:spacing w:before="160" w:after="40"/>
      </w:pPr>
      <w:r>
        <w:rPr>
          <w:rFonts w:ascii="Arial" w:cs="Arial" w:eastAsia="Arial" w:hAnsi="Arial"/>
          <w:b/>
          <w:bCs/>
          <w:color w:val="1A1A1A"/>
          <w:sz w:val="20"/>
          <w:szCs w:val="20"/>
        </w:rPr>
        <w:t xml:space="preserve">4.5  </w:t>
      </w:r>
      <w:r>
        <w:rPr>
          <w:rFonts w:ascii="Arial" w:cs="Arial" w:eastAsia="Arial" w:hAnsi="Arial"/>
          <w:b/>
          <w:bCs/>
          <w:color w:val="1A1A1A"/>
          <w:sz w:val="20"/>
          <w:szCs w:val="20"/>
        </w:rPr>
        <w:t xml:space="preserve">Chain of Custody</w:t>
      </w:r>
    </w:p>
    <w:p>
      <w:pPr>
        <w:spacing w:before="40" w:after="80"/>
        <w:ind w:left="360"/>
      </w:pPr>
      <w:r>
        <w:rPr>
          <w:rFonts w:ascii="Arial" w:cs="Arial" w:eastAsia="Arial" w:hAnsi="Arial"/>
          <w:color w:val="1A1A1A"/>
          <w:sz w:val="20"/>
          <w:szCs w:val="20"/>
        </w:rPr>
        <w:t xml:space="preserve">All data exports for regulatory or legal purposes shall be accompanied by a chain of custody log recording: date of export; authorising officer; recipient; purpose; and format.</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BREACH RESPONSE PROCEDURE</w:t>
      </w:r>
    </w:p>
    <w:p>
      <w:pPr>
        <w:spacing w:before="160" w:after="40"/>
      </w:pPr>
      <w:r>
        <w:rPr>
          <w:rFonts w:ascii="Arial" w:cs="Arial" w:eastAsia="Arial" w:hAnsi="Arial"/>
          <w:b/>
          <w:bCs/>
          <w:color w:val="1A1A1A"/>
          <w:sz w:val="20"/>
          <w:szCs w:val="20"/>
        </w:rPr>
        <w:t xml:space="preserve">5.1  </w:t>
      </w:r>
      <w:r>
        <w:rPr>
          <w:rFonts w:ascii="Arial" w:cs="Arial" w:eastAsia="Arial" w:hAnsi="Arial"/>
          <w:b/>
          <w:bCs/>
          <w:color w:val="1A1A1A"/>
          <w:sz w:val="20"/>
          <w:szCs w:val="20"/>
        </w:rPr>
        <w:t xml:space="preserve">Detection</w:t>
      </w:r>
    </w:p>
    <w:p>
      <w:pPr>
        <w:spacing w:before="40" w:after="80"/>
        <w:ind w:left="360"/>
      </w:pPr>
      <w:r>
        <w:rPr>
          <w:rFonts w:ascii="Arial" w:cs="Arial" w:eastAsia="Arial" w:hAnsi="Arial"/>
          <w:color w:val="1A1A1A"/>
          <w:sz w:val="20"/>
          <w:szCs w:val="20"/>
        </w:rPr>
        <w:t xml:space="preserve">PalCare shall generate automated alerts for: unauthorised access attempts; unusual data export volumes; system integrity failures; and credential compromise indicators.</w:t>
      </w:r>
    </w:p>
    <w:p>
      <w:pPr>
        <w:spacing w:before="160" w:after="40"/>
      </w:pPr>
      <w:r>
        <w:rPr>
          <w:rFonts w:ascii="Arial" w:cs="Arial" w:eastAsia="Arial" w:hAnsi="Arial"/>
          <w:b/>
          <w:bCs/>
          <w:color w:val="1A1A1A"/>
          <w:sz w:val="20"/>
          <w:szCs w:val="20"/>
        </w:rPr>
        <w:t xml:space="preserve">5.2  </w:t>
      </w:r>
      <w:r>
        <w:rPr>
          <w:rFonts w:ascii="Arial" w:cs="Arial" w:eastAsia="Arial" w:hAnsi="Arial"/>
          <w:b/>
          <w:bCs/>
          <w:color w:val="1A1A1A"/>
          <w:sz w:val="20"/>
          <w:szCs w:val="20"/>
        </w:rPr>
        <w:t xml:space="preserve">Response Timeline</w:t>
      </w:r>
    </w:p>
    <w:p>
      <w:pPr>
        <w:spacing w:before="40" w:after="80"/>
        <w:ind w:left="360"/>
      </w:pPr>
      <w:r>
        <w:rPr>
          <w:rFonts w:ascii="Arial" w:cs="Arial" w:eastAsia="Arial" w:hAnsi="Arial"/>
          <w:color w:val="1A1A1A"/>
          <w:sz w:val="20"/>
          <w:szCs w:val="20"/>
        </w:rPr>
        <w:t xml:space="preserve">On detection of a breach: Hour 1 — Isolate affected systems; Hour 4 — Internal assessment complete; Hour 24 — Responsible party notified; Hour 72 — Information Regulator notified if required; Day 7 — Full incident report completed.</w:t>
      </w:r>
    </w:p>
    <w:p>
      <w:pPr>
        <w:spacing w:before="160" w:after="40"/>
      </w:pPr>
      <w:r>
        <w:rPr>
          <w:rFonts w:ascii="Arial" w:cs="Arial" w:eastAsia="Arial" w:hAnsi="Arial"/>
          <w:b/>
          <w:bCs/>
          <w:color w:val="1A1A1A"/>
          <w:sz w:val="20"/>
          <w:szCs w:val="20"/>
        </w:rPr>
        <w:t xml:space="preserve">5.3  </w:t>
      </w:r>
      <w:r>
        <w:rPr>
          <w:rFonts w:ascii="Arial" w:cs="Arial" w:eastAsia="Arial" w:hAnsi="Arial"/>
          <w:b/>
          <w:bCs/>
          <w:color w:val="1A1A1A"/>
          <w:sz w:val="20"/>
          <w:szCs w:val="20"/>
        </w:rPr>
        <w:t xml:space="preserve">Documentation</w:t>
      </w:r>
    </w:p>
    <w:p>
      <w:pPr>
        <w:spacing w:before="40" w:after="80"/>
        <w:ind w:left="360"/>
      </w:pPr>
      <w:r>
        <w:rPr>
          <w:rFonts w:ascii="Arial" w:cs="Arial" w:eastAsia="Arial" w:hAnsi="Arial"/>
          <w:color w:val="1A1A1A"/>
          <w:sz w:val="20"/>
          <w:szCs w:val="20"/>
        </w:rPr>
        <w:t xml:space="preserve">All breach events shall be documented in the Breach Register, regardless of severity. The Breach Register shall be made available to the Information Regulator on request.</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RETENTION AND DISPOSAL</w:t>
      </w:r>
    </w:p>
    <w:p>
      <w:pPr>
        <w:spacing w:before="60" w:after="60"/>
        <w:jc w:val="left"/>
      </w:pPr>
      <w:r>
        <w:rPr>
          <w:rFonts w:ascii="Arial" w:cs="Arial" w:eastAsia="Arial" w:hAnsi="Arial"/>
          <w:b w:val="false"/>
          <w:bCs w:val="false"/>
          <w:i w:val="false"/>
          <w:iCs w:val="false"/>
          <w:color w:val="1A1A1A"/>
          <w:sz w:val="20"/>
          <w:szCs w:val="20"/>
        </w:rPr>
        <w:t xml:space="preserve">Data shall be retained for the following minimum periods and thereafter securely deleted:</w:t>
      </w:r>
    </w:p>
    <w:p>
      <w:pPr>
        <w:pStyle w:val="ListParagraph"/>
        <w:numPr>
          <w:ilvl w:val="0"/>
          <w:numId w:val="2"/>
        </w:numPr>
        <w:spacing w:before="40" w:after="40"/>
      </w:pPr>
      <w:r>
        <w:rPr>
          <w:rFonts w:ascii="Arial" w:cs="Arial" w:eastAsia="Arial" w:hAnsi="Arial"/>
          <w:color w:val="1A1A1A"/>
          <w:sz w:val="20"/>
          <w:szCs w:val="20"/>
        </w:rPr>
        <w:t xml:space="preserve">Patient clinical records: 5 years from last clinical contact (or as prescribed by applicable health legislation);</w:t>
      </w:r>
    </w:p>
    <w:p>
      <w:pPr>
        <w:pStyle w:val="ListParagraph"/>
        <w:numPr>
          <w:ilvl w:val="0"/>
          <w:numId w:val="2"/>
        </w:numPr>
        <w:spacing w:before="40" w:after="40"/>
      </w:pPr>
      <w:r>
        <w:rPr>
          <w:rFonts w:ascii="Arial" w:cs="Arial" w:eastAsia="Arial" w:hAnsi="Arial"/>
          <w:color w:val="1A1A1A"/>
          <w:sz w:val="20"/>
          <w:szCs w:val="20"/>
        </w:rPr>
        <w:t xml:space="preserve">Billing records: 7 years (Income Tax Act requirement);</w:t>
      </w:r>
    </w:p>
    <w:p>
      <w:pPr>
        <w:pStyle w:val="ListParagraph"/>
        <w:numPr>
          <w:ilvl w:val="0"/>
          <w:numId w:val="2"/>
        </w:numPr>
        <w:spacing w:before="40" w:after="40"/>
      </w:pPr>
      <w:r>
        <w:rPr>
          <w:rFonts w:ascii="Arial" w:cs="Arial" w:eastAsia="Arial" w:hAnsi="Arial"/>
          <w:color w:val="1A1A1A"/>
          <w:sz w:val="20"/>
          <w:szCs w:val="20"/>
        </w:rPr>
        <w:t xml:space="preserve">Audit logs: 3 years;</w:t>
      </w:r>
    </w:p>
    <w:p>
      <w:pPr>
        <w:pStyle w:val="ListParagraph"/>
        <w:numPr>
          <w:ilvl w:val="0"/>
          <w:numId w:val="2"/>
        </w:numPr>
        <w:spacing w:before="40" w:after="40"/>
      </w:pPr>
      <w:r>
        <w:rPr>
          <w:rFonts w:ascii="Arial" w:cs="Arial" w:eastAsia="Arial" w:hAnsi="Arial"/>
          <w:color w:val="1A1A1A"/>
          <w:sz w:val="20"/>
          <w:szCs w:val="20"/>
        </w:rPr>
        <w:t xml:space="preserve">Staff access logs: 3 years;</w:t>
      </w:r>
    </w:p>
    <w:p>
      <w:pPr>
        <w:pStyle w:val="ListParagraph"/>
        <w:numPr>
          <w:ilvl w:val="0"/>
          <w:numId w:val="2"/>
        </w:numPr>
        <w:spacing w:before="40" w:after="40"/>
      </w:pPr>
      <w:r>
        <w:rPr>
          <w:rFonts w:ascii="Arial" w:cs="Arial" w:eastAsia="Arial" w:hAnsi="Arial"/>
          <w:color w:val="1A1A1A"/>
          <w:sz w:val="20"/>
          <w:szCs w:val="20"/>
        </w:rPr>
        <w:t xml:space="preserve">Consent records: Duration of processing + 3 years.</w:t>
      </w:r>
    </w:p>
    <w:p>
      <w:pPr>
        <w:spacing w:before="80" w:after="80"/>
      </w:pPr>
      <w:r>
        <w:t xml:space="preserve"/>
      </w:r>
    </w:p>
    <w:p>
      <w:pPr>
        <w:spacing w:before="40" w:after="80"/>
        <w:jc w:val="left"/>
      </w:pPr>
      <w:r>
        <w:rPr>
          <w:rFonts w:ascii="Arial" w:cs="Arial" w:eastAsia="Arial" w:hAnsi="Arial"/>
          <w:b w:val="false"/>
          <w:bCs w:val="false"/>
          <w:i w:val="false"/>
          <w:iCs w:val="false"/>
          <w:color w:val="1A1A1A"/>
          <w:sz w:val="20"/>
          <w:szCs w:val="20"/>
        </w:rPr>
        <w:t xml:space="preserve">Disposal shall be by secure deletion (DoD 5220.22-M standard or equivalent). A destruction certificate shall be issued for Class 1 data.</w:t>
      </w:r>
    </w:p>
    <w:p>
      <w:pPr>
        <w:pBdr>
          <w:bottom w:val="single" w:color="006B6B" w:sz="3" w:space="2"/>
        </w:pBdr>
        <w:spacing w:before="280" w:after="80"/>
      </w:pPr>
      <w:r>
        <w:rPr>
          <w:rFonts w:ascii="Arial" w:cs="Arial" w:eastAsia="Arial" w:hAnsi="Arial"/>
          <w:b/>
          <w:bCs/>
          <w:color w:val="006B6B"/>
          <w:sz w:val="21"/>
          <w:szCs w:val="21"/>
        </w:rPr>
        <w:t xml:space="preserve">7.  </w:t>
      </w:r>
      <w:r>
        <w:rPr>
          <w:rFonts w:ascii="Arial" w:cs="Arial" w:eastAsia="Arial" w:hAnsi="Arial"/>
          <w:b/>
          <w:bCs/>
          <w:color w:val="006B6B"/>
          <w:sz w:val="21"/>
          <w:szCs w:val="21"/>
        </w:rPr>
        <w:t xml:space="preserve">POLICY REVIEW</w:t>
      </w:r>
    </w:p>
    <w:p>
      <w:pPr>
        <w:spacing w:before="60" w:after="80"/>
        <w:jc w:val="left"/>
      </w:pPr>
      <w:r>
        <w:rPr>
          <w:rFonts w:ascii="Arial" w:cs="Arial" w:eastAsia="Arial" w:hAnsi="Arial"/>
          <w:b w:val="false"/>
          <w:bCs w:val="false"/>
          <w:i w:val="false"/>
          <w:iCs w:val="false"/>
          <w:color w:val="1A1A1A"/>
          <w:sz w:val="20"/>
          <w:szCs w:val="20"/>
        </w:rPr>
        <w:t xml:space="preserve">This Policy shall be reviewed annually, or immediately upon any material change to POPIA regulations, NHI implementation requirements, or PalCare's data processing activities.</w:t>
      </w:r>
    </w:p>
    <w:p>
      <w:pPr>
        <w:spacing w:before="80" w:after="80"/>
      </w:pPr>
      <w:r>
        <w:t xml:space="preserve"/>
      </w:r>
    </w:p>
    <w:p>
      <w:pPr>
        <w:spacing w:before="80" w:after="80"/>
      </w:pPr>
      <w:r>
        <w:t xml:space="preserve"/>
      </w:r>
    </w:p>
    <w:p>
      <w:pPr>
        <w:spacing w:before="120" w:after="60"/>
        <w:jc w:val="left"/>
      </w:pPr>
      <w:r>
        <w:rPr>
          <w:rFonts w:ascii="Arial" w:cs="Arial" w:eastAsia="Arial" w:hAnsi="Arial"/>
          <w:b/>
          <w:bCs/>
          <w:i w:val="false"/>
          <w:iCs w:val="false"/>
          <w:color w:val="1A1A1A"/>
          <w:sz w:val="20"/>
          <w:szCs w:val="20"/>
        </w:rPr>
        <w:t xml:space="preserve">Approved by: Wilbur Matthee — Information Officer, EthicHawks (Pty) Ltd</w:t>
      </w:r>
    </w:p>
    <w:p>
      <w:pPr>
        <w:spacing w:before="60" w:after="40"/>
        <w:jc w:val="left"/>
      </w:pPr>
      <w:r>
        <w:rPr>
          <w:rFonts w:ascii="Arial" w:cs="Arial" w:eastAsia="Arial" w:hAnsi="Arial"/>
          <w:b w:val="false"/>
          <w:bCs w:val="false"/>
          <w:i w:val="false"/>
          <w:iCs w:val="false"/>
          <w:color w:val="1A1A1A"/>
          <w:sz w:val="20"/>
          <w:szCs w:val="20"/>
        </w:rPr>
        <w:t xml:space="preserve">Signature: _______________________________   Date: _________________ 2026</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DATA GOVERNANCE POLICY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2026-03-30T09:30:53.420Z</dcterms:created>
  <dcterms:modified xsi:type="dcterms:W3CDTF">2026-03-30T09:30:53.420Z</dcterms:modified>
</cp:coreProperties>
</file>

<file path=docProps/custom.xml><?xml version="1.0" encoding="utf-8"?>
<Properties xmlns="http://schemas.openxmlformats.org/officeDocument/2006/custom-properties" xmlns:vt="http://schemas.openxmlformats.org/officeDocument/2006/docPropsVTypes"/>
</file>