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06B6B"/>
          <w:sz w:val="36"/>
          <w:szCs w:val="36"/>
        </w:rPr>
        <w:t xml:space="preserve">PALCARE PILOT OUTCOMES REPORT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May – July 2026  ·  Template for Regulatory and Parliamentary Submission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EthicHawks (Pty) Ltd  ·  Cape Town, South Africa</w:t>
      </w:r>
    </w:p>
    <w:p>
      <w:pPr>
        <w:spacing w:before="0" w:after="280"/>
        <w:jc w:val="center"/>
      </w:pPr>
      <w:r>
        <w:rPr>
          <w:rFonts w:ascii="Arial" w:cs="Arial" w:eastAsia="Arial" w:hAnsi="Arial"/>
          <w:i/>
          <w:iCs/>
          <w:color w:val="BBBBBB"/>
          <w:sz w:val="17"/>
          <w:szCs w:val="17"/>
        </w:rPr>
        <w:t xml:space="preserve">EthicHawks (Pty) Ltd  ·  Confidential  ·  Version 1.0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This template defines the structure and data requirements for the PalCare Pilot Outcomes Report to be completed by 31 August 2026. Fields in [brackets] are to be completed with actual data. This report is designed for submission to investors, Parliament, and the SIU.</w:t>
      </w:r>
    </w:p>
    <w:p>
      <w:pPr>
        <w:pBdr>
          <w:bottom w:val="single" w:color="006B6B" w:sz="3" w:space="2"/>
        </w:pBdr>
        <w:spacing w:before="280" w:after="80"/>
      </w:pPr>
      <w:r>
        <w:rPr>
          <w:rFonts w:ascii="Arial" w:cs="Arial" w:eastAsia="Arial" w:hAnsi="Arial"/>
          <w:b/>
          <w:bCs/>
          <w:color w:val="006B6B"/>
          <w:sz w:val="21"/>
          <w:szCs w:val="21"/>
        </w:rPr>
        <w:t xml:space="preserve">1.  </w:t>
      </w:r>
      <w:r>
        <w:rPr>
          <w:rFonts w:ascii="Arial" w:cs="Arial" w:eastAsia="Arial" w:hAnsi="Arial"/>
          <w:b/>
          <w:bCs/>
          <w:color w:val="006B6B"/>
          <w:sz w:val="21"/>
          <w:szCs w:val="21"/>
        </w:rPr>
        <w:t xml:space="preserve">EXECUTIVE SUMMARY</w:t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Pilot period: 1 May 2026 – 31 July 2026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Pilot sites: [Number] facilities — [List names]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Total patients registered: [Number]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Total clinical records created: [Number]</w:t>
      </w:r>
    </w:p>
    <w:p>
      <w:p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Platform uptime: [%] across pilot period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Key finding: [One-paragraph summary of principal outcomes]</w:t>
      </w:r>
    </w:p>
    <w:p>
      <w:pPr>
        <w:pBdr>
          <w:bottom w:val="single" w:color="006B6B" w:sz="3" w:space="2"/>
        </w:pBdr>
        <w:spacing w:before="280" w:after="80"/>
      </w:pPr>
      <w:r>
        <w:rPr>
          <w:rFonts w:ascii="Arial" w:cs="Arial" w:eastAsia="Arial" w:hAnsi="Arial"/>
          <w:b/>
          <w:bCs/>
          <w:color w:val="006B6B"/>
          <w:sz w:val="21"/>
          <w:szCs w:val="21"/>
        </w:rPr>
        <w:t xml:space="preserve">2.  </w:t>
      </w:r>
      <w:r>
        <w:rPr>
          <w:rFonts w:ascii="Arial" w:cs="Arial" w:eastAsia="Arial" w:hAnsi="Arial"/>
          <w:b/>
          <w:bCs/>
          <w:color w:val="006B6B"/>
          <w:sz w:val="21"/>
          <w:szCs w:val="21"/>
        </w:rPr>
        <w:t xml:space="preserve">PILOT METHODOLOGY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2.1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Sites and Scope</w:t>
      </w:r>
    </w:p>
    <w:p>
      <w:pPr>
        <w:spacing w:before="40" w:after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[Describe each pilot site, patient population served, and the clinical workflows deployed at each site.]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2.2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 Collection Method</w:t>
      </w:r>
    </w:p>
    <w:p>
      <w:pPr>
        <w:spacing w:before="40" w:after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[Describe how data was collected — direct entry by clinical staff, automated system logs, or both. Confirm data accuracy verification steps.]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2.3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Ethical and POPIA Compliance</w:t>
      </w:r>
    </w:p>
    <w:p>
      <w:pPr>
        <w:spacing w:before="40" w:after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[Confirm that patient consent was obtained, POPIA processing agreements were in place, and data was handled in accordance with the Data Governance Policy.]</w:t>
      </w:r>
    </w:p>
    <w:p>
      <w:pPr>
        <w:pBdr>
          <w:bottom w:val="single" w:color="006B6B" w:sz="3" w:space="2"/>
        </w:pBdr>
        <w:spacing w:before="280" w:after="80"/>
      </w:pPr>
      <w:r>
        <w:rPr>
          <w:rFonts w:ascii="Arial" w:cs="Arial" w:eastAsia="Arial" w:hAnsi="Arial"/>
          <w:b/>
          <w:bCs/>
          <w:color w:val="006B6B"/>
          <w:sz w:val="21"/>
          <w:szCs w:val="21"/>
        </w:rPr>
        <w:t xml:space="preserve">3.  </w:t>
      </w:r>
      <w:r>
        <w:rPr>
          <w:rFonts w:ascii="Arial" w:cs="Arial" w:eastAsia="Arial" w:hAnsi="Arial"/>
          <w:b/>
          <w:bCs/>
          <w:color w:val="006B6B"/>
          <w:sz w:val="21"/>
          <w:szCs w:val="21"/>
        </w:rPr>
        <w:t xml:space="preserve">CLINICAL WORKFLOW PERFORMANCE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Complete the following table with actual pilot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800"/>
        <w:gridCol w:w="1800"/>
        <w:gridCol w:w="1800"/>
      </w:tblGrid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B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 3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Patients registered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[#]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[#]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[#]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Clinical records 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[#]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[#]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[#]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Prescriptions processed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[#]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[#]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[#]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Dose adjustments recorded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[#]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[#]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[#]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Consumables transactions logged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[#]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[#]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[#]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Mileage claims captured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[#]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[#]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[#]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Billing codes applied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[#]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[#]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[#]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Weekly audit reports generated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[#]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[#]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[#]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 uptime 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[%]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[%]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[%]</w:t>
            </w:r>
          </w:p>
        </w:tc>
      </w:tr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Staff satisfaction score (1–10)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[score]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[score]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[score]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006B6B" w:sz="3" w:space="2"/>
        </w:pBdr>
        <w:spacing w:before="280" w:after="80"/>
      </w:pPr>
      <w:r>
        <w:rPr>
          <w:rFonts w:ascii="Arial" w:cs="Arial" w:eastAsia="Arial" w:hAnsi="Arial"/>
          <w:b/>
          <w:bCs/>
          <w:color w:val="006B6B"/>
          <w:sz w:val="21"/>
          <w:szCs w:val="21"/>
        </w:rPr>
        <w:t xml:space="preserve">4.  </w:t>
      </w:r>
      <w:r>
        <w:rPr>
          <w:rFonts w:ascii="Arial" w:cs="Arial" w:eastAsia="Arial" w:hAnsi="Arial"/>
          <w:b/>
          <w:bCs/>
          <w:color w:val="006B6B"/>
          <w:sz w:val="21"/>
          <w:szCs w:val="21"/>
        </w:rPr>
        <w:t xml:space="preserve">GOVERNANCE AND AUDIT FINDINGS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4.1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Audit Report Quality</w:t>
      </w:r>
    </w:p>
    <w:p>
      <w:pPr>
        <w:spacing w:before="40" w:after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[Describe the quality and completeness of automated weekly audit reports. Were reports generated on schedule? Were there any data integrity issues?]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4.2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Anomalies Detected</w:t>
      </w:r>
    </w:p>
    <w:p>
      <w:pPr>
        <w:spacing w:before="40" w:after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[List any clinical, billing, or governance anomalies detected by PalCare's monitoring modules during the pilot period.]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4.3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Immutable Record Integrity</w:t>
      </w:r>
    </w:p>
    <w:p>
      <w:pPr>
        <w:spacing w:before="40" w:after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[Confirm that the immutable record architecture functioned as intended. Were any unauthorised modification attempts detected?]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4.4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NHI Readiness Assessment</w:t>
      </w:r>
    </w:p>
    <w:p>
      <w:pPr>
        <w:spacing w:before="40" w:after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[Assess the degree to which the pilot data demonstrates PalCare's readiness for NHI-compliant deployment at scale.]</w:t>
      </w:r>
    </w:p>
    <w:p>
      <w:pPr>
        <w:pBdr>
          <w:bottom w:val="single" w:color="006B6B" w:sz="3" w:space="2"/>
        </w:pBdr>
        <w:spacing w:before="280" w:after="80"/>
      </w:pPr>
      <w:r>
        <w:rPr>
          <w:rFonts w:ascii="Arial" w:cs="Arial" w:eastAsia="Arial" w:hAnsi="Arial"/>
          <w:b/>
          <w:bCs/>
          <w:color w:val="006B6B"/>
          <w:sz w:val="21"/>
          <w:szCs w:val="21"/>
        </w:rPr>
        <w:t xml:space="preserve">5.  </w:t>
      </w:r>
      <w:r>
        <w:rPr>
          <w:rFonts w:ascii="Arial" w:cs="Arial" w:eastAsia="Arial" w:hAnsi="Arial"/>
          <w:b/>
          <w:bCs/>
          <w:color w:val="006B6B"/>
          <w:sz w:val="21"/>
          <w:szCs w:val="21"/>
        </w:rPr>
        <w:t xml:space="preserve">KEY FINDINGS AND RECOMMENDATIONS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5.1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Principal Findings</w:t>
      </w:r>
    </w:p>
    <w:p>
      <w:pPr>
        <w:spacing w:before="40" w:after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[State the 3–5 most significant findings from the pilot — both positive outcomes and areas for improvement.]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5.2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Recommendations</w:t>
      </w:r>
    </w:p>
    <w:p>
      <w:pPr>
        <w:spacing w:before="40" w:after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[Based on pilot data, state specific recommendations for: platform development; clinical workflow improvement; scale-up readiness; regulatory engagement.]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5.3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Phase 2 Readiness</w:t>
      </w:r>
    </w:p>
    <w:p>
      <w:pPr>
        <w:spacing w:before="40" w:after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[Provide a clear statement on whether PalCare is ready for full commercial deployment and NHI-aligned accreditation processes.]</w:t>
      </w:r>
    </w:p>
    <w:p>
      <w:pPr>
        <w:pBdr>
          <w:bottom w:val="single" w:color="006B6B" w:sz="3" w:space="2"/>
        </w:pBdr>
        <w:spacing w:before="280" w:after="80"/>
      </w:pPr>
      <w:r>
        <w:rPr>
          <w:rFonts w:ascii="Arial" w:cs="Arial" w:eastAsia="Arial" w:hAnsi="Arial"/>
          <w:b/>
          <w:bCs/>
          <w:color w:val="006B6B"/>
          <w:sz w:val="21"/>
          <w:szCs w:val="21"/>
        </w:rPr>
        <w:t xml:space="preserve">6.  </w:t>
      </w:r>
      <w:r>
        <w:rPr>
          <w:rFonts w:ascii="Arial" w:cs="Arial" w:eastAsia="Arial" w:hAnsi="Arial"/>
          <w:b/>
          <w:bCs/>
          <w:color w:val="006B6B"/>
          <w:sz w:val="21"/>
          <w:szCs w:val="21"/>
        </w:rPr>
        <w:t xml:space="preserve">GOVERNANCE VULNERABILITIES IDENTIFIED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This section is specifically designed for SIU and Parliamentary submission: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6.1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Structural Gaps</w:t>
      </w:r>
    </w:p>
    <w:p>
      <w:pPr>
        <w:spacing w:before="40" w:after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[Describe any structural governance gaps in the palliative care or hospice sector that PalCare's audit data has revealed.]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6.2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Compliance Deficits</w:t>
      </w:r>
    </w:p>
    <w:p>
      <w:pPr>
        <w:spacing w:before="40" w:after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[Identify any patterns of non-compliance in clinical documentation, billing, or consumables management that the pilot data illuminates.]</w:t>
      </w:r>
    </w:p>
    <w:p>
      <w:pPr>
        <w:spacing w:before="160" w:after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6.3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NHI Infrastructure Gap</w:t>
      </w:r>
    </w:p>
    <w:p>
      <w:pPr>
        <w:spacing w:before="40" w:after="80"/>
        <w:ind w:left="3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[Quantify the gap between current documentation practices and what the NHI Act requires, using pilot data as evidence.]</w:t>
      </w:r>
    </w:p>
    <w:p>
      <w:pPr>
        <w:pBdr>
          <w:bottom w:val="single" w:color="006B6B" w:sz="3" w:space="2"/>
        </w:pBdr>
        <w:spacing w:before="280" w:after="80"/>
      </w:pPr>
      <w:r>
        <w:rPr>
          <w:rFonts w:ascii="Arial" w:cs="Arial" w:eastAsia="Arial" w:hAnsi="Arial"/>
          <w:b/>
          <w:bCs/>
          <w:color w:val="006B6B"/>
          <w:sz w:val="21"/>
          <w:szCs w:val="21"/>
        </w:rPr>
        <w:t xml:space="preserve">7.  </w:t>
      </w:r>
      <w:r>
        <w:rPr>
          <w:rFonts w:ascii="Arial" w:cs="Arial" w:eastAsia="Arial" w:hAnsi="Arial"/>
          <w:b/>
          <w:bCs/>
          <w:color w:val="006B6B"/>
          <w:sz w:val="21"/>
          <w:szCs w:val="21"/>
        </w:rPr>
        <w:t xml:space="preserve">DATA PROVENANCE STATEMENT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This report is based on data collected through PalCare between 1 May 2026 and 31 July 2026 at [site names]. Data collection was conducted in accordance with the EthicHawks Data Governance Policy. All patient data is anonymised. The methodology is available for independent audit on request.</w:t>
      </w:r>
    </w:p>
    <w:p>
      <w:pPr>
        <w:spacing w:before="60"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Certified by: Wilbur Matthee — Information Officer, EthicHawks (Pty) Ltd</w:t>
      </w:r>
    </w:p>
    <w:p>
      <w:pPr>
        <w:spacing w:before="6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Signature: _______________________________   Date: _________________ 2026</w:t>
      </w:r>
    </w:p>
    <w:sectPr>
      <w:headerReference w:type="default" r:id="rId6"/>
      <w:footerReference w:type="default" r:id="rId7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6B6B" w:sz="4" w:space="2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EthicHawks (Pty) Ltd  |  Cape Town  |  info@ethichawks.co.za     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00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B6B" w:sz="6" w:space="1"/>
      </w:pBdr>
      <w:spacing w:after="0"/>
    </w:pPr>
    <w:r>
      <w:rPr>
        <w:rFonts w:ascii="Arial" w:cs="Arial" w:eastAsia="Arial" w:hAnsi="Arial"/>
        <w:b/>
        <w:bCs/>
        <w:color w:val="006B6B"/>
        <w:sz w:val="16"/>
        <w:szCs w:val="16"/>
      </w:rPr>
      <w:t xml:space="preserve">PALCARE  |  ETHICHAWKS (PTY) LTD</w:t>
    </w:r>
    <w:r>
      <w:rPr>
        <w:rFonts w:ascii="Arial" w:cs="Arial" w:eastAsia="Arial" w:hAnsi="Arial"/>
        <w:color w:val="999999"/>
        <w:sz w:val="16"/>
        <w:szCs w:val="16"/>
      </w:rPr>
      <w:t xml:space="preserve">     PILOT OUTCOMES REPORT TEMPLATE     </w:t>
    </w:r>
    <w:r>
      <w:rPr>
        <w:rFonts w:ascii="Arial" w:cs="Arial" w:eastAsia="Arial" w:hAnsi="Arial"/>
        <w:b/>
        <w:bCs/>
        <w:color w:val="006B6B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2026-03-30T09:30:53.479Z</dcterms:created>
  <dcterms:modified xsi:type="dcterms:W3CDTF">2026-03-30T09:30:53.479Z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