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center"/>
      </w:pPr>
      <w:r>
        <w:rPr>
          <w:rFonts w:ascii="Arial" w:cs="Arial" w:eastAsia="Arial" w:hAnsi="Arial"/>
          <w:b/>
          <w:bCs/>
          <w:color w:val="1A3C5E"/>
          <w:sz w:val="28"/>
          <w:szCs w:val="28"/>
        </w:rPr>
        <w:t xml:space="preserve">LINKEDIN POST — FORENSIC GOVERNANCE STATEMENT</w:t>
      </w:r>
    </w:p>
    <w:p>
      <w:pPr>
        <w:spacing w:before="0" w:after="80"/>
        <w:jc w:val="center"/>
      </w:pPr>
      <w:r>
        <w:rPr>
          <w:rFonts w:ascii="Arial" w:cs="Arial" w:eastAsia="Arial" w:hAnsi="Arial"/>
          <w:i/>
          <w:iCs/>
          <w:color w:val="555555"/>
          <w:sz w:val="20"/>
          <w:szCs w:val="20"/>
        </w:rPr>
        <w:t xml:space="preserve">25 March 2026 | For Immediate Publication</w:t>
      </w:r>
    </w:p>
    <w:p>
      <w:pPr>
        <w:pBdr>
          <w:bottom w:val="single" w:color="1A3C5E" w:sz="6" w:space="1"/>
        </w:pBdr>
        <w:spacing w:before="80" w:after="80"/>
      </w:pPr>
      <w:r>
        <w:t xml:space="preserve"/>
      </w:r>
    </w:p>
    <w:p>
      <w:pPr>
        <w:spacing w:before="200" w:after="200"/>
      </w:pPr>
      <w:r>
        <w:t xml:space="preserve"/>
      </w:r>
    </w:p>
    <w:p>
      <w:pPr>
        <w:spacing w:before="60" w:after="120"/>
        <w:jc w:val="left"/>
      </w:pPr>
      <w:r>
        <w:rPr>
          <w:rFonts w:ascii="Arial" w:cs="Arial" w:eastAsia="Arial" w:hAnsi="Arial"/>
          <w:b/>
          <w:bCs/>
          <w:sz w:val="22"/>
          <w:szCs w:val="22"/>
        </w:rPr>
        <w:t xml:space="preserve">Today, a South African court struck a whistleblower's urgent application from the urgent roll and imposed a Scale C costs order — the highest punitive tariff available — against a destitute, disabled, self-represented nurse who reported a governance crisis at a JSE-listed healthcare company.</w:t>
      </w:r>
    </w:p>
    <w:p>
      <w:pPr>
        <w:spacing w:before="60" w:after="60"/>
        <w:jc w:val="both"/>
      </w:pPr>
      <w:r>
        <w:rPr>
          <w:rFonts w:ascii="Arial" w:cs="Arial" w:eastAsia="Arial" w:hAnsi="Arial"/>
          <w:b w:val="false"/>
          <w:bCs w:val="false"/>
          <w:i w:val="false"/>
          <w:iCs w:val="false"/>
          <w:sz w:val="22"/>
          <w:szCs w:val="22"/>
        </w:rPr>
        <w:t xml:space="preserve">That whistleblower is me.</w:t>
      </w:r>
    </w:p>
    <w:p>
      <w:pPr>
        <w:spacing w:before="120" w:after="120"/>
      </w:pPr>
      <w:r>
        <w:t xml:space="preserve"/>
      </w:r>
    </w:p>
    <w:p>
      <w:pPr>
        <w:spacing w:before="60" w:after="60"/>
        <w:jc w:val="both"/>
      </w:pPr>
      <w:r>
        <w:rPr>
          <w:rFonts w:ascii="Arial" w:cs="Arial" w:eastAsia="Arial" w:hAnsi="Arial"/>
          <w:b w:val="false"/>
          <w:bCs w:val="false"/>
          <w:i w:val="false"/>
          <w:iCs w:val="false"/>
          <w:sz w:val="22"/>
          <w:szCs w:val="22"/>
        </w:rPr>
        <w:t xml:space="preserve">I am Wilbur William Matthee — Registered Nurse, postgraduate-qualified health services manager, and founder of EthicHawks. On 9 December 2025, I submitted a formal P1 Material Risk Report to the Board and Chief Risk Officer of AfroCentric Health. That report documented governance failures, employment equity contraventions, and financial irregularities with the potential to harm employees, medical scheme beneficiaries, and the investing public.</w:t>
      </w:r>
    </w:p>
    <w:p>
      <w:pPr>
        <w:spacing w:before="80" w:after="80"/>
      </w:pPr>
      <w:r>
        <w:t xml:space="preserve"/>
      </w:r>
    </w:p>
    <w:p>
      <w:pPr>
        <w:spacing w:before="60" w:after="60"/>
        <w:jc w:val="both"/>
      </w:pPr>
      <w:r>
        <w:rPr>
          <w:rFonts w:ascii="Arial" w:cs="Arial" w:eastAsia="Arial" w:hAnsi="Arial"/>
          <w:b w:val="false"/>
          <w:bCs w:val="false"/>
          <w:i w:val="false"/>
          <w:iCs w:val="false"/>
          <w:sz w:val="22"/>
          <w:szCs w:val="22"/>
        </w:rPr>
        <w:t xml:space="preserve">The response? Silence. Then suppression. Then constructive dismissal.</w:t>
      </w:r>
    </w:p>
    <w:p>
      <w:pPr>
        <w:spacing w:before="80" w:after="80"/>
      </w:pPr>
      <w:r>
        <w:t xml:space="preserve"/>
      </w:r>
    </w:p>
    <w:p>
      <w:pPr>
        <w:spacing w:before="60" w:after="60"/>
        <w:jc w:val="both"/>
      </w:pPr>
      <w:r>
        <w:rPr>
          <w:rFonts w:ascii="Arial" w:cs="Arial" w:eastAsia="Arial" w:hAnsi="Arial"/>
          <w:b w:val="false"/>
          <w:bCs w:val="false"/>
          <w:i w:val="false"/>
          <w:iCs w:val="false"/>
          <w:sz w:val="22"/>
          <w:szCs w:val="22"/>
        </w:rPr>
        <w:t xml:space="preserve">112 days passed without a single Board-level response, remediation action, or governance intervention.</w:t>
      </w:r>
    </w:p>
    <w:p>
      <w:pPr>
        <w:spacing w:before="160" w:after="160"/>
      </w:pPr>
      <w:r>
        <w:t xml:space="preserve"/>
      </w:r>
    </w:p>
    <w:p>
      <w:pPr>
        <w:spacing w:before="120" w:after="80"/>
      </w:pPr>
      <w:r>
        <w:rPr>
          <w:rFonts w:ascii="Arial" w:cs="Arial" w:eastAsia="Arial" w:hAnsi="Arial"/>
          <w:b/>
          <w:bCs/>
          <w:color w:val="1A3C5E"/>
          <w:sz w:val="24"/>
          <w:szCs w:val="24"/>
        </w:rPr>
        <w:t xml:space="preserve">What Happened in Court Today</w:t>
      </w:r>
    </w:p>
    <w:p>
      <w:pPr>
        <w:spacing w:before="60" w:after="60"/>
        <w:jc w:val="both"/>
      </w:pPr>
      <w:r>
        <w:rPr>
          <w:rFonts w:ascii="Arial" w:cs="Arial" w:eastAsia="Arial" w:hAnsi="Arial"/>
          <w:b w:val="false"/>
          <w:bCs w:val="false"/>
          <w:i w:val="false"/>
          <w:iCs w:val="false"/>
          <w:sz w:val="22"/>
          <w:szCs w:val="22"/>
        </w:rPr>
        <w:t xml:space="preserve">I appeared before the Western Cape High Court at 10:00 AM in Case HCGS950121 — Matthee v Bruno Fernandes &amp; Others — seeking an urgent declaration of director delinquency under Section 162 of the Companies Act.</w:t>
      </w:r>
    </w:p>
    <w:p>
      <w:pPr>
        <w:spacing w:before="80" w:after="80"/>
      </w:pPr>
      <w:r>
        <w:t xml:space="preserve"/>
      </w:r>
    </w:p>
    <w:p>
      <w:pPr>
        <w:spacing w:before="60" w:after="60"/>
        <w:jc w:val="both"/>
      </w:pPr>
      <w:r>
        <w:rPr>
          <w:rFonts w:ascii="Arial" w:cs="Arial" w:eastAsia="Arial" w:hAnsi="Arial"/>
          <w:b w:val="false"/>
          <w:bCs w:val="false"/>
          <w:i w:val="false"/>
          <w:iCs w:val="false"/>
          <w:sz w:val="22"/>
          <w:szCs w:val="22"/>
        </w:rPr>
        <w:t xml:space="preserve">I disclosed my PTSD diagnosis and my reliance on written notes at the outset. I asked for basic accommodation. None was provided.</w:t>
      </w:r>
    </w:p>
    <w:p>
      <w:pPr>
        <w:spacing w:before="80" w:after="80"/>
      </w:pPr>
      <w:r>
        <w:t xml:space="preserve"/>
      </w:r>
    </w:p>
    <w:p>
      <w:pPr>
        <w:spacing w:before="60" w:after="60"/>
        <w:jc w:val="both"/>
      </w:pPr>
      <w:r>
        <w:rPr>
          <w:rFonts w:ascii="Arial" w:cs="Arial" w:eastAsia="Arial" w:hAnsi="Arial"/>
          <w:b w:val="false"/>
          <w:bCs w:val="false"/>
          <w:i w:val="false"/>
          <w:iCs w:val="false"/>
          <w:sz w:val="22"/>
          <w:szCs w:val="22"/>
        </w:rPr>
        <w:t xml:space="preserve">Mid-hearing, an unauthorized individual — unknown to me, appearing unwell, and carrying no mandate from me — intervened in the proceedings. I was effectively silenced at the moment I needed to respond to Senior Counsel's arguments on urgency and service.</w:t>
      </w:r>
    </w:p>
    <w:p>
      <w:pPr>
        <w:spacing w:before="80" w:after="80"/>
      </w:pPr>
      <w:r>
        <w:t xml:space="preserve"/>
      </w:r>
    </w:p>
    <w:p>
      <w:pPr>
        <w:spacing w:before="60" w:after="60"/>
        <w:jc w:val="both"/>
      </w:pPr>
      <w:r>
        <w:rPr>
          <w:rFonts w:ascii="Arial" w:cs="Arial" w:eastAsia="Arial" w:hAnsi="Arial"/>
          <w:b w:val="false"/>
          <w:bCs w:val="false"/>
          <w:i w:val="false"/>
          <w:iCs w:val="false"/>
          <w:sz w:val="22"/>
          <w:szCs w:val="22"/>
        </w:rPr>
        <w:t xml:space="preserve">The matter was struck. A Scale C punitive costs order was made against me.</w:t>
      </w:r>
    </w:p>
    <w:p>
      <w:pPr>
        <w:spacing w:before="80" w:after="80"/>
      </w:pPr>
      <w:r>
        <w:t xml:space="preserve"/>
      </w:r>
    </w:p>
    <w:p>
      <w:pPr>
        <w:spacing w:before="60" w:after="60"/>
        <w:jc w:val="both"/>
      </w:pPr>
      <w:r>
        <w:rPr>
          <w:rFonts w:ascii="Arial" w:cs="Arial" w:eastAsia="Arial" w:hAnsi="Arial"/>
          <w:b w:val="false"/>
          <w:bCs w:val="false"/>
          <w:i w:val="false"/>
          <w:iCs w:val="false"/>
          <w:sz w:val="22"/>
          <w:szCs w:val="22"/>
        </w:rPr>
        <w:t xml:space="preserve">I face eviction on 31 March 2026 — six days from today.</w:t>
      </w:r>
    </w:p>
    <w:p>
      <w:pPr>
        <w:spacing w:before="160" w:after="160"/>
      </w:pPr>
      <w:r>
        <w:t xml:space="preserve"/>
      </w:r>
    </w:p>
    <w:p>
      <w:pPr>
        <w:spacing w:before="120" w:after="80"/>
      </w:pPr>
      <w:r>
        <w:rPr>
          <w:rFonts w:ascii="Arial" w:cs="Arial" w:eastAsia="Arial" w:hAnsi="Arial"/>
          <w:b/>
          <w:bCs/>
          <w:color w:val="1A3C5E"/>
          <w:sz w:val="24"/>
          <w:szCs w:val="24"/>
        </w:rPr>
        <w:t xml:space="preserve">Why This Is a Governance Crisis — Not Just My Personal Story</w:t>
      </w:r>
    </w:p>
    <w:p>
      <w:pPr>
        <w:spacing w:before="60" w:after="60"/>
        <w:jc w:val="both"/>
      </w:pPr>
      <w:r>
        <w:rPr>
          <w:rFonts w:ascii="Arial" w:cs="Arial" w:eastAsia="Arial" w:hAnsi="Arial"/>
          <w:b w:val="false"/>
          <w:bCs w:val="false"/>
          <w:i w:val="false"/>
          <w:iCs w:val="false"/>
          <w:sz w:val="22"/>
          <w:szCs w:val="22"/>
        </w:rPr>
        <w:t xml:space="preserve">This is what forensic governance architecture teaches us: the failure is never isolated to the individual employee. It is systemic. It is structural. And it cascades.</w:t>
      </w:r>
    </w:p>
    <w:p>
      <w:pPr>
        <w:spacing w:before="80" w:after="80"/>
      </w:pPr>
      <w:r>
        <w:t xml:space="preserve"/>
      </w:r>
    </w:p>
    <w:p>
      <w:pPr>
        <w:spacing w:before="60" w:after="60"/>
        <w:jc w:val="both"/>
      </w:pPr>
      <w:r>
        <w:rPr>
          <w:rFonts w:ascii="Arial" w:cs="Arial" w:eastAsia="Arial" w:hAnsi="Arial"/>
          <w:b w:val="false"/>
          <w:bCs w:val="false"/>
          <w:i w:val="false"/>
          <w:iCs w:val="false"/>
          <w:sz w:val="22"/>
          <w:szCs w:val="22"/>
        </w:rPr>
        <w:t xml:space="preserve">When a JSE-listed company suppresses a material risk disclosure, it is not merely an employment dispute. It is a potential breach of the Companies Act, the Employment Equity Act, the Financial Sector Regulation Act, and the B-BBEE Act. It affects medical scheme members. It affects investors. It affects the integrity of the regulatory framework that every South African depends upon.</w:t>
      </w:r>
    </w:p>
    <w:p>
      <w:pPr>
        <w:spacing w:before="80" w:after="80"/>
      </w:pPr>
      <w:r>
        <w:t xml:space="preserve"/>
      </w:r>
    </w:p>
    <w:p>
      <w:pPr>
        <w:spacing w:before="60" w:after="60"/>
        <w:jc w:val="both"/>
      </w:pPr>
      <w:r>
        <w:rPr>
          <w:rFonts w:ascii="Arial" w:cs="Arial" w:eastAsia="Arial" w:hAnsi="Arial"/>
          <w:b w:val="false"/>
          <w:bCs w:val="false"/>
          <w:i w:val="false"/>
          <w:iCs w:val="false"/>
          <w:sz w:val="22"/>
          <w:szCs w:val="22"/>
        </w:rPr>
        <w:t xml:space="preserve">When the legal system then imposes the highest punitive costs order against the person who reported the risk — without meaningfully hearing that person — it does not merely harm one whistleblower. It sends a signal to every nurse, every compliance officer, every governance professional in this country:</w:t>
      </w:r>
    </w:p>
    <w:p>
      <w:pPr>
        <w:spacing w:before="80" w:after="80"/>
      </w:pPr>
      <w:r>
        <w:t xml:space="preserve"/>
      </w:r>
    </w:p>
    <w:p>
      <w:pPr>
        <w:spacing w:before="80" w:after="80"/>
        <w:jc w:val="center"/>
      </w:pPr>
      <w:r>
        <w:rPr>
          <w:rFonts w:ascii="Arial" w:cs="Arial" w:eastAsia="Arial" w:hAnsi="Arial"/>
          <w:b/>
          <w:bCs/>
          <w:i/>
          <w:iCs/>
          <w:sz w:val="22"/>
          <w:szCs w:val="22"/>
        </w:rPr>
        <w:t xml:space="preserve">"Speak up, and you will be destroyed."</w:t>
      </w:r>
    </w:p>
    <w:p>
      <w:pPr>
        <w:spacing w:before="60" w:after="60"/>
        <w:jc w:val="both"/>
      </w:pPr>
      <w:r>
        <w:rPr>
          <w:rFonts w:ascii="Arial" w:cs="Arial" w:eastAsia="Arial" w:hAnsi="Arial"/>
          <w:b w:val="false"/>
          <w:bCs w:val="false"/>
          <w:i w:val="false"/>
          <w:iCs w:val="false"/>
          <w:sz w:val="22"/>
          <w:szCs w:val="22"/>
        </w:rPr>
        <w:t xml:space="preserve">That signal must be challenged. Loudly. On the record. In public.</w:t>
      </w:r>
    </w:p>
    <w:p>
      <w:pPr>
        <w:spacing w:before="160" w:after="160"/>
      </w:pPr>
      <w:r>
        <w:t xml:space="preserve"/>
      </w:r>
    </w:p>
    <w:p>
      <w:pPr>
        <w:spacing w:before="120" w:after="80"/>
      </w:pPr>
      <w:r>
        <w:rPr>
          <w:rFonts w:ascii="Arial" w:cs="Arial" w:eastAsia="Arial" w:hAnsi="Arial"/>
          <w:b/>
          <w:bCs/>
          <w:color w:val="1A3C5E"/>
          <w:sz w:val="24"/>
          <w:szCs w:val="24"/>
        </w:rPr>
        <w:t xml:space="preserve">What Comes Next</w:t>
      </w:r>
    </w:p>
    <w:p>
      <w:pPr>
        <w:spacing w:before="60" w:after="60"/>
        <w:jc w:val="both"/>
      </w:pPr>
      <w:r>
        <w:rPr>
          <w:rFonts w:ascii="Arial" w:cs="Arial" w:eastAsia="Arial" w:hAnsi="Arial"/>
          <w:b w:val="false"/>
          <w:bCs w:val="false"/>
          <w:i w:val="false"/>
          <w:iCs w:val="false"/>
          <w:sz w:val="22"/>
          <w:szCs w:val="22"/>
        </w:rPr>
        <w:t xml:space="preserve">Today I filed, or will file, three formal documents:</w:t>
      </w:r>
    </w:p>
    <w:p>
      <w:pPr>
        <w:pStyle w:val="ListParagraph"/>
        <w:numPr>
          <w:ilvl w:val="0"/>
          <w:numId w:val="2"/>
        </w:numPr>
        <w:spacing w:before="60" w:after="60"/>
      </w:pPr>
      <w:r>
        <w:rPr>
          <w:rFonts w:ascii="Arial" w:cs="Arial" w:eastAsia="Arial" w:hAnsi="Arial"/>
          <w:sz w:val="22"/>
          <w:szCs w:val="22"/>
        </w:rPr>
        <w:t xml:space="preserve">A Notice of Application for Leave to Appeal the Scale C costs order, invoking the Biowatch principle — the Constitutional Court's protection for public interest whistleblower litigants;</w:t>
      </w:r>
    </w:p>
    <w:p>
      <w:pPr>
        <w:pStyle w:val="ListParagraph"/>
        <w:numPr>
          <w:ilvl w:val="0"/>
          <w:numId w:val="2"/>
        </w:numPr>
        <w:spacing w:before="60" w:after="60"/>
      </w:pPr>
      <w:r>
        <w:rPr>
          <w:rFonts w:ascii="Arial" w:cs="Arial" w:eastAsia="Arial" w:hAnsi="Arial"/>
          <w:sz w:val="22"/>
          <w:szCs w:val="22"/>
        </w:rPr>
        <w:t xml:space="preserve">A formal Memorandum to the Judge President of the Western Cape Division, placing the procedural hijacking and denial of accommodation on record with the supervisory judiciary;</w:t>
      </w:r>
    </w:p>
    <w:p>
      <w:pPr>
        <w:pStyle w:val="ListParagraph"/>
        <w:numPr>
          <w:ilvl w:val="0"/>
          <w:numId w:val="2"/>
        </w:numPr>
        <w:spacing w:before="60" w:after="60"/>
      </w:pPr>
      <w:r>
        <w:rPr>
          <w:rFonts w:ascii="Arial" w:cs="Arial" w:eastAsia="Arial" w:hAnsi="Arial"/>
          <w:sz w:val="22"/>
          <w:szCs w:val="22"/>
        </w:rPr>
        <w:t xml:space="preserve">This public statement — because transparency is not a tactical option. It is my only defence.</w:t>
      </w:r>
    </w:p>
    <w:p>
      <w:pPr>
        <w:spacing w:before="120" w:after="120"/>
      </w:pPr>
      <w:r>
        <w:t xml:space="preserve"/>
      </w:r>
    </w:p>
    <w:p>
      <w:pPr>
        <w:spacing w:before="60" w:after="60"/>
        <w:jc w:val="both"/>
      </w:pPr>
      <w:r>
        <w:rPr>
          <w:rFonts w:ascii="Arial" w:cs="Arial" w:eastAsia="Arial" w:hAnsi="Arial"/>
          <w:b w:val="false"/>
          <w:bCs w:val="false"/>
          <w:i w:val="false"/>
          <w:iCs w:val="false"/>
          <w:sz w:val="22"/>
          <w:szCs w:val="22"/>
        </w:rPr>
        <w:t xml:space="preserve">This matter sits before seven regulatory bodies simultaneously: the B-BBEE Commission, the SAHRC, JSE Issuer Regulation, Questco, the FSCA, the Department of Employment and Labour, and the Council for Medical Schemes.</w:t>
      </w:r>
    </w:p>
    <w:p>
      <w:pPr>
        <w:spacing w:before="80" w:after="80"/>
      </w:pPr>
      <w:r>
        <w:t xml:space="preserve"/>
      </w:r>
    </w:p>
    <w:p>
      <w:pPr>
        <w:spacing w:before="60" w:after="60"/>
        <w:jc w:val="both"/>
      </w:pPr>
      <w:r>
        <w:rPr>
          <w:rFonts w:ascii="Arial" w:cs="Arial" w:eastAsia="Arial" w:hAnsi="Arial"/>
          <w:b w:val="false"/>
          <w:bCs w:val="false"/>
          <w:i w:val="false"/>
          <w:iCs w:val="false"/>
          <w:sz w:val="22"/>
          <w:szCs w:val="22"/>
        </w:rPr>
        <w:t xml:space="preserve">The governance record is complete. The documentary trail is intact. The Naming Convention irregularity is admitted in writing. The payroll discrepancy is proven by primary payslip data. The suppression of the risk report is documented by a direct written instruction.</w:t>
      </w:r>
    </w:p>
    <w:p>
      <w:pPr>
        <w:spacing w:before="160" w:after="160"/>
      </w:pPr>
      <w:r>
        <w:t xml:space="preserve"/>
      </w:r>
    </w:p>
    <w:p>
      <w:pPr>
        <w:spacing w:before="120" w:after="80"/>
      </w:pPr>
      <w:r>
        <w:rPr>
          <w:rFonts w:ascii="Arial" w:cs="Arial" w:eastAsia="Arial" w:hAnsi="Arial"/>
          <w:b/>
          <w:bCs/>
          <w:color w:val="1A3C5E"/>
          <w:sz w:val="24"/>
          <w:szCs w:val="24"/>
        </w:rPr>
        <w:t xml:space="preserve">A Note to Governance Professionals, Compliance Officers, and Healthcare Leaders</w:t>
      </w:r>
    </w:p>
    <w:p>
      <w:pPr>
        <w:spacing w:before="60" w:after="60"/>
        <w:jc w:val="both"/>
      </w:pPr>
      <w:r>
        <w:rPr>
          <w:rFonts w:ascii="Arial" w:cs="Arial" w:eastAsia="Arial" w:hAnsi="Arial"/>
          <w:b w:val="false"/>
          <w:bCs w:val="false"/>
          <w:i w:val="false"/>
          <w:iCs w:val="false"/>
          <w:sz w:val="22"/>
          <w:szCs w:val="22"/>
        </w:rPr>
        <w:t xml:space="preserve">If you are a Board member, a company secretary, a social and ethics committee chair, or a chief risk officer — this case is a masterclass in what happens when governance is reduced to window-dressing.</w:t>
      </w:r>
    </w:p>
    <w:p>
      <w:pPr>
        <w:spacing w:before="80" w:after="80"/>
      </w:pPr>
      <w:r>
        <w:t xml:space="preserve"/>
      </w:r>
    </w:p>
    <w:p>
      <w:pPr>
        <w:spacing w:before="60" w:after="60"/>
        <w:jc w:val="both"/>
      </w:pPr>
      <w:r>
        <w:rPr>
          <w:rFonts w:ascii="Arial" w:cs="Arial" w:eastAsia="Arial" w:hAnsi="Arial"/>
          <w:b w:val="false"/>
          <w:bCs w:val="false"/>
          <w:i w:val="false"/>
          <w:iCs w:val="false"/>
          <w:sz w:val="22"/>
          <w:szCs w:val="22"/>
        </w:rPr>
        <w:t xml:space="preserve">Section 60 of the Employment Equity Act does not protect companies that perform diversity compliance on paper while suppressing the people who report its failures in practice.</w:t>
      </w:r>
    </w:p>
    <w:p>
      <w:pPr>
        <w:spacing w:before="80" w:after="80"/>
      </w:pPr>
      <w:r>
        <w:t xml:space="preserve"/>
      </w:r>
    </w:p>
    <w:p>
      <w:pPr>
        <w:spacing w:before="60" w:after="60"/>
        <w:jc w:val="both"/>
      </w:pPr>
      <w:r>
        <w:rPr>
          <w:rFonts w:ascii="Arial" w:cs="Arial" w:eastAsia="Arial" w:hAnsi="Arial"/>
          <w:b w:val="false"/>
          <w:bCs w:val="false"/>
          <w:i w:val="false"/>
          <w:iCs w:val="false"/>
          <w:sz w:val="22"/>
          <w:szCs w:val="22"/>
        </w:rPr>
        <w:t xml:space="preserve">Section 162 of the Companies Act exists precisely for this scenario: directors who fail to act when they know, or ought to know, that material risk has been disclosed.</w:t>
      </w:r>
    </w:p>
    <w:p>
      <w:pPr>
        <w:spacing w:before="80" w:after="80"/>
      </w:pPr>
      <w:r>
        <w:t xml:space="preserve"/>
      </w:r>
    </w:p>
    <w:p>
      <w:pPr>
        <w:spacing w:before="60" w:after="60"/>
        <w:jc w:val="both"/>
      </w:pPr>
      <w:r>
        <w:rPr>
          <w:rFonts w:ascii="Arial" w:cs="Arial" w:eastAsia="Arial" w:hAnsi="Arial"/>
          <w:b w:val="false"/>
          <w:bCs w:val="false"/>
          <w:i w:val="false"/>
          <w:iCs w:val="false"/>
          <w:sz w:val="22"/>
          <w:szCs w:val="22"/>
        </w:rPr>
        <w:t xml:space="preserve">The Biowatch principle exists precisely to protect the person who has the courage to use these instruments.</w:t>
      </w:r>
    </w:p>
    <w:p>
      <w:pPr>
        <w:spacing w:before="160" w:after="160"/>
      </w:pPr>
      <w:r>
        <w:t xml:space="preserve"/>
      </w:r>
    </w:p>
    <w:p>
      <w:pPr>
        <w:pBdr>
          <w:bottom w:val="single" w:color="1A3C5E" w:sz="6" w:space="1"/>
        </w:pBdr>
        <w:spacing w:before="80" w:after="80"/>
      </w:pPr>
      <w:r>
        <w:t xml:space="preserve"/>
      </w:r>
    </w:p>
    <w:p>
      <w:pPr>
        <w:spacing w:before="120" w:after="120"/>
      </w:pPr>
      <w:r>
        <w:t xml:space="preserve"/>
      </w:r>
    </w:p>
    <w:p>
      <w:pPr>
        <w:spacing w:before="60" w:after="60"/>
        <w:jc w:val="left"/>
      </w:pPr>
      <w:r>
        <w:rPr>
          <w:rFonts w:ascii="Arial" w:cs="Arial" w:eastAsia="Arial" w:hAnsi="Arial"/>
          <w:b/>
          <w:bCs/>
          <w:sz w:val="22"/>
          <w:szCs w:val="22"/>
        </w:rPr>
        <w:t xml:space="preserve">I built EthicHawks to institutionalise exactly this kind of forensic accountability.</w:t>
      </w:r>
    </w:p>
    <w:p>
      <w:pPr>
        <w:spacing w:before="60" w:after="60"/>
        <w:jc w:val="both"/>
      </w:pPr>
      <w:r>
        <w:rPr>
          <w:rFonts w:ascii="Arial" w:cs="Arial" w:eastAsia="Arial" w:hAnsi="Arial"/>
          <w:b w:val="false"/>
          <w:bCs w:val="false"/>
          <w:i w:val="false"/>
          <w:iCs w:val="false"/>
          <w:sz w:val="22"/>
          <w:szCs w:val="22"/>
        </w:rPr>
        <w:t xml:space="preserve">Eighteen years in clinical governance. A postgraduate qualification in health services management. And today, I am standing in the rubble of a system that was supposed to protect the people who protect everyone else.</w:t>
      </w:r>
    </w:p>
    <w:p>
      <w:pPr>
        <w:spacing w:before="80" w:after="80"/>
      </w:pPr>
      <w:r>
        <w:t xml:space="preserve"/>
      </w:r>
    </w:p>
    <w:p>
      <w:pPr>
        <w:spacing w:before="60" w:after="60"/>
        <w:jc w:val="both"/>
      </w:pPr>
      <w:r>
        <w:rPr>
          <w:rFonts w:ascii="Arial" w:cs="Arial" w:eastAsia="Arial" w:hAnsi="Arial"/>
          <w:b w:val="false"/>
          <w:bCs w:val="false"/>
          <w:i w:val="false"/>
          <w:iCs w:val="false"/>
          <w:sz w:val="22"/>
          <w:szCs w:val="22"/>
        </w:rPr>
        <w:t xml:space="preserve">I am still standing.</w:t>
      </w:r>
    </w:p>
    <w:p>
      <w:pPr>
        <w:spacing w:before="80" w:after="80"/>
      </w:pPr>
      <w:r>
        <w:t xml:space="preserve"/>
      </w:r>
    </w:p>
    <w:p>
      <w:pPr>
        <w:spacing w:before="60" w:after="60"/>
        <w:jc w:val="both"/>
      </w:pPr>
      <w:r>
        <w:rPr>
          <w:rFonts w:ascii="Arial" w:cs="Arial" w:eastAsia="Arial" w:hAnsi="Arial"/>
          <w:b w:val="false"/>
          <w:bCs w:val="false"/>
          <w:i w:val="false"/>
          <w:iCs w:val="false"/>
          <w:sz w:val="22"/>
          <w:szCs w:val="22"/>
        </w:rPr>
        <w:t xml:space="preserve">The record is public. The documentation is filed. The appeal is coming.</w:t>
      </w:r>
    </w:p>
    <w:p>
      <w:pPr>
        <w:spacing w:before="80" w:after="80"/>
      </w:pPr>
      <w:r>
        <w:t xml:space="preserve"/>
      </w:r>
    </w:p>
    <w:p>
      <w:pPr>
        <w:spacing w:before="60" w:after="60"/>
      </w:pPr>
      <w:r>
        <w:rPr>
          <w:rFonts w:ascii="Arial" w:cs="Arial" w:eastAsia="Arial" w:hAnsi="Arial"/>
          <w:b/>
          <w:bCs/>
          <w:sz w:val="22"/>
          <w:szCs w:val="22"/>
        </w:rPr>
        <w:t xml:space="preserve">Watch this space.</w:t>
      </w:r>
    </w:p>
    <w:p>
      <w:pPr>
        <w:spacing w:before="160" w:after="160"/>
      </w:pPr>
      <w:r>
        <w:t xml:space="preserve"/>
      </w:r>
    </w:p>
    <w:p>
      <w:pPr>
        <w:pBdr>
          <w:bottom w:val="single" w:color="1A3C5E" w:sz="6" w:space="1"/>
        </w:pBdr>
        <w:spacing w:before="80" w:after="80"/>
      </w:pPr>
      <w:r>
        <w:t xml:space="preserve"/>
      </w:r>
    </w:p>
    <w:p>
      <w:pPr>
        <w:spacing w:before="120" w:after="120"/>
      </w:pPr>
      <w:r>
        <w:t xml:space="preserve"/>
      </w:r>
    </w:p>
    <w:p>
      <w:pPr>
        <w:spacing w:before="60" w:after="60"/>
      </w:pPr>
      <w:r>
        <w:rPr>
          <w:rFonts w:ascii="Arial" w:cs="Arial" w:eastAsia="Arial" w:hAnsi="Arial"/>
          <w:color w:val="1A4D8C"/>
          <w:sz w:val="20"/>
          <w:szCs w:val="20"/>
        </w:rPr>
        <w:t xml:space="preserve">#WhistleblowerProtection #ForensicGovernance #CorporateAccountability #AccessToJustice #EthicHawks #CompaniesAct #EmploymentEquity #JSE #AfroCentric #HealthcareGovernance #SouthAfrica</w:t>
      </w:r>
    </w:p>
    <w:p>
      <w:pPr>
        <w:spacing w:before="80" w:after="80"/>
      </w:pPr>
      <w:r>
        <w:t xml:space="preserve"/>
      </w:r>
    </w:p>
    <w:p>
      <w:pPr>
        <w:spacing w:before="0" w:after="40"/>
      </w:pPr>
      <w:r>
        <w:rPr>
          <w:rFonts w:ascii="Arial" w:cs="Arial" w:eastAsia="Arial" w:hAnsi="Arial"/>
          <w:i/>
          <w:iCs/>
          <w:sz w:val="20"/>
          <w:szCs w:val="20"/>
        </w:rPr>
        <w:t xml:space="preserve">Contact: info@ethichawks.co.za</w:t>
      </w:r>
    </w:p>
    <w:p>
      <w:pPr>
        <w:spacing w:before="0" w:after="40"/>
      </w:pPr>
      <w:r>
        <w:rPr>
          <w:rFonts w:ascii="Arial" w:cs="Arial" w:eastAsia="Arial" w:hAnsi="Arial"/>
          <w:i/>
          <w:iCs/>
          <w:sz w:val="20"/>
          <w:szCs w:val="20"/>
        </w:rPr>
        <w:t xml:space="preserve">Case Reference: HCGS950121 | Matthee v Bruno Fernandes &amp; Others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2026-03-25T18:13:37.663Z</dcterms:created>
  <dcterms:modified xsi:type="dcterms:W3CDTF">2026-03-25T18:13:37.663Z</dcterms:modified>
</cp:coreProperties>
</file>

<file path=docProps/custom.xml><?xml version="1.0" encoding="utf-8"?>
<Properties xmlns="http://schemas.openxmlformats.org/officeDocument/2006/custom-properties" xmlns:vt="http://schemas.openxmlformats.org/officeDocument/2006/docPropsVTypes"/>
</file>